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color w:val="000000" w:themeColor="text1"/>
          <w:sz w:val="24"/>
          <w:szCs w:val="24"/>
        </w:rPr>
      </w:pPr>
    </w:p>
    <w:p w14:paraId="0CAFC6FC" w14:textId="30C46F66" w:rsidR="008D5C7D" w:rsidRPr="007D7D01" w:rsidRDefault="00E9063E"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2</w:t>
      </w:r>
      <w:r w:rsidR="008D5C7D" w:rsidRPr="007D7D01">
        <w:rPr>
          <w:color w:val="000000" w:themeColor="text1"/>
          <w:sz w:val="44"/>
          <w:szCs w:val="44"/>
        </w:rPr>
        <w:t>.</w:t>
      </w:r>
      <w:r w:rsidR="00923C53">
        <w:rPr>
          <w:color w:val="000000" w:themeColor="text1"/>
          <w:sz w:val="44"/>
          <w:szCs w:val="44"/>
        </w:rPr>
        <w:t>2.</w:t>
      </w:r>
      <w:r w:rsidR="001F68DD">
        <w:rPr>
          <w:color w:val="000000" w:themeColor="text1"/>
          <w:sz w:val="44"/>
          <w:szCs w:val="44"/>
        </w:rPr>
        <w:t>4</w:t>
      </w:r>
      <w:r w:rsidR="008D5C7D" w:rsidRPr="007D7D01">
        <w:rPr>
          <w:color w:val="000000" w:themeColor="text1"/>
          <w:sz w:val="44"/>
          <w:szCs w:val="44"/>
        </w:rPr>
        <w:t xml:space="preserve">  </w:t>
      </w:r>
      <w:r w:rsidR="0024099E">
        <w:rPr>
          <w:rFonts w:hint="eastAsia"/>
          <w:color w:val="000000" w:themeColor="text1"/>
          <w:sz w:val="44"/>
          <w:szCs w:val="44"/>
        </w:rPr>
        <w:t>不动产</w:t>
      </w:r>
    </w:p>
    <w:p w14:paraId="53C61087" w14:textId="77777777" w:rsidR="008D5C7D" w:rsidRPr="00923C53" w:rsidRDefault="008D5C7D" w:rsidP="00923C53">
      <w:pPr>
        <w:pStyle w:val="a3"/>
        <w:shd w:val="clear" w:color="auto" w:fill="FFFFFF"/>
        <w:spacing w:beforeLines="50" w:before="156" w:line="480" w:lineRule="atLeast"/>
        <w:ind w:firstLine="482"/>
        <w:jc w:val="center"/>
        <w:rPr>
          <w:color w:val="000000" w:themeColor="text1"/>
        </w:rPr>
      </w:pPr>
    </w:p>
    <w:p w14:paraId="487DA06F" w14:textId="77777777" w:rsidR="0024099E" w:rsidRPr="0024099E" w:rsidRDefault="0024099E" w:rsidP="0024099E">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4099E">
        <w:rPr>
          <w:rFonts w:asciiTheme="minorEastAsia" w:hAnsiTheme="minorEastAsia" w:cs="宋体"/>
          <w:color w:val="000000" w:themeColor="text1"/>
          <w:kern w:val="0"/>
          <w:sz w:val="24"/>
          <w:szCs w:val="24"/>
        </w:rPr>
        <w:t>销售不动产，是指转让不动产所有权的业务活动。不动产，是指不能移动或者移动后会引起性质、形状改变的财产，包括建筑物、构筑物等</w:t>
      </w:r>
      <w:r w:rsidRPr="0024099E">
        <w:rPr>
          <w:rFonts w:asciiTheme="minorEastAsia" w:hAnsiTheme="minorEastAsia" w:cs="宋体"/>
          <w:color w:val="000000" w:themeColor="text1"/>
          <w:kern w:val="0"/>
          <w:sz w:val="24"/>
          <w:szCs w:val="24"/>
          <w:vertAlign w:val="superscript"/>
        </w:rPr>
        <w:footnoteReference w:id="1"/>
      </w:r>
      <w:r w:rsidRPr="0024099E">
        <w:rPr>
          <w:rFonts w:asciiTheme="minorEastAsia" w:hAnsiTheme="minorEastAsia" w:cs="宋体"/>
          <w:color w:val="000000" w:themeColor="text1"/>
          <w:kern w:val="0"/>
          <w:sz w:val="24"/>
          <w:szCs w:val="24"/>
        </w:rPr>
        <w:t>。</w:t>
      </w:r>
    </w:p>
    <w:p w14:paraId="1680AC80" w14:textId="1274E0EB" w:rsidR="0024099E" w:rsidRPr="0024099E" w:rsidRDefault="0024099E" w:rsidP="0024099E">
      <w:pPr>
        <w:widowControl/>
        <w:spacing w:beforeLines="50" w:before="156" w:line="480" w:lineRule="atLeast"/>
        <w:ind w:firstLine="480"/>
        <w:jc w:val="right"/>
        <w:rPr>
          <w:rFonts w:asciiTheme="minorEastAsia" w:hAnsiTheme="minorEastAsia" w:cs="宋体"/>
          <w:color w:val="000000" w:themeColor="text1"/>
          <w:kern w:val="0"/>
          <w:sz w:val="24"/>
          <w:szCs w:val="24"/>
        </w:rPr>
      </w:pPr>
      <w:bookmarkStart w:id="0" w:name="_Hlk7681622"/>
      <w:r w:rsidRPr="0024099E">
        <w:rPr>
          <w:rFonts w:asciiTheme="minorEastAsia" w:hAnsiTheme="minorEastAsia" w:cs="宋体" w:hint="eastAsia"/>
          <w:color w:val="000000" w:themeColor="text1"/>
          <w:kern w:val="0"/>
          <w:sz w:val="24"/>
          <w:szCs w:val="24"/>
        </w:rPr>
        <w:t>（</w:t>
      </w:r>
      <w:hyperlink r:id="rId6" w:history="1">
        <w:r w:rsidR="009B0021">
          <w:rPr>
            <w:rStyle w:val="a4"/>
            <w:rFonts w:ascii="宋体" w:eastAsia="宋体" w:hAnsi="宋体" w:cs="宋体" w:hint="eastAsia"/>
            <w:kern w:val="0"/>
            <w:sz w:val="24"/>
            <w:szCs w:val="24"/>
          </w:rPr>
          <w:t>财税[2016]36号附件1</w:t>
        </w:r>
      </w:hyperlink>
      <w:r w:rsidRPr="0024099E">
        <w:rPr>
          <w:rFonts w:asciiTheme="minorEastAsia" w:hAnsiTheme="minorEastAsia" w:cs="宋体" w:hint="eastAsia"/>
          <w:color w:val="000000" w:themeColor="text1"/>
          <w:kern w:val="0"/>
          <w:sz w:val="24"/>
          <w:szCs w:val="24"/>
        </w:rPr>
        <w:t>附件第三条）</w:t>
      </w:r>
    </w:p>
    <w:p w14:paraId="61666CBC" w14:textId="77777777" w:rsidR="0024099E" w:rsidRPr="0024099E" w:rsidRDefault="0024099E" w:rsidP="0024099E">
      <w:pPr>
        <w:pStyle w:val="1"/>
        <w:spacing w:before="50" w:after="0" w:line="480" w:lineRule="atLeast"/>
        <w:rPr>
          <w:sz w:val="24"/>
          <w:szCs w:val="24"/>
        </w:rPr>
      </w:pPr>
      <w:bookmarkStart w:id="1" w:name="_Toc12894356"/>
      <w:bookmarkEnd w:id="0"/>
      <w:r w:rsidRPr="0024099E">
        <w:rPr>
          <w:rFonts w:hint="eastAsia"/>
          <w:sz w:val="24"/>
          <w:szCs w:val="24"/>
        </w:rPr>
        <w:t>一、</w:t>
      </w:r>
      <w:r w:rsidRPr="0024099E">
        <w:rPr>
          <w:sz w:val="24"/>
          <w:szCs w:val="24"/>
        </w:rPr>
        <w:t>建筑物</w:t>
      </w:r>
      <w:bookmarkEnd w:id="1"/>
    </w:p>
    <w:p w14:paraId="31665804" w14:textId="77777777" w:rsidR="0024099E" w:rsidRPr="0024099E" w:rsidRDefault="0024099E" w:rsidP="0024099E">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4099E">
        <w:rPr>
          <w:rFonts w:asciiTheme="minorEastAsia" w:hAnsiTheme="minorEastAsia" w:cs="宋体"/>
          <w:color w:val="000000" w:themeColor="text1"/>
          <w:kern w:val="0"/>
          <w:sz w:val="24"/>
          <w:szCs w:val="24"/>
        </w:rPr>
        <w:t>包括住宅、商业营业用房、办公楼等可供居住、工作或者进行其他活动的建造物。</w:t>
      </w:r>
    </w:p>
    <w:p w14:paraId="3E4B64A0" w14:textId="23DDD489" w:rsidR="0024099E" w:rsidRPr="0024099E" w:rsidRDefault="0024099E" w:rsidP="0024099E">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24099E">
        <w:rPr>
          <w:rFonts w:asciiTheme="minorEastAsia" w:hAnsiTheme="minorEastAsia" w:cs="宋体" w:hint="eastAsia"/>
          <w:color w:val="000000" w:themeColor="text1"/>
          <w:kern w:val="0"/>
          <w:sz w:val="24"/>
          <w:szCs w:val="24"/>
        </w:rPr>
        <w:t>（</w:t>
      </w:r>
      <w:hyperlink r:id="rId7" w:history="1">
        <w:r w:rsidR="009B0021">
          <w:rPr>
            <w:rStyle w:val="a4"/>
            <w:rFonts w:ascii="宋体" w:eastAsia="宋体" w:hAnsi="宋体" w:cs="宋体" w:hint="eastAsia"/>
            <w:kern w:val="0"/>
            <w:sz w:val="24"/>
            <w:szCs w:val="24"/>
          </w:rPr>
          <w:t>财税[2016]36号附件1</w:t>
        </w:r>
      </w:hyperlink>
      <w:r w:rsidRPr="0024099E">
        <w:rPr>
          <w:rFonts w:asciiTheme="minorEastAsia" w:hAnsiTheme="minorEastAsia" w:cs="宋体" w:hint="eastAsia"/>
          <w:color w:val="000000" w:themeColor="text1"/>
          <w:kern w:val="0"/>
          <w:sz w:val="24"/>
          <w:szCs w:val="24"/>
        </w:rPr>
        <w:t>附件第三条第一款）</w:t>
      </w:r>
    </w:p>
    <w:p w14:paraId="6D60196D" w14:textId="77777777" w:rsidR="0024099E" w:rsidRPr="0024099E" w:rsidRDefault="0024099E" w:rsidP="0024099E">
      <w:pPr>
        <w:pStyle w:val="1"/>
        <w:spacing w:before="50" w:after="0" w:line="480" w:lineRule="atLeast"/>
        <w:rPr>
          <w:sz w:val="24"/>
          <w:szCs w:val="24"/>
        </w:rPr>
      </w:pPr>
      <w:bookmarkStart w:id="2" w:name="_Toc12894357"/>
      <w:r w:rsidRPr="0024099E">
        <w:rPr>
          <w:rFonts w:hint="eastAsia"/>
          <w:sz w:val="24"/>
          <w:szCs w:val="24"/>
        </w:rPr>
        <w:t>二、</w:t>
      </w:r>
      <w:r w:rsidRPr="0024099E">
        <w:rPr>
          <w:sz w:val="24"/>
          <w:szCs w:val="24"/>
        </w:rPr>
        <w:t>构筑物</w:t>
      </w:r>
      <w:bookmarkEnd w:id="2"/>
    </w:p>
    <w:p w14:paraId="1ABC597E" w14:textId="77777777" w:rsidR="0024099E" w:rsidRPr="0024099E" w:rsidRDefault="0024099E" w:rsidP="0024099E">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4099E">
        <w:rPr>
          <w:rFonts w:asciiTheme="minorEastAsia" w:hAnsiTheme="minorEastAsia" w:cs="宋体"/>
          <w:color w:val="000000" w:themeColor="text1"/>
          <w:kern w:val="0"/>
          <w:sz w:val="24"/>
          <w:szCs w:val="24"/>
        </w:rPr>
        <w:t>包括道路、桥梁、隧道、水坝等建造物。</w:t>
      </w:r>
    </w:p>
    <w:p w14:paraId="46C20A05" w14:textId="7939C798" w:rsidR="0024099E" w:rsidRPr="0024099E" w:rsidRDefault="0024099E" w:rsidP="0024099E">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24099E">
        <w:rPr>
          <w:rFonts w:asciiTheme="minorEastAsia" w:hAnsiTheme="minorEastAsia" w:cs="宋体" w:hint="eastAsia"/>
          <w:color w:val="000000" w:themeColor="text1"/>
          <w:kern w:val="0"/>
          <w:sz w:val="24"/>
          <w:szCs w:val="24"/>
        </w:rPr>
        <w:t>（</w:t>
      </w:r>
      <w:hyperlink r:id="rId8" w:history="1">
        <w:r w:rsidR="009B0021">
          <w:rPr>
            <w:rStyle w:val="a4"/>
            <w:rFonts w:ascii="宋体" w:eastAsia="宋体" w:hAnsi="宋体" w:cs="宋体" w:hint="eastAsia"/>
            <w:kern w:val="0"/>
            <w:sz w:val="24"/>
            <w:szCs w:val="24"/>
          </w:rPr>
          <w:t>财税[2016]36号附件1</w:t>
        </w:r>
      </w:hyperlink>
      <w:r w:rsidRPr="0024099E">
        <w:rPr>
          <w:rFonts w:asciiTheme="minorEastAsia" w:hAnsiTheme="minorEastAsia" w:cs="宋体" w:hint="eastAsia"/>
          <w:color w:val="000000" w:themeColor="text1"/>
          <w:kern w:val="0"/>
          <w:sz w:val="24"/>
          <w:szCs w:val="24"/>
        </w:rPr>
        <w:t>附件第三条第二款）</w:t>
      </w:r>
    </w:p>
    <w:p w14:paraId="1D073417" w14:textId="77777777" w:rsidR="0024099E" w:rsidRPr="0024099E" w:rsidRDefault="0024099E" w:rsidP="0024099E">
      <w:pPr>
        <w:pStyle w:val="1"/>
        <w:spacing w:before="50" w:after="0" w:line="480" w:lineRule="atLeast"/>
        <w:rPr>
          <w:sz w:val="24"/>
          <w:szCs w:val="24"/>
        </w:rPr>
      </w:pPr>
      <w:bookmarkStart w:id="3" w:name="_Toc12894358"/>
      <w:r w:rsidRPr="0024099E">
        <w:rPr>
          <w:rFonts w:hint="eastAsia"/>
          <w:sz w:val="24"/>
          <w:szCs w:val="24"/>
        </w:rPr>
        <w:t>附注：其他</w:t>
      </w:r>
      <w:bookmarkEnd w:id="3"/>
    </w:p>
    <w:p w14:paraId="38661AC4" w14:textId="77777777" w:rsidR="0024099E" w:rsidRPr="0024099E" w:rsidRDefault="0024099E" w:rsidP="0024099E">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4099E">
        <w:rPr>
          <w:rFonts w:asciiTheme="minorEastAsia" w:hAnsiTheme="minorEastAsia" w:cs="宋体"/>
          <w:color w:val="000000" w:themeColor="text1"/>
          <w:kern w:val="0"/>
          <w:sz w:val="24"/>
          <w:szCs w:val="24"/>
        </w:rPr>
        <w:t>转让建筑物有限产权</w:t>
      </w:r>
      <w:r w:rsidRPr="0024099E">
        <w:rPr>
          <w:rFonts w:asciiTheme="minorEastAsia" w:hAnsiTheme="minorEastAsia" w:cs="宋体"/>
          <w:color w:val="000000" w:themeColor="text1"/>
          <w:kern w:val="0"/>
          <w:sz w:val="24"/>
          <w:szCs w:val="24"/>
          <w:vertAlign w:val="superscript"/>
        </w:rPr>
        <w:footnoteReference w:id="2"/>
      </w:r>
      <w:r w:rsidRPr="0024099E">
        <w:rPr>
          <w:rFonts w:asciiTheme="minorEastAsia" w:hAnsiTheme="minorEastAsia" w:cs="宋体"/>
          <w:color w:val="000000" w:themeColor="text1"/>
          <w:kern w:val="0"/>
          <w:sz w:val="24"/>
          <w:szCs w:val="24"/>
        </w:rPr>
        <w:t>或者永久使用权的，转让在建的建筑物或者构筑物所有权的，以及在转让建筑物或者构筑物时一并转让其所占土地的使用权的，按照销售不动产缴纳增值税。</w:t>
      </w:r>
    </w:p>
    <w:p w14:paraId="401DA4D3" w14:textId="5C49C62E" w:rsidR="0024099E" w:rsidRPr="0024099E" w:rsidRDefault="0024099E" w:rsidP="0024099E">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24099E">
        <w:rPr>
          <w:rFonts w:asciiTheme="minorEastAsia" w:hAnsiTheme="minorEastAsia" w:cs="宋体" w:hint="eastAsia"/>
          <w:color w:val="000000" w:themeColor="text1"/>
          <w:kern w:val="0"/>
          <w:sz w:val="24"/>
          <w:szCs w:val="24"/>
        </w:rPr>
        <w:t>（</w:t>
      </w:r>
      <w:hyperlink r:id="rId9" w:history="1">
        <w:r w:rsidR="009B0021">
          <w:rPr>
            <w:rStyle w:val="a4"/>
            <w:rFonts w:ascii="宋体" w:eastAsia="宋体" w:hAnsi="宋体" w:cs="宋体" w:hint="eastAsia"/>
            <w:kern w:val="0"/>
            <w:sz w:val="24"/>
            <w:szCs w:val="24"/>
          </w:rPr>
          <w:t>财税[2016]36号附件1</w:t>
        </w:r>
      </w:hyperlink>
      <w:r w:rsidRPr="0024099E">
        <w:rPr>
          <w:rFonts w:asciiTheme="minorEastAsia" w:hAnsiTheme="minorEastAsia" w:cs="宋体" w:hint="eastAsia"/>
          <w:color w:val="000000" w:themeColor="text1"/>
          <w:kern w:val="0"/>
          <w:sz w:val="24"/>
          <w:szCs w:val="24"/>
        </w:rPr>
        <w:t>附件第三条第三款）</w:t>
      </w:r>
    </w:p>
    <w:p w14:paraId="0DCE229E" w14:textId="168A08BB" w:rsidR="00CB7350" w:rsidRPr="0024099E" w:rsidRDefault="00CB7350" w:rsidP="0024099E">
      <w:pPr>
        <w:widowControl/>
        <w:spacing w:beforeLines="50" w:before="156" w:line="480" w:lineRule="atLeast"/>
        <w:ind w:firstLineChars="200" w:firstLine="480"/>
        <w:jc w:val="left"/>
        <w:rPr>
          <w:rFonts w:asciiTheme="minorEastAsia" w:hAnsiTheme="minorEastAsia"/>
          <w:color w:val="000000" w:themeColor="text1"/>
          <w:sz w:val="24"/>
          <w:szCs w:val="24"/>
        </w:rPr>
      </w:pPr>
    </w:p>
    <w:sectPr w:rsidR="00CB7350" w:rsidRPr="0024099E">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794AF" w14:textId="77777777" w:rsidR="00A604E1" w:rsidRDefault="00A604E1" w:rsidP="008A4976">
      <w:r>
        <w:separator/>
      </w:r>
    </w:p>
  </w:endnote>
  <w:endnote w:type="continuationSeparator" w:id="0">
    <w:p w14:paraId="0905F8A0" w14:textId="77777777" w:rsidR="00A604E1" w:rsidRDefault="00A604E1"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5BCFAC8" w14:textId="77777777" w:rsidR="00E9063E" w:rsidRDefault="00E906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1B75B" w14:textId="77777777" w:rsidR="00A604E1" w:rsidRDefault="00A604E1" w:rsidP="008A4976">
      <w:r>
        <w:separator/>
      </w:r>
    </w:p>
  </w:footnote>
  <w:footnote w:type="continuationSeparator" w:id="0">
    <w:p w14:paraId="6D66F2D8" w14:textId="77777777" w:rsidR="00A604E1" w:rsidRDefault="00A604E1" w:rsidP="008A4976">
      <w:r>
        <w:continuationSeparator/>
      </w:r>
    </w:p>
  </w:footnote>
  <w:footnote w:id="1">
    <w:p w14:paraId="4C490167" w14:textId="77777777" w:rsidR="0024099E" w:rsidRPr="00A331DD" w:rsidRDefault="0024099E" w:rsidP="0024099E">
      <w:pPr>
        <w:pStyle w:val="aa"/>
      </w:pPr>
      <w:r>
        <w:rPr>
          <w:rStyle w:val="ac"/>
        </w:rPr>
        <w:footnoteRef/>
      </w:r>
      <w:r>
        <w:t xml:space="preserve"> </w:t>
      </w:r>
      <w:hyperlink r:id="rId1" w:history="1">
        <w:r w:rsidRPr="00A331DD">
          <w:rPr>
            <w:rStyle w:val="a4"/>
            <w:rFonts w:ascii="楷体" w:eastAsia="楷体" w:hAnsi="楷体"/>
            <w:bCs/>
          </w:rPr>
          <w:t>财政部令第65号</w:t>
        </w:r>
      </w:hyperlink>
      <w:r w:rsidRPr="00A331DD">
        <w:rPr>
          <w:rFonts w:ascii="楷体" w:eastAsia="楷体" w:hAnsi="楷体" w:hint="eastAsia"/>
          <w:bCs/>
        </w:rPr>
        <w:t>第二十三条第二款规定：</w:t>
      </w:r>
      <w:r w:rsidRPr="00A331DD">
        <w:rPr>
          <w:rFonts w:ascii="楷体" w:eastAsia="楷体" w:hAnsi="楷体" w:hint="eastAsia"/>
        </w:rPr>
        <w:t>前款所称不动产是指不能移动或者移动后会引起性质、形状改变的财产，包括建筑物、构筑物和</w:t>
      </w:r>
      <w:r w:rsidRPr="00A331DD">
        <w:rPr>
          <w:rFonts w:ascii="楷体" w:eastAsia="楷体" w:hAnsi="楷体" w:hint="eastAsia"/>
          <w:color w:val="FF0000"/>
        </w:rPr>
        <w:t>其他土地附着物</w:t>
      </w:r>
      <w:r w:rsidRPr="00A331DD">
        <w:rPr>
          <w:rFonts w:hint="eastAsia"/>
        </w:rPr>
        <w:t>。</w:t>
      </w:r>
    </w:p>
  </w:footnote>
  <w:footnote w:id="2">
    <w:p w14:paraId="27C7A296" w14:textId="77777777" w:rsidR="0024099E" w:rsidRPr="005C3CAB" w:rsidRDefault="0024099E" w:rsidP="0024099E">
      <w:pPr>
        <w:pStyle w:val="aa"/>
        <w:rPr>
          <w:rFonts w:ascii="楷体" w:eastAsia="楷体" w:hAnsi="楷体"/>
        </w:rPr>
      </w:pPr>
      <w:r w:rsidRPr="005C3CAB">
        <w:rPr>
          <w:rStyle w:val="ac"/>
          <w:rFonts w:ascii="楷体" w:eastAsia="楷体" w:hAnsi="楷体"/>
        </w:rPr>
        <w:footnoteRef/>
      </w:r>
      <w:r w:rsidRPr="005C3CAB">
        <w:rPr>
          <w:rFonts w:ascii="楷体" w:eastAsia="楷体" w:hAnsi="楷体"/>
        </w:rPr>
        <w:t xml:space="preserve"> </w:t>
      </w:r>
      <w:r w:rsidRPr="005C3CAB">
        <w:rPr>
          <w:rFonts w:ascii="楷体" w:eastAsia="楷体" w:hAnsi="楷体" w:cs="Arial"/>
          <w:color w:val="333333"/>
          <w:sz w:val="21"/>
          <w:szCs w:val="21"/>
          <w:shd w:val="clear" w:color="auto" w:fill="FFFFFF"/>
        </w:rPr>
        <w:t>有限产权房是指:房屋所有人在购买公房中按照房改政策以标准价购买的住房或建房过程中得到了政府或企业补贴，房屋所有人享有完全的占有权、使用权和有限的处分权、收益权。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1308B0"/>
    <w:rsid w:val="00156542"/>
    <w:rsid w:val="00160A63"/>
    <w:rsid w:val="001C03AC"/>
    <w:rsid w:val="001F68DD"/>
    <w:rsid w:val="002149B9"/>
    <w:rsid w:val="00223407"/>
    <w:rsid w:val="0024099E"/>
    <w:rsid w:val="0026184E"/>
    <w:rsid w:val="002A1609"/>
    <w:rsid w:val="002C12B7"/>
    <w:rsid w:val="002D2FBC"/>
    <w:rsid w:val="002E6A5E"/>
    <w:rsid w:val="002E7F9B"/>
    <w:rsid w:val="003A1160"/>
    <w:rsid w:val="00401CBE"/>
    <w:rsid w:val="00420292"/>
    <w:rsid w:val="0046344C"/>
    <w:rsid w:val="004B74E4"/>
    <w:rsid w:val="00562B63"/>
    <w:rsid w:val="00586D71"/>
    <w:rsid w:val="005B706B"/>
    <w:rsid w:val="00605259"/>
    <w:rsid w:val="006853B2"/>
    <w:rsid w:val="006A1C66"/>
    <w:rsid w:val="006E3A91"/>
    <w:rsid w:val="006F1D1C"/>
    <w:rsid w:val="00703816"/>
    <w:rsid w:val="007170AA"/>
    <w:rsid w:val="007403B4"/>
    <w:rsid w:val="007D7D01"/>
    <w:rsid w:val="007E13F0"/>
    <w:rsid w:val="007F66B9"/>
    <w:rsid w:val="0080484F"/>
    <w:rsid w:val="00821857"/>
    <w:rsid w:val="00823209"/>
    <w:rsid w:val="0088139C"/>
    <w:rsid w:val="008A4976"/>
    <w:rsid w:val="008D5C7D"/>
    <w:rsid w:val="008F47BC"/>
    <w:rsid w:val="00923C53"/>
    <w:rsid w:val="0099041D"/>
    <w:rsid w:val="009A0FE2"/>
    <w:rsid w:val="009B0021"/>
    <w:rsid w:val="009D726B"/>
    <w:rsid w:val="00A05895"/>
    <w:rsid w:val="00A13986"/>
    <w:rsid w:val="00A604E1"/>
    <w:rsid w:val="00A61B18"/>
    <w:rsid w:val="00AE4E06"/>
    <w:rsid w:val="00B10769"/>
    <w:rsid w:val="00BD6687"/>
    <w:rsid w:val="00BF394F"/>
    <w:rsid w:val="00C407EB"/>
    <w:rsid w:val="00C457C7"/>
    <w:rsid w:val="00C8306C"/>
    <w:rsid w:val="00CA0606"/>
    <w:rsid w:val="00CB0DBB"/>
    <w:rsid w:val="00CB7350"/>
    <w:rsid w:val="00CE6AC2"/>
    <w:rsid w:val="00CF3D86"/>
    <w:rsid w:val="00E477C0"/>
    <w:rsid w:val="00E9063E"/>
    <w:rsid w:val="00F30237"/>
    <w:rsid w:val="00F47016"/>
    <w:rsid w:val="00F57C18"/>
    <w:rsid w:val="00FB6999"/>
    <w:rsid w:val="00FC0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E9063E"/>
    <w:rPr>
      <w:b/>
      <w:bCs/>
    </w:rPr>
  </w:style>
  <w:style w:type="paragraph" w:styleId="aa">
    <w:name w:val="footnote text"/>
    <w:basedOn w:val="a"/>
    <w:link w:val="ab"/>
    <w:uiPriority w:val="99"/>
    <w:unhideWhenUsed/>
    <w:rsid w:val="001308B0"/>
    <w:pPr>
      <w:snapToGrid w:val="0"/>
      <w:jc w:val="left"/>
    </w:pPr>
    <w:rPr>
      <w:sz w:val="18"/>
      <w:szCs w:val="18"/>
    </w:rPr>
  </w:style>
  <w:style w:type="character" w:customStyle="1" w:styleId="ab">
    <w:name w:val="脚注文本 字符"/>
    <w:basedOn w:val="a0"/>
    <w:link w:val="aa"/>
    <w:uiPriority w:val="99"/>
    <w:rsid w:val="001308B0"/>
    <w:rPr>
      <w:sz w:val="18"/>
      <w:szCs w:val="18"/>
    </w:rPr>
  </w:style>
  <w:style w:type="character" w:styleId="ac">
    <w:name w:val="footnote reference"/>
    <w:basedOn w:val="a0"/>
    <w:uiPriority w:val="99"/>
    <w:semiHidden/>
    <w:unhideWhenUsed/>
    <w:rsid w:val="001308B0"/>
    <w:rPr>
      <w:vertAlign w:val="superscript"/>
    </w:rPr>
  </w:style>
  <w:style w:type="character" w:customStyle="1" w:styleId="60">
    <w:name w:val="标题 6 字符"/>
    <w:basedOn w:val="a0"/>
    <w:link w:val="6"/>
    <w:uiPriority w:val="9"/>
    <w:rsid w:val="006F1D1C"/>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31.html" TargetMode="External"/><Relationship Id="rId3" Type="http://schemas.openxmlformats.org/officeDocument/2006/relationships/webSettings" Target="webSettings.xml"/><Relationship Id="rId7" Type="http://schemas.openxmlformats.org/officeDocument/2006/relationships/hyperlink" Target="http://ssfb86.com/index/News/detail/newsid/7031.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7031.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sfb86.com/index/News/detail/newsid/7031.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E:\&#23398;&#20064;\&#31246;&#25910;\&#31246;&#27861;&#22320;&#22270;\&#31246;&#25910;&#27861;&#35268;&#27719;&#32534;&#65288;&#25353;&#26085;&#26399;&#20998;&#31867;&#65289;\2011&#24180;\10&#26376;\&#36130;&#25919;&#37096;&#20196;&#31532;65&#21495;&#8212;&#8212;&#20851;&#20110;&#20462;&#25913;&#12298;&#20013;&#21326;&#20154;&#27665;&#20849;&#21644;&#22269;&#22686;&#20540;&#31246;&#26242;&#34892;&#26465;&#20363;&#23454;&#26045;&#32454;&#21017;&#12299;&#21644;&#12298;&#20013;&#21326;&#20154;&#27665;&#20849;&#21644;&#22269;&#33829;&#19994;&#31246;&#26242;&#34892;&#26465;&#20363;&#23454;&#26045;&#32454;&#21017;&#12299;&#30340;&#20915;&#2345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2020-06-30T06:07:00Z</dcterms:created>
  <dcterms:modified xsi:type="dcterms:W3CDTF">2020-09-28T13:35:00Z</dcterms:modified>
</cp:coreProperties>
</file>