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CC0838" w:rsidRDefault="006853B2" w:rsidP="007D7D01">
      <w:pPr>
        <w:spacing w:beforeLines="50" w:before="156" w:line="480" w:lineRule="atLeast"/>
        <w:rPr>
          <w:rFonts w:ascii="宋体" w:eastAsia="宋体" w:hAnsi="宋体" w:hint="eastAsia"/>
          <w:color w:val="000000" w:themeColor="text1"/>
          <w:sz w:val="24"/>
          <w:szCs w:val="24"/>
        </w:rPr>
      </w:pPr>
    </w:p>
    <w:p w14:paraId="0CAFC6FC" w14:textId="1366657B" w:rsidR="008D5C7D" w:rsidRPr="00CC0838" w:rsidRDefault="00AB3988" w:rsidP="007D7D01">
      <w:pPr>
        <w:pStyle w:val="a3"/>
        <w:shd w:val="clear" w:color="auto" w:fill="FFFFFF"/>
        <w:spacing w:beforeLines="50" w:before="156" w:line="480" w:lineRule="atLeast"/>
        <w:ind w:firstLine="482"/>
        <w:jc w:val="center"/>
        <w:rPr>
          <w:color w:val="000000" w:themeColor="text1"/>
          <w:sz w:val="44"/>
          <w:szCs w:val="44"/>
        </w:rPr>
      </w:pPr>
      <w:r w:rsidRPr="00CC0838">
        <w:rPr>
          <w:color w:val="000000" w:themeColor="text1"/>
          <w:sz w:val="44"/>
          <w:szCs w:val="44"/>
        </w:rPr>
        <w:t>5</w:t>
      </w:r>
      <w:r w:rsidR="008D5C7D" w:rsidRPr="00CC0838">
        <w:rPr>
          <w:color w:val="000000" w:themeColor="text1"/>
          <w:sz w:val="44"/>
          <w:szCs w:val="44"/>
        </w:rPr>
        <w:t>.</w:t>
      </w:r>
      <w:r w:rsidR="002D5F4B">
        <w:rPr>
          <w:color w:val="000000" w:themeColor="text1"/>
          <w:sz w:val="44"/>
          <w:szCs w:val="44"/>
        </w:rPr>
        <w:t>4</w:t>
      </w:r>
      <w:r w:rsidR="003811BF" w:rsidRPr="00CC0838">
        <w:rPr>
          <w:color w:val="000000" w:themeColor="text1"/>
          <w:sz w:val="44"/>
          <w:szCs w:val="44"/>
        </w:rPr>
        <w:t>.</w:t>
      </w:r>
      <w:r w:rsidR="00FF2D4B">
        <w:rPr>
          <w:color w:val="000000" w:themeColor="text1"/>
          <w:sz w:val="44"/>
          <w:szCs w:val="44"/>
        </w:rPr>
        <w:t>2.</w:t>
      </w:r>
      <w:r w:rsidR="004560EB">
        <w:rPr>
          <w:color w:val="000000" w:themeColor="text1"/>
          <w:sz w:val="44"/>
          <w:szCs w:val="44"/>
        </w:rPr>
        <w:t>1.</w:t>
      </w:r>
      <w:r w:rsidR="00575260">
        <w:rPr>
          <w:color w:val="000000" w:themeColor="text1"/>
          <w:sz w:val="44"/>
          <w:szCs w:val="44"/>
        </w:rPr>
        <w:t>2</w:t>
      </w:r>
      <w:r w:rsidR="005037B6" w:rsidRPr="00CC0838">
        <w:rPr>
          <w:color w:val="000000" w:themeColor="text1"/>
          <w:sz w:val="44"/>
          <w:szCs w:val="44"/>
        </w:rPr>
        <w:t xml:space="preserve">  </w:t>
      </w:r>
      <w:r w:rsidR="00575260" w:rsidRPr="00575260">
        <w:rPr>
          <w:rFonts w:hint="eastAsia"/>
          <w:color w:val="000000" w:themeColor="text1"/>
          <w:sz w:val="44"/>
          <w:szCs w:val="44"/>
        </w:rPr>
        <w:t>金融机构之间贷款利息；商品储备利息补贴和价差补贴</w:t>
      </w:r>
    </w:p>
    <w:p w14:paraId="2B0ACE87" w14:textId="3D3D383C" w:rsidR="00BB0495" w:rsidRDefault="00BB0495"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p w14:paraId="39CF18A9" w14:textId="1CC410E5" w:rsidR="00575260" w:rsidRPr="00575260" w:rsidRDefault="00575260" w:rsidP="00575260">
      <w:pPr>
        <w:pStyle w:val="1"/>
        <w:spacing w:beforeLines="50" w:before="156" w:after="0" w:line="480" w:lineRule="atLeast"/>
        <w:rPr>
          <w:sz w:val="24"/>
          <w:szCs w:val="24"/>
        </w:rPr>
      </w:pPr>
      <w:bookmarkStart w:id="0" w:name="_Toc12894993"/>
      <w:r w:rsidRPr="00575260">
        <w:rPr>
          <w:rFonts w:hint="eastAsia"/>
          <w:sz w:val="24"/>
          <w:szCs w:val="24"/>
        </w:rPr>
        <w:t>一、</w:t>
      </w:r>
      <w:r w:rsidRPr="00575260">
        <w:rPr>
          <w:sz w:val="24"/>
          <w:szCs w:val="24"/>
        </w:rPr>
        <w:t>金融同业往来利息收入</w:t>
      </w:r>
      <w:r w:rsidRPr="00575260">
        <w:rPr>
          <w:rFonts w:hint="eastAsia"/>
          <w:sz w:val="24"/>
          <w:szCs w:val="24"/>
        </w:rPr>
        <w:t>，免增值税</w:t>
      </w:r>
      <w:r w:rsidRPr="00575260">
        <w:rPr>
          <w:sz w:val="24"/>
          <w:szCs w:val="24"/>
        </w:rPr>
        <w:t>。</w:t>
      </w:r>
      <w:bookmarkEnd w:id="0"/>
    </w:p>
    <w:p w14:paraId="58F1E9F4" w14:textId="257F36BA" w:rsidR="00575260" w:rsidRPr="00575260" w:rsidRDefault="00575260" w:rsidP="00575260">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w:t>
      </w:r>
      <w:hyperlink r:id="rId7" w:history="1">
        <w:r w:rsidR="002B4CFE">
          <w:rPr>
            <w:rStyle w:val="a4"/>
            <w:rFonts w:asciiTheme="minorEastAsia" w:hAnsiTheme="minorEastAsia" w:cs="宋体" w:hint="eastAsia"/>
            <w:kern w:val="0"/>
            <w:sz w:val="24"/>
            <w:szCs w:val="24"/>
          </w:rPr>
          <w:t>财税〔2016〕36号附件3</w:t>
        </w:r>
      </w:hyperlink>
      <w:r w:rsidRPr="00575260">
        <w:rPr>
          <w:rFonts w:asciiTheme="minorEastAsia" w:hAnsiTheme="minorEastAsia" w:cs="宋体" w:hint="eastAsia"/>
          <w:color w:val="000000" w:themeColor="text1"/>
          <w:kern w:val="0"/>
          <w:sz w:val="24"/>
          <w:szCs w:val="24"/>
        </w:rPr>
        <w:t>第一条第二十三款）</w:t>
      </w:r>
    </w:p>
    <w:p w14:paraId="53A91852" w14:textId="77777777" w:rsidR="00575260" w:rsidRPr="00575260" w:rsidRDefault="00575260" w:rsidP="00575260">
      <w:pPr>
        <w:pStyle w:val="2"/>
        <w:spacing w:beforeLines="50" w:before="156" w:after="0" w:line="480" w:lineRule="atLeast"/>
        <w:rPr>
          <w:sz w:val="24"/>
          <w:szCs w:val="24"/>
        </w:rPr>
      </w:pPr>
      <w:bookmarkStart w:id="1" w:name="_Toc12894994"/>
      <w:r w:rsidRPr="00575260">
        <w:rPr>
          <w:rFonts w:hint="eastAsia"/>
          <w:sz w:val="24"/>
          <w:szCs w:val="24"/>
        </w:rPr>
        <w:t>（一）业务范围</w:t>
      </w:r>
      <w:bookmarkEnd w:id="1"/>
    </w:p>
    <w:p w14:paraId="1916E419" w14:textId="3EA79481" w:rsidR="00575260" w:rsidRPr="007B36E7" w:rsidRDefault="007B36E7"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B36E7">
        <w:rPr>
          <w:rFonts w:hint="eastAsia"/>
          <w:color w:val="333333"/>
          <w:sz w:val="24"/>
          <w:szCs w:val="24"/>
          <w:shd w:val="clear" w:color="auto" w:fill="FFFFFF"/>
        </w:rPr>
        <w:t>金融机构开展下列业务取得的利息收入，属于《营业税改征增值税试点过渡政策的规定》（</w:t>
      </w:r>
      <w:hyperlink r:id="rId8" w:tgtFrame="_self" w:history="1">
        <w:r w:rsidRPr="007B36E7">
          <w:rPr>
            <w:rFonts w:hint="eastAsia"/>
            <w:color w:val="6E6E6E"/>
            <w:sz w:val="24"/>
            <w:szCs w:val="24"/>
            <w:u w:val="single"/>
            <w:shd w:val="clear" w:color="auto" w:fill="FFFFFF"/>
          </w:rPr>
          <w:t>财税〔</w:t>
        </w:r>
        <w:r w:rsidRPr="007B36E7">
          <w:rPr>
            <w:rFonts w:hint="eastAsia"/>
            <w:color w:val="6E6E6E"/>
            <w:sz w:val="24"/>
            <w:szCs w:val="24"/>
            <w:u w:val="single"/>
            <w:shd w:val="clear" w:color="auto" w:fill="FFFFFF"/>
          </w:rPr>
          <w:t>2016</w:t>
        </w:r>
        <w:r w:rsidRPr="007B36E7">
          <w:rPr>
            <w:rFonts w:hint="eastAsia"/>
            <w:color w:val="6E6E6E"/>
            <w:sz w:val="24"/>
            <w:szCs w:val="24"/>
            <w:u w:val="single"/>
            <w:shd w:val="clear" w:color="auto" w:fill="FFFFFF"/>
          </w:rPr>
          <w:t>〕</w:t>
        </w:r>
        <w:r w:rsidRPr="007B36E7">
          <w:rPr>
            <w:rFonts w:hint="eastAsia"/>
            <w:color w:val="6E6E6E"/>
            <w:sz w:val="24"/>
            <w:szCs w:val="24"/>
            <w:u w:val="single"/>
            <w:shd w:val="clear" w:color="auto" w:fill="FFFFFF"/>
          </w:rPr>
          <w:t>36</w:t>
        </w:r>
        <w:r w:rsidRPr="007B36E7">
          <w:rPr>
            <w:rFonts w:hint="eastAsia"/>
            <w:color w:val="6E6E6E"/>
            <w:sz w:val="24"/>
            <w:szCs w:val="24"/>
            <w:u w:val="single"/>
            <w:shd w:val="clear" w:color="auto" w:fill="FFFFFF"/>
          </w:rPr>
          <w:t>号</w:t>
        </w:r>
      </w:hyperlink>
      <w:r w:rsidRPr="007B36E7">
        <w:rPr>
          <w:rFonts w:hint="eastAsia"/>
          <w:color w:val="333333"/>
          <w:sz w:val="24"/>
          <w:szCs w:val="24"/>
          <w:shd w:val="clear" w:color="auto" w:fill="FFFFFF"/>
        </w:rPr>
        <w:t>，以下简称《</w:t>
      </w:r>
      <w:hyperlink r:id="rId9" w:tgtFrame="_self" w:history="1">
        <w:r w:rsidRPr="007B36E7">
          <w:rPr>
            <w:rFonts w:hint="eastAsia"/>
            <w:color w:val="6E6E6E"/>
            <w:sz w:val="24"/>
            <w:szCs w:val="24"/>
            <w:u w:val="single"/>
            <w:shd w:val="clear" w:color="auto" w:fill="FFFFFF"/>
          </w:rPr>
          <w:t>过渡政策的规定</w:t>
        </w:r>
      </w:hyperlink>
      <w:r w:rsidRPr="007B36E7">
        <w:rPr>
          <w:rFonts w:hint="eastAsia"/>
          <w:color w:val="333333"/>
          <w:sz w:val="24"/>
          <w:szCs w:val="24"/>
          <w:shd w:val="clear" w:color="auto" w:fill="FFFFFF"/>
        </w:rPr>
        <w:t>》）第一条第（二十三）项所称的金融同业往来利息收入</w:t>
      </w:r>
      <w:r w:rsidR="00575260" w:rsidRPr="007B36E7">
        <w:rPr>
          <w:rFonts w:asciiTheme="minorEastAsia" w:hAnsiTheme="minorEastAsia" w:cs="宋体" w:hint="eastAsia"/>
          <w:color w:val="000000" w:themeColor="text1"/>
          <w:kern w:val="0"/>
          <w:sz w:val="24"/>
          <w:szCs w:val="24"/>
        </w:rPr>
        <w:t>：</w:t>
      </w:r>
    </w:p>
    <w:p w14:paraId="1E39528C"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1</w:t>
      </w:r>
      <w:r w:rsidRPr="00575260">
        <w:rPr>
          <w:sz w:val="24"/>
          <w:szCs w:val="24"/>
        </w:rPr>
        <w:t>.</w:t>
      </w:r>
      <w:r w:rsidRPr="00575260">
        <w:rPr>
          <w:rFonts w:hint="eastAsia"/>
          <w:sz w:val="24"/>
          <w:szCs w:val="24"/>
        </w:rPr>
        <w:t>质押式买入返售金融商品。</w:t>
      </w:r>
    </w:p>
    <w:p w14:paraId="182098EF" w14:textId="77777777" w:rsidR="00575260" w:rsidRPr="00575260" w:rsidRDefault="00575260" w:rsidP="0057526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指交易双方进行的以债券等金融商品为权利质押的一种短期资金融通业务。</w:t>
      </w:r>
    </w:p>
    <w:p w14:paraId="3597B4A9" w14:textId="22B37F51" w:rsidR="00575260" w:rsidRPr="00575260" w:rsidRDefault="00575260" w:rsidP="00575260">
      <w:pPr>
        <w:widowControl/>
        <w:spacing w:beforeLines="50" w:before="156" w:line="480" w:lineRule="atLeast"/>
        <w:jc w:val="right"/>
        <w:rPr>
          <w:rFonts w:asciiTheme="minorEastAsia" w:hAnsiTheme="minorEastAsia" w:cs="宋体"/>
          <w:bCs/>
          <w:color w:val="000000" w:themeColor="text1"/>
          <w:kern w:val="0"/>
          <w:sz w:val="24"/>
          <w:szCs w:val="24"/>
        </w:rPr>
      </w:pPr>
      <w:r w:rsidRPr="00575260">
        <w:rPr>
          <w:rFonts w:asciiTheme="minorEastAsia" w:hAnsiTheme="minorEastAsia" w:cs="宋体" w:hint="eastAsia"/>
          <w:bCs/>
          <w:color w:val="000000" w:themeColor="text1"/>
          <w:kern w:val="0"/>
          <w:sz w:val="24"/>
          <w:szCs w:val="24"/>
        </w:rPr>
        <w:t>（</w:t>
      </w:r>
      <w:hyperlink r:id="rId10" w:history="1">
        <w:r w:rsidRPr="007B36E7">
          <w:rPr>
            <w:rStyle w:val="a4"/>
            <w:rFonts w:asciiTheme="minorEastAsia" w:hAnsiTheme="minorEastAsia" w:cs="宋体"/>
            <w:bCs/>
            <w:kern w:val="0"/>
            <w:sz w:val="24"/>
            <w:szCs w:val="24"/>
          </w:rPr>
          <w:t>财税〔2016〕46号</w:t>
        </w:r>
      </w:hyperlink>
      <w:r w:rsidRPr="00575260">
        <w:rPr>
          <w:rFonts w:asciiTheme="minorEastAsia" w:hAnsiTheme="minorEastAsia" w:cs="宋体" w:hint="eastAsia"/>
          <w:bCs/>
          <w:color w:val="000000" w:themeColor="text1"/>
          <w:kern w:val="0"/>
          <w:sz w:val="24"/>
          <w:szCs w:val="24"/>
        </w:rPr>
        <w:t>第一条第一款）</w:t>
      </w:r>
    </w:p>
    <w:p w14:paraId="17FA74D7" w14:textId="77777777" w:rsidR="00575260" w:rsidRPr="00575260" w:rsidRDefault="00575260" w:rsidP="00575260">
      <w:pPr>
        <w:pStyle w:val="3"/>
      </w:pPr>
      <w:r w:rsidRPr="00575260">
        <w:rPr>
          <w:rFonts w:hint="eastAsia"/>
        </w:rPr>
        <w:t>2</w:t>
      </w:r>
      <w:r w:rsidRPr="00575260">
        <w:t>.</w:t>
      </w:r>
      <w:r w:rsidRPr="00575260">
        <w:rPr>
          <w:rFonts w:hint="eastAsia"/>
        </w:rPr>
        <w:t>持有政策性金融债券。</w:t>
      </w:r>
    </w:p>
    <w:p w14:paraId="7E610D7B" w14:textId="77777777" w:rsidR="00575260" w:rsidRPr="00575260" w:rsidRDefault="00575260" w:rsidP="0057526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指开发性、政策性金融机构发行的债券。</w:t>
      </w:r>
    </w:p>
    <w:p w14:paraId="6C4F1C6B" w14:textId="0A3114C0" w:rsidR="00575260" w:rsidRPr="00575260" w:rsidRDefault="00575260" w:rsidP="00575260">
      <w:pPr>
        <w:widowControl/>
        <w:spacing w:beforeLines="50" w:before="156" w:line="480" w:lineRule="atLeast"/>
        <w:jc w:val="right"/>
        <w:rPr>
          <w:rFonts w:asciiTheme="minorEastAsia" w:hAnsiTheme="minorEastAsia" w:cs="宋体"/>
          <w:bCs/>
          <w:color w:val="000000" w:themeColor="text1"/>
          <w:kern w:val="0"/>
          <w:sz w:val="24"/>
          <w:szCs w:val="24"/>
        </w:rPr>
      </w:pPr>
      <w:r w:rsidRPr="00575260">
        <w:rPr>
          <w:rFonts w:asciiTheme="minorEastAsia" w:hAnsiTheme="minorEastAsia" w:cs="宋体" w:hint="eastAsia"/>
          <w:bCs/>
          <w:color w:val="000000" w:themeColor="text1"/>
          <w:kern w:val="0"/>
          <w:sz w:val="24"/>
          <w:szCs w:val="24"/>
        </w:rPr>
        <w:t>（</w:t>
      </w:r>
      <w:hyperlink r:id="rId11" w:history="1">
        <w:r w:rsidR="007B36E7" w:rsidRPr="007B36E7">
          <w:rPr>
            <w:rStyle w:val="a4"/>
            <w:rFonts w:asciiTheme="minorEastAsia" w:hAnsiTheme="minorEastAsia" w:cs="宋体"/>
            <w:bCs/>
            <w:kern w:val="0"/>
            <w:sz w:val="24"/>
            <w:szCs w:val="24"/>
          </w:rPr>
          <w:t>财税〔2016〕46号</w:t>
        </w:r>
      </w:hyperlink>
      <w:r w:rsidRPr="00575260">
        <w:rPr>
          <w:rFonts w:asciiTheme="minorEastAsia" w:hAnsiTheme="minorEastAsia" w:cs="宋体" w:hint="eastAsia"/>
          <w:bCs/>
          <w:color w:val="000000" w:themeColor="text1"/>
          <w:kern w:val="0"/>
          <w:sz w:val="24"/>
          <w:szCs w:val="24"/>
        </w:rPr>
        <w:t>第一条第二款）</w:t>
      </w:r>
    </w:p>
    <w:p w14:paraId="32023513"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3</w:t>
      </w:r>
      <w:r w:rsidRPr="00575260">
        <w:rPr>
          <w:sz w:val="24"/>
          <w:szCs w:val="24"/>
        </w:rPr>
        <w:t>.</w:t>
      </w:r>
      <w:r w:rsidRPr="00575260">
        <w:rPr>
          <w:rFonts w:hint="eastAsia"/>
          <w:sz w:val="24"/>
          <w:szCs w:val="24"/>
        </w:rPr>
        <w:t>同业存款。</w:t>
      </w:r>
    </w:p>
    <w:p w14:paraId="19BAEBA7" w14:textId="77777777" w:rsidR="00575260" w:rsidRPr="00575260" w:rsidRDefault="00575260"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同业存款，是指金融机构之间开展的同业资金存入与存出业务，其中资金存入方仅为具有吸收存款资格的金融机构。</w:t>
      </w:r>
    </w:p>
    <w:p w14:paraId="32EF1FAA" w14:textId="206CCB20" w:rsidR="00575260" w:rsidRPr="00575260" w:rsidRDefault="00575260" w:rsidP="00575260">
      <w:pPr>
        <w:spacing w:beforeLines="50" w:before="156" w:line="480" w:lineRule="atLeast"/>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bookmarkStart w:id="2" w:name="_Hlk52390736"/>
      <w:r w:rsidR="007B36E7">
        <w:rPr>
          <w:rFonts w:asciiTheme="minorEastAsia" w:hAnsiTheme="minorEastAsia"/>
          <w:sz w:val="24"/>
          <w:szCs w:val="24"/>
        </w:rPr>
        <w:fldChar w:fldCharType="begin"/>
      </w:r>
      <w:r w:rsidR="007B36E7">
        <w:rPr>
          <w:rFonts w:asciiTheme="minorEastAsia" w:hAnsiTheme="minorEastAsia"/>
          <w:sz w:val="24"/>
          <w:szCs w:val="24"/>
        </w:rPr>
        <w:instrText xml:space="preserve"> HYPERLINK "http://ssfb86.com/index/News/detail/newsid/716.html" </w:instrText>
      </w:r>
      <w:r w:rsidR="007B36E7">
        <w:rPr>
          <w:rFonts w:asciiTheme="minorEastAsia" w:hAnsiTheme="minorEastAsia"/>
          <w:sz w:val="24"/>
          <w:szCs w:val="24"/>
        </w:rPr>
      </w:r>
      <w:r w:rsidR="007B36E7">
        <w:rPr>
          <w:rFonts w:asciiTheme="minorEastAsia" w:hAnsiTheme="minorEastAsia"/>
          <w:sz w:val="24"/>
          <w:szCs w:val="24"/>
        </w:rPr>
        <w:fldChar w:fldCharType="separate"/>
      </w:r>
      <w:r w:rsidRPr="007B36E7">
        <w:rPr>
          <w:rStyle w:val="a4"/>
          <w:rFonts w:asciiTheme="minorEastAsia" w:hAnsiTheme="minorEastAsia" w:hint="eastAsia"/>
          <w:sz w:val="24"/>
          <w:szCs w:val="24"/>
        </w:rPr>
        <w:t>财税〔2016〕70号</w:t>
      </w:r>
      <w:r w:rsidR="007B36E7">
        <w:rPr>
          <w:rFonts w:asciiTheme="minorEastAsia" w:hAnsiTheme="minorEastAsia"/>
          <w:sz w:val="24"/>
          <w:szCs w:val="24"/>
        </w:rPr>
        <w:fldChar w:fldCharType="end"/>
      </w:r>
      <w:bookmarkEnd w:id="2"/>
      <w:r w:rsidRPr="00575260">
        <w:rPr>
          <w:rFonts w:asciiTheme="minorEastAsia" w:hAnsiTheme="minorEastAsia" w:hint="eastAsia"/>
          <w:color w:val="000000" w:themeColor="text1"/>
          <w:sz w:val="24"/>
          <w:szCs w:val="24"/>
        </w:rPr>
        <w:t>第一条第一款）</w:t>
      </w:r>
    </w:p>
    <w:p w14:paraId="1A9E86DD"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lastRenderedPageBreak/>
        <w:t>4</w:t>
      </w:r>
      <w:r w:rsidRPr="00575260">
        <w:rPr>
          <w:sz w:val="24"/>
          <w:szCs w:val="24"/>
        </w:rPr>
        <w:t>.</w:t>
      </w:r>
      <w:r w:rsidRPr="00575260">
        <w:rPr>
          <w:rFonts w:hint="eastAsia"/>
          <w:sz w:val="24"/>
          <w:szCs w:val="24"/>
        </w:rPr>
        <w:t>同业借款。</w:t>
      </w:r>
    </w:p>
    <w:p w14:paraId="4EA89869" w14:textId="77777777" w:rsidR="00575260" w:rsidRPr="00575260" w:rsidRDefault="00575260"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同业借款，是指法律法规赋予此项业务范围的金融机构开展的同业资金借出和借入业务。此条款所称“法律法规赋予此项业务范围的金融机构”主要是指农村信用社之间以及在金融机构营业执照列示的业务范围中有反映为“向金融机构借款”业务的金融机构。</w:t>
      </w:r>
    </w:p>
    <w:p w14:paraId="34EBE2F7" w14:textId="705EAA68" w:rsidR="00575260" w:rsidRPr="00575260" w:rsidRDefault="00575260" w:rsidP="00575260">
      <w:pPr>
        <w:spacing w:beforeLines="50" w:before="156" w:line="480" w:lineRule="atLeast"/>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hyperlink r:id="rId12" w:history="1">
        <w:r w:rsidR="007B36E7" w:rsidRPr="007B36E7">
          <w:rPr>
            <w:rStyle w:val="a4"/>
            <w:rFonts w:asciiTheme="minorEastAsia" w:hAnsiTheme="minorEastAsia" w:hint="eastAsia"/>
            <w:sz w:val="24"/>
            <w:szCs w:val="24"/>
          </w:rPr>
          <w:t>财税〔2016〕70号</w:t>
        </w:r>
      </w:hyperlink>
      <w:r w:rsidRPr="00575260">
        <w:rPr>
          <w:rFonts w:asciiTheme="minorEastAsia" w:hAnsiTheme="minorEastAsia" w:hint="eastAsia"/>
          <w:color w:val="000000" w:themeColor="text1"/>
          <w:sz w:val="24"/>
          <w:szCs w:val="24"/>
        </w:rPr>
        <w:t>第一条第二款）</w:t>
      </w:r>
    </w:p>
    <w:p w14:paraId="586EEA02"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5</w:t>
      </w:r>
      <w:r w:rsidRPr="00575260">
        <w:rPr>
          <w:sz w:val="24"/>
          <w:szCs w:val="24"/>
        </w:rPr>
        <w:t>.</w:t>
      </w:r>
      <w:r w:rsidRPr="00575260">
        <w:rPr>
          <w:rFonts w:hint="eastAsia"/>
          <w:sz w:val="24"/>
          <w:szCs w:val="24"/>
        </w:rPr>
        <w:t>同业代付。</w:t>
      </w:r>
    </w:p>
    <w:p w14:paraId="3214251F" w14:textId="77777777" w:rsidR="00575260" w:rsidRPr="00575260" w:rsidRDefault="00575260"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同业代付，是指商业银行（受托方）接受金融机构（委托方）的委托向企业客户付款，委托方在约定还款日偿还代付款项本息的资金融通行为。</w:t>
      </w:r>
    </w:p>
    <w:p w14:paraId="49E0DA4C" w14:textId="2703CACF" w:rsidR="00575260" w:rsidRPr="00575260" w:rsidRDefault="00575260" w:rsidP="00575260">
      <w:pPr>
        <w:spacing w:beforeLines="50" w:before="156" w:line="480" w:lineRule="atLeast"/>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hyperlink r:id="rId13" w:history="1">
        <w:r w:rsidR="007B36E7" w:rsidRPr="007B36E7">
          <w:rPr>
            <w:rStyle w:val="a4"/>
            <w:rFonts w:asciiTheme="minorEastAsia" w:hAnsiTheme="minorEastAsia" w:hint="eastAsia"/>
            <w:sz w:val="24"/>
            <w:szCs w:val="24"/>
          </w:rPr>
          <w:t>财税〔2016〕70号</w:t>
        </w:r>
      </w:hyperlink>
      <w:r w:rsidRPr="00575260">
        <w:rPr>
          <w:rFonts w:asciiTheme="minorEastAsia" w:hAnsiTheme="minorEastAsia" w:hint="eastAsia"/>
          <w:color w:val="000000" w:themeColor="text1"/>
          <w:sz w:val="24"/>
          <w:szCs w:val="24"/>
        </w:rPr>
        <w:t>第一条第三款）</w:t>
      </w:r>
    </w:p>
    <w:p w14:paraId="52236CC0"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6</w:t>
      </w:r>
      <w:r w:rsidRPr="00575260">
        <w:rPr>
          <w:sz w:val="24"/>
          <w:szCs w:val="24"/>
        </w:rPr>
        <w:t>.</w:t>
      </w:r>
      <w:r w:rsidRPr="00575260">
        <w:rPr>
          <w:rFonts w:hint="eastAsia"/>
          <w:sz w:val="24"/>
          <w:szCs w:val="24"/>
        </w:rPr>
        <w:t>买断式买入返售金融商品。</w:t>
      </w:r>
    </w:p>
    <w:p w14:paraId="340FE51B" w14:textId="77777777" w:rsidR="00575260" w:rsidRPr="00575260" w:rsidRDefault="00575260"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买断式买入返售金融商品，是指金融商品持有人（正回购方）将债券等金融商品卖给债券购买方（逆回购方）的同时，交易双方约定在未来某一日期，正回购方再以约定价格从逆回购方买回相等数量同种债券等金融商品的交易行为。</w:t>
      </w:r>
    </w:p>
    <w:p w14:paraId="60D5111A" w14:textId="5159B538" w:rsidR="00575260" w:rsidRPr="00575260" w:rsidRDefault="00575260" w:rsidP="00575260">
      <w:pPr>
        <w:spacing w:beforeLines="50" w:before="156" w:line="480" w:lineRule="atLeast"/>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hyperlink r:id="rId14" w:history="1">
        <w:r w:rsidR="007B36E7" w:rsidRPr="007B36E7">
          <w:rPr>
            <w:rStyle w:val="a4"/>
            <w:rFonts w:asciiTheme="minorEastAsia" w:hAnsiTheme="minorEastAsia" w:hint="eastAsia"/>
            <w:sz w:val="24"/>
            <w:szCs w:val="24"/>
          </w:rPr>
          <w:t>财税〔2016〕70号</w:t>
        </w:r>
      </w:hyperlink>
      <w:r w:rsidRPr="00575260">
        <w:rPr>
          <w:rFonts w:asciiTheme="minorEastAsia" w:hAnsiTheme="minorEastAsia" w:hint="eastAsia"/>
          <w:color w:val="000000" w:themeColor="text1"/>
          <w:sz w:val="24"/>
          <w:szCs w:val="24"/>
        </w:rPr>
        <w:t>第一条第四款）</w:t>
      </w:r>
    </w:p>
    <w:p w14:paraId="68FDF98B"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7</w:t>
      </w:r>
      <w:r w:rsidRPr="00575260">
        <w:rPr>
          <w:sz w:val="24"/>
          <w:szCs w:val="24"/>
        </w:rPr>
        <w:t>.</w:t>
      </w:r>
      <w:r w:rsidRPr="00575260">
        <w:rPr>
          <w:rFonts w:hint="eastAsia"/>
          <w:sz w:val="24"/>
          <w:szCs w:val="24"/>
        </w:rPr>
        <w:t>持有金融债券。</w:t>
      </w:r>
    </w:p>
    <w:p w14:paraId="725B474C" w14:textId="77777777" w:rsidR="00575260" w:rsidRPr="00575260" w:rsidRDefault="00575260"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金融债券，是指依法在中华人民共和国境内设立的金融机构法人在全国银行间和交易所债券市场发行的、按约定还本付息的有价证券。</w:t>
      </w:r>
    </w:p>
    <w:p w14:paraId="32CB2DD7" w14:textId="3EBBF7FD" w:rsidR="00575260" w:rsidRPr="00575260" w:rsidRDefault="00575260" w:rsidP="00575260">
      <w:pPr>
        <w:spacing w:beforeLines="50" w:before="156" w:line="480" w:lineRule="atLeast"/>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hyperlink r:id="rId15" w:history="1">
        <w:r w:rsidR="007B36E7" w:rsidRPr="007B36E7">
          <w:rPr>
            <w:rStyle w:val="a4"/>
            <w:rFonts w:asciiTheme="minorEastAsia" w:hAnsiTheme="minorEastAsia" w:hint="eastAsia"/>
            <w:sz w:val="24"/>
            <w:szCs w:val="24"/>
          </w:rPr>
          <w:t>财税〔2016〕70号</w:t>
        </w:r>
      </w:hyperlink>
      <w:r w:rsidRPr="00575260">
        <w:rPr>
          <w:rFonts w:asciiTheme="minorEastAsia" w:hAnsiTheme="minorEastAsia" w:hint="eastAsia"/>
          <w:color w:val="000000" w:themeColor="text1"/>
          <w:sz w:val="24"/>
          <w:szCs w:val="24"/>
        </w:rPr>
        <w:t>第一条第五款）</w:t>
      </w:r>
    </w:p>
    <w:p w14:paraId="37AA5511"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8</w:t>
      </w:r>
      <w:r w:rsidRPr="00575260">
        <w:rPr>
          <w:sz w:val="24"/>
          <w:szCs w:val="24"/>
        </w:rPr>
        <w:t>.</w:t>
      </w:r>
      <w:r w:rsidRPr="00575260">
        <w:rPr>
          <w:rFonts w:hint="eastAsia"/>
          <w:sz w:val="24"/>
          <w:szCs w:val="24"/>
        </w:rPr>
        <w:t>同业存单。</w:t>
      </w:r>
    </w:p>
    <w:p w14:paraId="1C8E3D5A" w14:textId="77777777" w:rsidR="00575260" w:rsidRPr="00575260" w:rsidRDefault="00575260" w:rsidP="0057526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同业存单，是指银行业存款类金融机构法人在全国银行间市场上发行的记账式定期存款凭证。</w:t>
      </w:r>
    </w:p>
    <w:p w14:paraId="17D466D0" w14:textId="31213A14" w:rsidR="00575260" w:rsidRPr="00575260" w:rsidRDefault="00575260" w:rsidP="00575260">
      <w:pPr>
        <w:spacing w:beforeLines="50" w:before="156" w:line="480" w:lineRule="atLeast"/>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bookmarkStart w:id="3" w:name="_Hlk52390870"/>
      <w:r w:rsidR="007B36E7">
        <w:rPr>
          <w:rFonts w:asciiTheme="minorEastAsia" w:hAnsiTheme="minorEastAsia"/>
          <w:sz w:val="24"/>
          <w:szCs w:val="24"/>
        </w:rPr>
        <w:fldChar w:fldCharType="begin"/>
      </w:r>
      <w:r w:rsidR="007B36E7">
        <w:rPr>
          <w:rFonts w:asciiTheme="minorEastAsia" w:hAnsiTheme="minorEastAsia"/>
          <w:sz w:val="24"/>
          <w:szCs w:val="24"/>
        </w:rPr>
        <w:instrText xml:space="preserve"> HYPERLINK "http://ssfb86.com/index/News/detail/newsid/716.html" </w:instrText>
      </w:r>
      <w:r w:rsidR="007B36E7">
        <w:rPr>
          <w:rFonts w:asciiTheme="minorEastAsia" w:hAnsiTheme="minorEastAsia"/>
          <w:sz w:val="24"/>
          <w:szCs w:val="24"/>
        </w:rPr>
      </w:r>
      <w:r w:rsidR="007B36E7">
        <w:rPr>
          <w:rFonts w:asciiTheme="minorEastAsia" w:hAnsiTheme="minorEastAsia"/>
          <w:sz w:val="24"/>
          <w:szCs w:val="24"/>
        </w:rPr>
        <w:fldChar w:fldCharType="separate"/>
      </w:r>
      <w:r w:rsidR="007B36E7" w:rsidRPr="007B36E7">
        <w:rPr>
          <w:rStyle w:val="a4"/>
          <w:rFonts w:asciiTheme="minorEastAsia" w:hAnsiTheme="minorEastAsia" w:hint="eastAsia"/>
          <w:sz w:val="24"/>
          <w:szCs w:val="24"/>
        </w:rPr>
        <w:t>财税〔2016〕70号</w:t>
      </w:r>
      <w:r w:rsidR="007B36E7">
        <w:rPr>
          <w:rFonts w:asciiTheme="minorEastAsia" w:hAnsiTheme="minorEastAsia"/>
          <w:sz w:val="24"/>
          <w:szCs w:val="24"/>
        </w:rPr>
        <w:fldChar w:fldCharType="end"/>
      </w:r>
      <w:bookmarkEnd w:id="3"/>
      <w:r w:rsidRPr="00575260">
        <w:rPr>
          <w:rFonts w:asciiTheme="minorEastAsia" w:hAnsiTheme="minorEastAsia" w:hint="eastAsia"/>
          <w:color w:val="000000" w:themeColor="text1"/>
          <w:sz w:val="24"/>
          <w:szCs w:val="24"/>
        </w:rPr>
        <w:t>第一条第六款）</w:t>
      </w:r>
    </w:p>
    <w:p w14:paraId="4A78E71E" w14:textId="77777777" w:rsidR="00575260" w:rsidRPr="00575260" w:rsidRDefault="00575260" w:rsidP="00575260">
      <w:pPr>
        <w:pStyle w:val="3"/>
        <w:spacing w:beforeLines="50" w:before="156" w:after="0" w:line="480" w:lineRule="atLeast"/>
        <w:rPr>
          <w:sz w:val="24"/>
          <w:szCs w:val="24"/>
        </w:rPr>
      </w:pPr>
      <w:r w:rsidRPr="00575260">
        <w:rPr>
          <w:sz w:val="24"/>
          <w:szCs w:val="24"/>
        </w:rPr>
        <w:lastRenderedPageBreak/>
        <w:t>9.</w:t>
      </w:r>
      <w:r w:rsidRPr="00575260">
        <w:rPr>
          <w:rFonts w:hint="eastAsia"/>
          <w:sz w:val="24"/>
          <w:szCs w:val="24"/>
        </w:rPr>
        <w:t>自</w:t>
      </w:r>
      <w:r w:rsidRPr="00575260">
        <w:rPr>
          <w:rFonts w:hint="eastAsia"/>
          <w:sz w:val="24"/>
          <w:szCs w:val="24"/>
        </w:rPr>
        <w:t>2018</w:t>
      </w:r>
      <w:r w:rsidRPr="00575260">
        <w:rPr>
          <w:rFonts w:hint="eastAsia"/>
          <w:sz w:val="24"/>
          <w:szCs w:val="24"/>
        </w:rPr>
        <w:t>年</w:t>
      </w:r>
      <w:r w:rsidRPr="00575260">
        <w:rPr>
          <w:rFonts w:hint="eastAsia"/>
          <w:sz w:val="24"/>
          <w:szCs w:val="24"/>
        </w:rPr>
        <w:t>1</w:t>
      </w:r>
      <w:r w:rsidRPr="00575260">
        <w:rPr>
          <w:rFonts w:hint="eastAsia"/>
          <w:sz w:val="24"/>
          <w:szCs w:val="24"/>
        </w:rPr>
        <w:t>月</w:t>
      </w:r>
      <w:r w:rsidRPr="00575260">
        <w:rPr>
          <w:rFonts w:hint="eastAsia"/>
          <w:sz w:val="24"/>
          <w:szCs w:val="24"/>
        </w:rPr>
        <w:t>1</w:t>
      </w:r>
      <w:r w:rsidRPr="00575260">
        <w:rPr>
          <w:rFonts w:hint="eastAsia"/>
          <w:sz w:val="24"/>
          <w:szCs w:val="24"/>
        </w:rPr>
        <w:t>日起，金融机构开展贴现、转贴现业务，</w:t>
      </w:r>
    </w:p>
    <w:p w14:paraId="1B475486" w14:textId="77777777" w:rsidR="00575260" w:rsidRPr="00575260" w:rsidRDefault="00575260" w:rsidP="0057526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75260">
        <w:rPr>
          <w:rFonts w:asciiTheme="minorEastAsia" w:eastAsiaTheme="minorEastAsia" w:hAnsiTheme="minorEastAsia" w:hint="eastAsia"/>
          <w:color w:val="000000" w:themeColor="text1"/>
        </w:rPr>
        <w:t>以其实际持有票据期间取得的利息收入作为贷款服务销售额计算缴纳增值税。此前贴现机构已就贴现利息收入全额缴纳增值税的票据，转贴现机构转贴现利息收入继续免征增值税。</w:t>
      </w:r>
    </w:p>
    <w:p w14:paraId="166AECC8" w14:textId="0234BE22" w:rsidR="00575260" w:rsidRPr="00575260" w:rsidRDefault="00575260" w:rsidP="007B36E7">
      <w:pPr>
        <w:widowControl/>
        <w:spacing w:beforeLines="50" w:before="156" w:line="480" w:lineRule="atLeast"/>
        <w:ind w:firstLine="480"/>
        <w:jc w:val="right"/>
        <w:rPr>
          <w:rFonts w:asciiTheme="minorEastAsia" w:hAnsiTheme="minorEastAsia"/>
          <w:color w:val="000000" w:themeColor="text1"/>
          <w:sz w:val="24"/>
          <w:szCs w:val="24"/>
        </w:rPr>
      </w:pPr>
      <w:r w:rsidRPr="00575260">
        <w:rPr>
          <w:rFonts w:asciiTheme="minorEastAsia" w:hAnsiTheme="minorEastAsia" w:hint="eastAsia"/>
          <w:color w:val="000000" w:themeColor="text1"/>
          <w:sz w:val="24"/>
          <w:szCs w:val="24"/>
        </w:rPr>
        <w:t>（</w:t>
      </w:r>
      <w:hyperlink r:id="rId16" w:history="1">
        <w:r w:rsidRPr="007B36E7">
          <w:rPr>
            <w:rStyle w:val="a4"/>
            <w:rFonts w:asciiTheme="minorEastAsia" w:hAnsiTheme="minorEastAsia" w:hint="eastAsia"/>
            <w:sz w:val="24"/>
            <w:szCs w:val="24"/>
          </w:rPr>
          <w:t>财税〔2017〕58号</w:t>
        </w:r>
      </w:hyperlink>
      <w:r w:rsidRPr="00575260">
        <w:rPr>
          <w:rFonts w:asciiTheme="minorEastAsia" w:hAnsiTheme="minorEastAsia" w:hint="eastAsia"/>
          <w:color w:val="000000" w:themeColor="text1"/>
          <w:sz w:val="24"/>
          <w:szCs w:val="24"/>
        </w:rPr>
        <w:t>第五条）</w:t>
      </w:r>
    </w:p>
    <w:p w14:paraId="1F0A63B7" w14:textId="77777777" w:rsidR="00575260" w:rsidRPr="00575260" w:rsidRDefault="00575260" w:rsidP="00575260">
      <w:pPr>
        <w:pStyle w:val="2"/>
        <w:spacing w:beforeLines="50" w:before="156" w:after="0" w:line="480" w:lineRule="atLeast"/>
        <w:rPr>
          <w:sz w:val="24"/>
          <w:szCs w:val="24"/>
        </w:rPr>
      </w:pPr>
      <w:bookmarkStart w:id="4" w:name="_Toc12894995"/>
      <w:r w:rsidRPr="00575260">
        <w:rPr>
          <w:rFonts w:hint="eastAsia"/>
          <w:sz w:val="24"/>
          <w:szCs w:val="24"/>
        </w:rPr>
        <w:t>（二）机构范围</w:t>
      </w:r>
      <w:bookmarkEnd w:id="4"/>
    </w:p>
    <w:p w14:paraId="6CA019A7"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1</w:t>
      </w:r>
      <w:r w:rsidRPr="00575260">
        <w:rPr>
          <w:sz w:val="24"/>
          <w:szCs w:val="24"/>
        </w:rPr>
        <w:t>.</w:t>
      </w:r>
      <w:r w:rsidRPr="00575260">
        <w:rPr>
          <w:sz w:val="24"/>
          <w:szCs w:val="24"/>
        </w:rPr>
        <w:t>金融机构与人民银行所发生的资金往来业务。</w:t>
      </w:r>
    </w:p>
    <w:p w14:paraId="55050205" w14:textId="77777777" w:rsidR="00575260" w:rsidRPr="00575260" w:rsidRDefault="00575260" w:rsidP="0057526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color w:val="000000" w:themeColor="text1"/>
          <w:kern w:val="0"/>
          <w:sz w:val="24"/>
          <w:szCs w:val="24"/>
        </w:rPr>
        <w:t>包括人民银行对一般金融机构贷款，以及人民银行对商业银行的再贴现等。</w:t>
      </w:r>
    </w:p>
    <w:p w14:paraId="3C2B5874" w14:textId="77875980" w:rsidR="00575260" w:rsidRPr="00575260" w:rsidRDefault="00575260" w:rsidP="00575260">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w:t>
      </w:r>
      <w:hyperlink r:id="rId17" w:history="1">
        <w:r w:rsidR="002B4CFE">
          <w:rPr>
            <w:rStyle w:val="a4"/>
            <w:rFonts w:asciiTheme="minorEastAsia" w:hAnsiTheme="minorEastAsia" w:cs="宋体" w:hint="eastAsia"/>
            <w:kern w:val="0"/>
            <w:sz w:val="24"/>
            <w:szCs w:val="24"/>
          </w:rPr>
          <w:t>财税〔2016〕36号附件3</w:t>
        </w:r>
      </w:hyperlink>
      <w:r w:rsidRPr="00575260">
        <w:rPr>
          <w:rFonts w:asciiTheme="minorEastAsia" w:hAnsiTheme="minorEastAsia" w:cs="宋体" w:hint="eastAsia"/>
          <w:color w:val="000000" w:themeColor="text1"/>
          <w:kern w:val="0"/>
          <w:sz w:val="24"/>
          <w:szCs w:val="24"/>
        </w:rPr>
        <w:t>第一条第二十三款第一项）</w:t>
      </w:r>
    </w:p>
    <w:p w14:paraId="65ED1D6D" w14:textId="585933DF" w:rsidR="00575260" w:rsidRPr="00575260" w:rsidRDefault="00575260" w:rsidP="0057526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75260">
        <w:rPr>
          <w:rFonts w:asciiTheme="minorEastAsia" w:eastAsiaTheme="minorEastAsia" w:hAnsiTheme="minorEastAsia" w:hint="eastAsia"/>
          <w:color w:val="000000" w:themeColor="text1"/>
        </w:rPr>
        <w:t>商业银行购买央行票据、与央行开展货币掉期和货币互存等业务属于</w:t>
      </w:r>
      <w:bookmarkStart w:id="5" w:name="_Hlk52390923"/>
      <w:r w:rsidR="007B36E7" w:rsidRPr="007B36E7">
        <w:rPr>
          <w:rFonts w:asciiTheme="minorHAnsi" w:eastAsiaTheme="minorEastAsia" w:hAnsiTheme="minorHAnsi" w:cstheme="minorBidi" w:hint="eastAsia"/>
          <w:color w:val="333333"/>
          <w:kern w:val="2"/>
          <w:shd w:val="clear" w:color="auto" w:fill="FFFFFF"/>
        </w:rPr>
        <w:t>《</w:t>
      </w:r>
      <w:hyperlink r:id="rId18" w:tgtFrame="_self" w:history="1">
        <w:r w:rsidR="007B36E7" w:rsidRPr="007B36E7">
          <w:rPr>
            <w:rFonts w:asciiTheme="minorHAnsi" w:eastAsiaTheme="minorEastAsia" w:hAnsiTheme="minorHAnsi" w:cstheme="minorBidi" w:hint="eastAsia"/>
            <w:color w:val="6E6E6E"/>
            <w:kern w:val="2"/>
            <w:u w:val="single"/>
            <w:shd w:val="clear" w:color="auto" w:fill="FFFFFF"/>
          </w:rPr>
          <w:t>过渡政策的规定</w:t>
        </w:r>
      </w:hyperlink>
      <w:r w:rsidR="007B36E7" w:rsidRPr="007B36E7">
        <w:rPr>
          <w:rFonts w:asciiTheme="minorHAnsi" w:eastAsiaTheme="minorEastAsia" w:hAnsiTheme="minorHAnsi" w:cstheme="minorBidi" w:hint="eastAsia"/>
          <w:color w:val="333333"/>
          <w:kern w:val="2"/>
          <w:shd w:val="clear" w:color="auto" w:fill="FFFFFF"/>
        </w:rPr>
        <w:t>》</w:t>
      </w:r>
      <w:bookmarkEnd w:id="5"/>
      <w:r w:rsidRPr="007B36E7">
        <w:rPr>
          <w:rFonts w:asciiTheme="minorEastAsia" w:eastAsiaTheme="minorEastAsia" w:hAnsiTheme="minorEastAsia" w:hint="eastAsia"/>
          <w:color w:val="000000" w:themeColor="text1"/>
        </w:rPr>
        <w:t>第一条第（二十三）款第1项所称的金融机构与人民银行所发生</w:t>
      </w:r>
      <w:r w:rsidRPr="00575260">
        <w:rPr>
          <w:rFonts w:asciiTheme="minorEastAsia" w:eastAsiaTheme="minorEastAsia" w:hAnsiTheme="minorEastAsia" w:hint="eastAsia"/>
          <w:color w:val="000000" w:themeColor="text1"/>
        </w:rPr>
        <w:t>的资金往来业务。</w:t>
      </w:r>
    </w:p>
    <w:p w14:paraId="548EBCC8" w14:textId="32A04119" w:rsidR="00575260" w:rsidRPr="00575260" w:rsidRDefault="00575260" w:rsidP="00575260">
      <w:pPr>
        <w:spacing w:beforeLines="50" w:before="156" w:line="480" w:lineRule="atLeast"/>
        <w:jc w:val="right"/>
        <w:rPr>
          <w:rFonts w:asciiTheme="minorEastAsia" w:hAnsiTheme="minorEastAsia" w:cs="宋体"/>
          <w:color w:val="000000" w:themeColor="text1"/>
          <w:kern w:val="0"/>
          <w:sz w:val="24"/>
          <w:szCs w:val="24"/>
        </w:rPr>
      </w:pPr>
      <w:r w:rsidRPr="00575260">
        <w:rPr>
          <w:rFonts w:asciiTheme="minorEastAsia" w:hAnsiTheme="minorEastAsia" w:hint="eastAsia"/>
          <w:color w:val="000000" w:themeColor="text1"/>
          <w:sz w:val="24"/>
          <w:szCs w:val="24"/>
        </w:rPr>
        <w:t>（</w:t>
      </w:r>
      <w:hyperlink r:id="rId19" w:history="1">
        <w:r w:rsidR="007B36E7" w:rsidRPr="007B36E7">
          <w:rPr>
            <w:rStyle w:val="a4"/>
            <w:rFonts w:asciiTheme="minorEastAsia" w:hAnsiTheme="minorEastAsia" w:hint="eastAsia"/>
            <w:sz w:val="24"/>
            <w:szCs w:val="24"/>
          </w:rPr>
          <w:t>财税〔2016〕70号</w:t>
        </w:r>
      </w:hyperlink>
      <w:r w:rsidRPr="00575260">
        <w:rPr>
          <w:rFonts w:asciiTheme="minorEastAsia" w:hAnsiTheme="minorEastAsia" w:hint="eastAsia"/>
          <w:color w:val="000000" w:themeColor="text1"/>
          <w:sz w:val="24"/>
          <w:szCs w:val="24"/>
        </w:rPr>
        <w:t>第二条）</w:t>
      </w:r>
    </w:p>
    <w:p w14:paraId="02ED2ADD"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2</w:t>
      </w:r>
      <w:r w:rsidRPr="00575260">
        <w:rPr>
          <w:sz w:val="24"/>
          <w:szCs w:val="24"/>
        </w:rPr>
        <w:t>.</w:t>
      </w:r>
      <w:r w:rsidRPr="00575260">
        <w:rPr>
          <w:sz w:val="24"/>
          <w:szCs w:val="24"/>
        </w:rPr>
        <w:t>银行联行往来业务。</w:t>
      </w:r>
    </w:p>
    <w:p w14:paraId="5F920A78" w14:textId="77777777" w:rsidR="00575260" w:rsidRPr="00575260" w:rsidRDefault="00575260" w:rsidP="0057526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color w:val="000000" w:themeColor="text1"/>
          <w:kern w:val="0"/>
          <w:sz w:val="24"/>
          <w:szCs w:val="24"/>
        </w:rPr>
        <w:t>同一银行系统内部不同行、处之间所发生的资金账务往来业务。</w:t>
      </w:r>
    </w:p>
    <w:p w14:paraId="00A8818E" w14:textId="0DF17356" w:rsidR="00575260" w:rsidRPr="00575260" w:rsidRDefault="00575260" w:rsidP="00575260">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w:t>
      </w:r>
      <w:hyperlink r:id="rId20" w:history="1">
        <w:r w:rsidR="002B4CFE">
          <w:rPr>
            <w:rStyle w:val="a4"/>
            <w:rFonts w:asciiTheme="minorEastAsia" w:hAnsiTheme="minorEastAsia" w:cs="宋体" w:hint="eastAsia"/>
            <w:kern w:val="0"/>
            <w:sz w:val="24"/>
            <w:szCs w:val="24"/>
          </w:rPr>
          <w:t>财税〔2016〕36号附件3</w:t>
        </w:r>
      </w:hyperlink>
      <w:r w:rsidRPr="00575260">
        <w:rPr>
          <w:rFonts w:asciiTheme="minorEastAsia" w:hAnsiTheme="minorEastAsia" w:cs="宋体" w:hint="eastAsia"/>
          <w:color w:val="000000" w:themeColor="text1"/>
          <w:kern w:val="0"/>
          <w:sz w:val="24"/>
          <w:szCs w:val="24"/>
        </w:rPr>
        <w:t>第一条第二十三款第二项）</w:t>
      </w:r>
    </w:p>
    <w:p w14:paraId="5B7ED48A" w14:textId="45641FE8" w:rsidR="00575260" w:rsidRPr="00575260" w:rsidRDefault="00575260" w:rsidP="00575260">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575260">
        <w:rPr>
          <w:rFonts w:asciiTheme="minorEastAsia" w:eastAsiaTheme="minorEastAsia" w:hAnsiTheme="minorEastAsia" w:hint="eastAsia"/>
          <w:color w:val="000000" w:themeColor="text1"/>
        </w:rPr>
        <w:t>境内银行与其境外的总机构、母公司之间，以及境内银行与其境外的分支机构、全资子公司之间的资金往来业务属于</w:t>
      </w:r>
      <w:r w:rsidR="00640EB5" w:rsidRPr="007B36E7">
        <w:rPr>
          <w:rFonts w:asciiTheme="minorHAnsi" w:eastAsiaTheme="minorEastAsia" w:hAnsiTheme="minorHAnsi" w:cstheme="minorBidi" w:hint="eastAsia"/>
          <w:color w:val="333333"/>
          <w:kern w:val="2"/>
          <w:shd w:val="clear" w:color="auto" w:fill="FFFFFF"/>
        </w:rPr>
        <w:t>《</w:t>
      </w:r>
      <w:hyperlink r:id="rId21" w:tgtFrame="_self" w:history="1">
        <w:r w:rsidR="00640EB5" w:rsidRPr="007B36E7">
          <w:rPr>
            <w:rFonts w:asciiTheme="minorHAnsi" w:eastAsiaTheme="minorEastAsia" w:hAnsiTheme="minorHAnsi" w:cstheme="minorBidi" w:hint="eastAsia"/>
            <w:color w:val="6E6E6E"/>
            <w:kern w:val="2"/>
            <w:u w:val="single"/>
            <w:shd w:val="clear" w:color="auto" w:fill="FFFFFF"/>
          </w:rPr>
          <w:t>过渡政策的规定</w:t>
        </w:r>
      </w:hyperlink>
      <w:r w:rsidR="00640EB5" w:rsidRPr="007B36E7">
        <w:rPr>
          <w:rFonts w:asciiTheme="minorHAnsi" w:eastAsiaTheme="minorEastAsia" w:hAnsiTheme="minorHAnsi" w:cstheme="minorBidi" w:hint="eastAsia"/>
          <w:color w:val="333333"/>
          <w:kern w:val="2"/>
          <w:shd w:val="clear" w:color="auto" w:fill="FFFFFF"/>
        </w:rPr>
        <w:t>》</w:t>
      </w:r>
      <w:r w:rsidRPr="00575260">
        <w:rPr>
          <w:rFonts w:asciiTheme="minorEastAsia" w:eastAsiaTheme="minorEastAsia" w:hAnsiTheme="minorEastAsia" w:hint="eastAsia"/>
          <w:color w:val="000000" w:themeColor="text1"/>
        </w:rPr>
        <w:t>第一条第（二十三）款第2项所称的银行联行往来业务。</w:t>
      </w:r>
    </w:p>
    <w:p w14:paraId="2BAC9591" w14:textId="3FE05B64" w:rsidR="00575260" w:rsidRPr="00575260" w:rsidRDefault="00575260" w:rsidP="00575260">
      <w:pPr>
        <w:spacing w:beforeLines="50" w:before="156" w:line="480" w:lineRule="atLeast"/>
        <w:jc w:val="right"/>
        <w:rPr>
          <w:rFonts w:asciiTheme="minorEastAsia" w:hAnsiTheme="minorEastAsia" w:cs="宋体"/>
          <w:color w:val="000000" w:themeColor="text1"/>
          <w:kern w:val="0"/>
          <w:sz w:val="24"/>
          <w:szCs w:val="24"/>
        </w:rPr>
      </w:pPr>
      <w:r w:rsidRPr="00575260">
        <w:rPr>
          <w:rFonts w:asciiTheme="minorEastAsia" w:hAnsiTheme="minorEastAsia" w:hint="eastAsia"/>
          <w:color w:val="000000" w:themeColor="text1"/>
          <w:sz w:val="24"/>
          <w:szCs w:val="24"/>
        </w:rPr>
        <w:t>（</w:t>
      </w:r>
      <w:hyperlink r:id="rId22" w:history="1">
        <w:r w:rsidR="00640EB5" w:rsidRPr="007B36E7">
          <w:rPr>
            <w:rStyle w:val="a4"/>
            <w:rFonts w:asciiTheme="minorEastAsia" w:hAnsiTheme="minorEastAsia" w:hint="eastAsia"/>
            <w:sz w:val="24"/>
            <w:szCs w:val="24"/>
          </w:rPr>
          <w:t>财税〔2016〕70号</w:t>
        </w:r>
      </w:hyperlink>
      <w:r w:rsidRPr="00575260">
        <w:rPr>
          <w:rFonts w:asciiTheme="minorEastAsia" w:hAnsiTheme="minorEastAsia" w:hint="eastAsia"/>
          <w:color w:val="000000" w:themeColor="text1"/>
          <w:sz w:val="24"/>
          <w:szCs w:val="24"/>
        </w:rPr>
        <w:t>第三条）</w:t>
      </w:r>
    </w:p>
    <w:p w14:paraId="16F29C0B" w14:textId="77777777" w:rsidR="00575260" w:rsidRPr="00575260" w:rsidRDefault="00575260" w:rsidP="00575260">
      <w:pPr>
        <w:pStyle w:val="3"/>
        <w:spacing w:beforeLines="50" w:before="156" w:after="0" w:line="480" w:lineRule="atLeast"/>
        <w:rPr>
          <w:sz w:val="24"/>
          <w:szCs w:val="24"/>
        </w:rPr>
      </w:pPr>
      <w:r w:rsidRPr="00575260">
        <w:rPr>
          <w:rFonts w:hint="eastAsia"/>
          <w:sz w:val="24"/>
          <w:szCs w:val="24"/>
        </w:rPr>
        <w:t>3</w:t>
      </w:r>
      <w:r w:rsidRPr="00575260">
        <w:rPr>
          <w:sz w:val="24"/>
          <w:szCs w:val="24"/>
        </w:rPr>
        <w:t>.</w:t>
      </w:r>
      <w:r w:rsidRPr="00575260">
        <w:rPr>
          <w:sz w:val="24"/>
          <w:szCs w:val="24"/>
        </w:rPr>
        <w:t>金融机构间的资金往来业务。</w:t>
      </w:r>
    </w:p>
    <w:p w14:paraId="74590698" w14:textId="77777777" w:rsidR="00575260" w:rsidRPr="00575260" w:rsidRDefault="00575260" w:rsidP="0057526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color w:val="000000" w:themeColor="text1"/>
          <w:kern w:val="0"/>
          <w:sz w:val="24"/>
          <w:szCs w:val="24"/>
        </w:rPr>
        <w:t>是指经人民银行批准，进入全国银行间同业拆借市场的金融机构之间通过全国统一的同业拆借网络进行的短期(一年以下含一年)无担保资金融通行为。</w:t>
      </w:r>
    </w:p>
    <w:p w14:paraId="165EE2B1" w14:textId="09F11D30" w:rsidR="00575260" w:rsidRPr="00575260" w:rsidRDefault="00575260" w:rsidP="00575260">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lastRenderedPageBreak/>
        <w:t>（</w:t>
      </w:r>
      <w:hyperlink r:id="rId23" w:history="1">
        <w:r w:rsidR="002B4CFE">
          <w:rPr>
            <w:rStyle w:val="a4"/>
            <w:rFonts w:asciiTheme="minorEastAsia" w:hAnsiTheme="minorEastAsia" w:cs="宋体" w:hint="eastAsia"/>
            <w:kern w:val="0"/>
            <w:sz w:val="24"/>
            <w:szCs w:val="24"/>
          </w:rPr>
          <w:t>财税〔2016〕36号附件3</w:t>
        </w:r>
      </w:hyperlink>
      <w:r w:rsidRPr="00575260">
        <w:rPr>
          <w:rFonts w:asciiTheme="minorEastAsia" w:hAnsiTheme="minorEastAsia" w:cs="宋体" w:hint="eastAsia"/>
          <w:color w:val="000000" w:themeColor="text1"/>
          <w:kern w:val="0"/>
          <w:sz w:val="24"/>
          <w:szCs w:val="24"/>
        </w:rPr>
        <w:t>第一条第二十三款第三项）</w:t>
      </w:r>
    </w:p>
    <w:p w14:paraId="512B6250" w14:textId="77777777" w:rsidR="00575260" w:rsidRPr="00575260" w:rsidRDefault="00575260" w:rsidP="00575260">
      <w:pPr>
        <w:pStyle w:val="1"/>
        <w:spacing w:beforeLines="50" w:before="156" w:after="0" w:line="480" w:lineRule="atLeast"/>
        <w:rPr>
          <w:rFonts w:cs="宋体"/>
          <w:kern w:val="0"/>
          <w:sz w:val="24"/>
          <w:szCs w:val="24"/>
        </w:rPr>
      </w:pPr>
      <w:bookmarkStart w:id="6" w:name="_Toc12894996"/>
      <w:r w:rsidRPr="00575260">
        <w:rPr>
          <w:rFonts w:hint="eastAsia"/>
          <w:sz w:val="24"/>
          <w:szCs w:val="24"/>
        </w:rPr>
        <w:t>二、</w:t>
      </w:r>
      <w:r w:rsidRPr="00575260">
        <w:rPr>
          <w:sz w:val="24"/>
          <w:szCs w:val="24"/>
        </w:rPr>
        <w:t>国家商品储备管理单位及其直属企业承担商品储备任务，从中央或者地方财政取得的利息补贴收入和价差补贴收入。</w:t>
      </w:r>
      <w:bookmarkEnd w:id="6"/>
    </w:p>
    <w:p w14:paraId="086771E1" w14:textId="02EEFDBC" w:rsidR="00575260" w:rsidRPr="00575260" w:rsidRDefault="00575260" w:rsidP="00575260">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w:t>
      </w:r>
      <w:hyperlink r:id="rId24" w:history="1">
        <w:r w:rsidR="002B4CFE">
          <w:rPr>
            <w:rStyle w:val="a4"/>
            <w:rFonts w:asciiTheme="minorEastAsia" w:hAnsiTheme="minorEastAsia" w:cs="宋体" w:hint="eastAsia"/>
            <w:kern w:val="0"/>
            <w:sz w:val="24"/>
            <w:szCs w:val="24"/>
          </w:rPr>
          <w:t>财税〔2016〕36号附件3</w:t>
        </w:r>
      </w:hyperlink>
      <w:r w:rsidRPr="00575260">
        <w:rPr>
          <w:rFonts w:asciiTheme="minorEastAsia" w:hAnsiTheme="minorEastAsia" w:cs="宋体" w:hint="eastAsia"/>
          <w:color w:val="000000" w:themeColor="text1"/>
          <w:kern w:val="0"/>
          <w:sz w:val="24"/>
          <w:szCs w:val="24"/>
        </w:rPr>
        <w:t>第一条第二十五款）</w:t>
      </w:r>
    </w:p>
    <w:p w14:paraId="03887DEA" w14:textId="77777777" w:rsidR="00575260" w:rsidRPr="00575260" w:rsidRDefault="00575260" w:rsidP="0057526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575260">
        <w:rPr>
          <w:rFonts w:asciiTheme="minorEastAsia" w:hAnsiTheme="minorEastAsia" w:cs="宋体"/>
          <w:color w:val="000000" w:themeColor="text1"/>
          <w:kern w:val="0"/>
          <w:sz w:val="24"/>
          <w:szCs w:val="24"/>
        </w:rPr>
        <w:t>国家商品储备管理单位及其直属企业，是指接受中央、省、市、县四级政府有关部门(或者政府指定管理单位)委托，承担粮(含大豆)、食用油、棉、糖、肉、盐(限于中央储备)等6种商品储备任务，并按有关政策收储、销售上述6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14:paraId="26531DD3" w14:textId="55E96B99" w:rsidR="00575260" w:rsidRPr="00575260" w:rsidRDefault="00575260" w:rsidP="00575260">
      <w:pPr>
        <w:widowControl/>
        <w:spacing w:beforeLines="50" w:before="156" w:line="480" w:lineRule="atLeast"/>
        <w:ind w:firstLine="480"/>
        <w:jc w:val="right"/>
        <w:rPr>
          <w:rFonts w:asciiTheme="minorEastAsia" w:hAnsiTheme="minorEastAsia" w:cs="宋体"/>
          <w:color w:val="000000" w:themeColor="text1"/>
          <w:kern w:val="0"/>
          <w:sz w:val="24"/>
          <w:szCs w:val="24"/>
        </w:rPr>
      </w:pPr>
      <w:r w:rsidRPr="00575260">
        <w:rPr>
          <w:rFonts w:asciiTheme="minorEastAsia" w:hAnsiTheme="minorEastAsia" w:cs="宋体" w:hint="eastAsia"/>
          <w:color w:val="000000" w:themeColor="text1"/>
          <w:kern w:val="0"/>
          <w:sz w:val="24"/>
          <w:szCs w:val="24"/>
        </w:rPr>
        <w:t>（</w:t>
      </w:r>
      <w:hyperlink r:id="rId25" w:history="1">
        <w:r w:rsidR="002B4CFE">
          <w:rPr>
            <w:rStyle w:val="a4"/>
            <w:rFonts w:asciiTheme="minorEastAsia" w:hAnsiTheme="minorEastAsia" w:cs="宋体" w:hint="eastAsia"/>
            <w:kern w:val="0"/>
            <w:sz w:val="24"/>
            <w:szCs w:val="24"/>
          </w:rPr>
          <w:t>财税〔2016〕36号附件3</w:t>
        </w:r>
      </w:hyperlink>
      <w:r w:rsidRPr="00575260">
        <w:rPr>
          <w:rFonts w:asciiTheme="minorEastAsia" w:hAnsiTheme="minorEastAsia" w:cs="宋体" w:hint="eastAsia"/>
          <w:color w:val="000000" w:themeColor="text1"/>
          <w:kern w:val="0"/>
          <w:sz w:val="24"/>
          <w:szCs w:val="24"/>
        </w:rPr>
        <w:t>第一条第二十五款第一项）</w:t>
      </w:r>
    </w:p>
    <w:p w14:paraId="70A33B19" w14:textId="77777777" w:rsidR="00575260" w:rsidRPr="00575260" w:rsidRDefault="00575260" w:rsidP="00F8336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shd w:val="clear" w:color="auto" w:fill="FFFFFF"/>
        </w:rPr>
      </w:pPr>
    </w:p>
    <w:sectPr w:rsidR="00575260" w:rsidRPr="00575260">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FF5D1" w14:textId="77777777" w:rsidR="007736A9" w:rsidRDefault="007736A9" w:rsidP="008A4976">
      <w:r>
        <w:separator/>
      </w:r>
    </w:p>
  </w:endnote>
  <w:endnote w:type="continuationSeparator" w:id="0">
    <w:p w14:paraId="042D8F39" w14:textId="77777777" w:rsidR="007736A9" w:rsidRDefault="007736A9"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F5ABB" w14:textId="77777777" w:rsidR="007736A9" w:rsidRDefault="007736A9" w:rsidP="008A4976">
      <w:r>
        <w:separator/>
      </w:r>
    </w:p>
  </w:footnote>
  <w:footnote w:type="continuationSeparator" w:id="0">
    <w:p w14:paraId="4E04F290" w14:textId="77777777" w:rsidR="007736A9" w:rsidRDefault="007736A9"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16EF"/>
    <w:rsid w:val="00014CD4"/>
    <w:rsid w:val="00017FC7"/>
    <w:rsid w:val="000219A8"/>
    <w:rsid w:val="00027DBA"/>
    <w:rsid w:val="0004598D"/>
    <w:rsid w:val="000677D9"/>
    <w:rsid w:val="000A64D6"/>
    <w:rsid w:val="000B54EA"/>
    <w:rsid w:val="000C39CC"/>
    <w:rsid w:val="000D68FC"/>
    <w:rsid w:val="000F63F0"/>
    <w:rsid w:val="001006DF"/>
    <w:rsid w:val="00103159"/>
    <w:rsid w:val="001155BA"/>
    <w:rsid w:val="00121E60"/>
    <w:rsid w:val="001308B0"/>
    <w:rsid w:val="0013157C"/>
    <w:rsid w:val="00132002"/>
    <w:rsid w:val="00143569"/>
    <w:rsid w:val="00150208"/>
    <w:rsid w:val="001513C9"/>
    <w:rsid w:val="00154FB8"/>
    <w:rsid w:val="00155BDD"/>
    <w:rsid w:val="00156542"/>
    <w:rsid w:val="00160A63"/>
    <w:rsid w:val="0017199C"/>
    <w:rsid w:val="001728BF"/>
    <w:rsid w:val="00176747"/>
    <w:rsid w:val="001772C9"/>
    <w:rsid w:val="00184243"/>
    <w:rsid w:val="00191751"/>
    <w:rsid w:val="001C03AC"/>
    <w:rsid w:val="001C5540"/>
    <w:rsid w:val="001F68DD"/>
    <w:rsid w:val="002117B6"/>
    <w:rsid w:val="002149B9"/>
    <w:rsid w:val="00223407"/>
    <w:rsid w:val="002362EB"/>
    <w:rsid w:val="0024099E"/>
    <w:rsid w:val="002520C4"/>
    <w:rsid w:val="002529D0"/>
    <w:rsid w:val="0025647B"/>
    <w:rsid w:val="0026184E"/>
    <w:rsid w:val="002872DB"/>
    <w:rsid w:val="002A1609"/>
    <w:rsid w:val="002B4CFE"/>
    <w:rsid w:val="002C12B7"/>
    <w:rsid w:val="002C7C6C"/>
    <w:rsid w:val="002D044F"/>
    <w:rsid w:val="002D2FBC"/>
    <w:rsid w:val="002D5F4B"/>
    <w:rsid w:val="002E6A5E"/>
    <w:rsid w:val="002E7F9B"/>
    <w:rsid w:val="003035DC"/>
    <w:rsid w:val="00305697"/>
    <w:rsid w:val="003056BA"/>
    <w:rsid w:val="00312EA9"/>
    <w:rsid w:val="00321CBA"/>
    <w:rsid w:val="00322677"/>
    <w:rsid w:val="00333946"/>
    <w:rsid w:val="00345449"/>
    <w:rsid w:val="00367BC6"/>
    <w:rsid w:val="00372C73"/>
    <w:rsid w:val="0038111A"/>
    <w:rsid w:val="003811BF"/>
    <w:rsid w:val="00390DA8"/>
    <w:rsid w:val="003A1160"/>
    <w:rsid w:val="003A74F1"/>
    <w:rsid w:val="003C497B"/>
    <w:rsid w:val="003C7F2C"/>
    <w:rsid w:val="003F6377"/>
    <w:rsid w:val="00401CBE"/>
    <w:rsid w:val="00406804"/>
    <w:rsid w:val="00420292"/>
    <w:rsid w:val="0042444F"/>
    <w:rsid w:val="00454939"/>
    <w:rsid w:val="004560EB"/>
    <w:rsid w:val="0046344C"/>
    <w:rsid w:val="004709B3"/>
    <w:rsid w:val="004A5C13"/>
    <w:rsid w:val="004B4947"/>
    <w:rsid w:val="004B74E4"/>
    <w:rsid w:val="004B7B26"/>
    <w:rsid w:val="004D09C2"/>
    <w:rsid w:val="004D1584"/>
    <w:rsid w:val="004D413D"/>
    <w:rsid w:val="004E4CC6"/>
    <w:rsid w:val="004E5998"/>
    <w:rsid w:val="004F31A6"/>
    <w:rsid w:val="005037B6"/>
    <w:rsid w:val="00524360"/>
    <w:rsid w:val="00534A91"/>
    <w:rsid w:val="00542FA5"/>
    <w:rsid w:val="0054631F"/>
    <w:rsid w:val="0056010D"/>
    <w:rsid w:val="00562B63"/>
    <w:rsid w:val="00575260"/>
    <w:rsid w:val="005753A0"/>
    <w:rsid w:val="005824F0"/>
    <w:rsid w:val="00586D71"/>
    <w:rsid w:val="005B647F"/>
    <w:rsid w:val="005B706B"/>
    <w:rsid w:val="005F36A9"/>
    <w:rsid w:val="00605259"/>
    <w:rsid w:val="00640EB5"/>
    <w:rsid w:val="006527E3"/>
    <w:rsid w:val="006537F7"/>
    <w:rsid w:val="00662320"/>
    <w:rsid w:val="00666C2A"/>
    <w:rsid w:val="00681677"/>
    <w:rsid w:val="00682B3C"/>
    <w:rsid w:val="006853B2"/>
    <w:rsid w:val="006A1C66"/>
    <w:rsid w:val="006B0E2E"/>
    <w:rsid w:val="006C334B"/>
    <w:rsid w:val="006D1B38"/>
    <w:rsid w:val="006D1D39"/>
    <w:rsid w:val="006E004F"/>
    <w:rsid w:val="006E0E4C"/>
    <w:rsid w:val="006E2A6B"/>
    <w:rsid w:val="006E3A91"/>
    <w:rsid w:val="006F1D1C"/>
    <w:rsid w:val="006F491F"/>
    <w:rsid w:val="006F4E16"/>
    <w:rsid w:val="007007C7"/>
    <w:rsid w:val="00703816"/>
    <w:rsid w:val="007052BC"/>
    <w:rsid w:val="007170AA"/>
    <w:rsid w:val="00722621"/>
    <w:rsid w:val="007403B4"/>
    <w:rsid w:val="00755EB9"/>
    <w:rsid w:val="00756F33"/>
    <w:rsid w:val="00757EBE"/>
    <w:rsid w:val="00766ECD"/>
    <w:rsid w:val="007736A9"/>
    <w:rsid w:val="007A62B5"/>
    <w:rsid w:val="007B36E7"/>
    <w:rsid w:val="007B5378"/>
    <w:rsid w:val="007B5A0A"/>
    <w:rsid w:val="007C4C46"/>
    <w:rsid w:val="007C5738"/>
    <w:rsid w:val="007D36EB"/>
    <w:rsid w:val="007D7D01"/>
    <w:rsid w:val="007E05A4"/>
    <w:rsid w:val="007E13F0"/>
    <w:rsid w:val="007F5152"/>
    <w:rsid w:val="007F66B9"/>
    <w:rsid w:val="0080484F"/>
    <w:rsid w:val="0081395D"/>
    <w:rsid w:val="00821857"/>
    <w:rsid w:val="00823209"/>
    <w:rsid w:val="008240FD"/>
    <w:rsid w:val="00824472"/>
    <w:rsid w:val="00827268"/>
    <w:rsid w:val="008664CB"/>
    <w:rsid w:val="0087667D"/>
    <w:rsid w:val="0088139C"/>
    <w:rsid w:val="008A4976"/>
    <w:rsid w:val="008B7351"/>
    <w:rsid w:val="008C4243"/>
    <w:rsid w:val="008D5C7D"/>
    <w:rsid w:val="008E5E79"/>
    <w:rsid w:val="008E61BB"/>
    <w:rsid w:val="008F47BC"/>
    <w:rsid w:val="008F7B13"/>
    <w:rsid w:val="00923C53"/>
    <w:rsid w:val="009308B6"/>
    <w:rsid w:val="00940E45"/>
    <w:rsid w:val="0098765B"/>
    <w:rsid w:val="0099041D"/>
    <w:rsid w:val="00995B62"/>
    <w:rsid w:val="009A0FE2"/>
    <w:rsid w:val="009B19FF"/>
    <w:rsid w:val="009D6571"/>
    <w:rsid w:val="009D726B"/>
    <w:rsid w:val="009F496B"/>
    <w:rsid w:val="009F5738"/>
    <w:rsid w:val="00A01BC0"/>
    <w:rsid w:val="00A05895"/>
    <w:rsid w:val="00A13986"/>
    <w:rsid w:val="00A14DAC"/>
    <w:rsid w:val="00A37167"/>
    <w:rsid w:val="00A5457D"/>
    <w:rsid w:val="00A61B18"/>
    <w:rsid w:val="00A763A8"/>
    <w:rsid w:val="00A82E11"/>
    <w:rsid w:val="00A9033C"/>
    <w:rsid w:val="00A92C29"/>
    <w:rsid w:val="00AB1298"/>
    <w:rsid w:val="00AB3988"/>
    <w:rsid w:val="00AC64DC"/>
    <w:rsid w:val="00AD1874"/>
    <w:rsid w:val="00AE18C8"/>
    <w:rsid w:val="00AE2264"/>
    <w:rsid w:val="00AE4E06"/>
    <w:rsid w:val="00AE598B"/>
    <w:rsid w:val="00B01699"/>
    <w:rsid w:val="00B03F68"/>
    <w:rsid w:val="00B10769"/>
    <w:rsid w:val="00B10E3F"/>
    <w:rsid w:val="00B11BAA"/>
    <w:rsid w:val="00B14E7A"/>
    <w:rsid w:val="00B27244"/>
    <w:rsid w:val="00B46CAC"/>
    <w:rsid w:val="00B66DA5"/>
    <w:rsid w:val="00B73878"/>
    <w:rsid w:val="00B85E11"/>
    <w:rsid w:val="00B86D93"/>
    <w:rsid w:val="00B92645"/>
    <w:rsid w:val="00BB0495"/>
    <w:rsid w:val="00BB3FF5"/>
    <w:rsid w:val="00BB7BB8"/>
    <w:rsid w:val="00BC03CA"/>
    <w:rsid w:val="00BD6687"/>
    <w:rsid w:val="00BF394F"/>
    <w:rsid w:val="00C03867"/>
    <w:rsid w:val="00C20B05"/>
    <w:rsid w:val="00C33B7D"/>
    <w:rsid w:val="00C407EB"/>
    <w:rsid w:val="00C457C7"/>
    <w:rsid w:val="00C617D7"/>
    <w:rsid w:val="00C8306C"/>
    <w:rsid w:val="00C833E3"/>
    <w:rsid w:val="00C93749"/>
    <w:rsid w:val="00CA0606"/>
    <w:rsid w:val="00CA532D"/>
    <w:rsid w:val="00CB0DBB"/>
    <w:rsid w:val="00CB1541"/>
    <w:rsid w:val="00CB7350"/>
    <w:rsid w:val="00CC0838"/>
    <w:rsid w:val="00CC12FA"/>
    <w:rsid w:val="00CC2C29"/>
    <w:rsid w:val="00CE0658"/>
    <w:rsid w:val="00CE6AC2"/>
    <w:rsid w:val="00CF09F4"/>
    <w:rsid w:val="00CF38AB"/>
    <w:rsid w:val="00CF3D86"/>
    <w:rsid w:val="00D001B8"/>
    <w:rsid w:val="00D227E0"/>
    <w:rsid w:val="00D243FC"/>
    <w:rsid w:val="00D35F24"/>
    <w:rsid w:val="00D718EB"/>
    <w:rsid w:val="00D7389E"/>
    <w:rsid w:val="00D74CEE"/>
    <w:rsid w:val="00D75780"/>
    <w:rsid w:val="00DA10B7"/>
    <w:rsid w:val="00DB2732"/>
    <w:rsid w:val="00DC5065"/>
    <w:rsid w:val="00DD08AF"/>
    <w:rsid w:val="00DD7786"/>
    <w:rsid w:val="00DE397A"/>
    <w:rsid w:val="00DE72F6"/>
    <w:rsid w:val="00E16CA9"/>
    <w:rsid w:val="00E44042"/>
    <w:rsid w:val="00E45235"/>
    <w:rsid w:val="00E470EA"/>
    <w:rsid w:val="00E477C0"/>
    <w:rsid w:val="00E616F1"/>
    <w:rsid w:val="00E65D3C"/>
    <w:rsid w:val="00E663A9"/>
    <w:rsid w:val="00E73BCF"/>
    <w:rsid w:val="00E8165C"/>
    <w:rsid w:val="00E9063E"/>
    <w:rsid w:val="00EB605B"/>
    <w:rsid w:val="00EB6609"/>
    <w:rsid w:val="00EB71D9"/>
    <w:rsid w:val="00ED061F"/>
    <w:rsid w:val="00ED0DC9"/>
    <w:rsid w:val="00ED50A8"/>
    <w:rsid w:val="00EE606E"/>
    <w:rsid w:val="00EE63C8"/>
    <w:rsid w:val="00EF6E63"/>
    <w:rsid w:val="00F15F80"/>
    <w:rsid w:val="00F165D2"/>
    <w:rsid w:val="00F30237"/>
    <w:rsid w:val="00F3425A"/>
    <w:rsid w:val="00F45CC6"/>
    <w:rsid w:val="00F47016"/>
    <w:rsid w:val="00F57C18"/>
    <w:rsid w:val="00F7410F"/>
    <w:rsid w:val="00F75930"/>
    <w:rsid w:val="00F83366"/>
    <w:rsid w:val="00F945C0"/>
    <w:rsid w:val="00F949F6"/>
    <w:rsid w:val="00FA2F5B"/>
    <w:rsid w:val="00FA7DCA"/>
    <w:rsid w:val="00FB3C47"/>
    <w:rsid w:val="00FB6703"/>
    <w:rsid w:val="00FB6999"/>
    <w:rsid w:val="00FC0FA7"/>
    <w:rsid w:val="00FC1C5F"/>
    <w:rsid w:val="00FC22D8"/>
    <w:rsid w:val="00FC5A25"/>
    <w:rsid w:val="00FE5A77"/>
    <w:rsid w:val="00FF0B89"/>
    <w:rsid w:val="00FF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54631F"/>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customStyle="1" w:styleId="70">
    <w:name w:val="标题 7 字符"/>
    <w:basedOn w:val="a0"/>
    <w:link w:val="7"/>
    <w:uiPriority w:val="9"/>
    <w:rsid w:val="0054631F"/>
    <w:rPr>
      <w:b/>
      <w:bCs/>
      <w:sz w:val="24"/>
      <w:szCs w:val="24"/>
    </w:rPr>
  </w:style>
  <w:style w:type="character" w:customStyle="1" w:styleId="yanse">
    <w:name w:val="yanse"/>
    <w:basedOn w:val="a0"/>
    <w:rsid w:val="002D044F"/>
  </w:style>
  <w:style w:type="character" w:styleId="ad">
    <w:name w:val="Unresolved Mention"/>
    <w:basedOn w:val="a0"/>
    <w:uiPriority w:val="99"/>
    <w:semiHidden/>
    <w:unhideWhenUsed/>
    <w:rsid w:val="0082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033.html" TargetMode="External"/><Relationship Id="rId13" Type="http://schemas.openxmlformats.org/officeDocument/2006/relationships/hyperlink" Target="http://ssfb86.com/index/News/detail/newsid/716.html" TargetMode="External"/><Relationship Id="rId18" Type="http://schemas.openxmlformats.org/officeDocument/2006/relationships/hyperlink" Target="http://ssfb86.com/index/News/detail/newsid/7033.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fb86.com/index/News/detail/newsid/7033.html" TargetMode="External"/><Relationship Id="rId7" Type="http://schemas.openxmlformats.org/officeDocument/2006/relationships/hyperlink" Target="http://ssfb86.com/index/News/detail/newsid/7033.html" TargetMode="External"/><Relationship Id="rId12" Type="http://schemas.openxmlformats.org/officeDocument/2006/relationships/hyperlink" Target="http://ssfb86.com/index/News/detail/newsid/716.html" TargetMode="External"/><Relationship Id="rId17" Type="http://schemas.openxmlformats.org/officeDocument/2006/relationships/hyperlink" Target="http://ssfb86.com/index/News/detail/newsid/7033.html" TargetMode="External"/><Relationship Id="rId25" Type="http://schemas.openxmlformats.org/officeDocument/2006/relationships/hyperlink" Target="http://ssfb86.com/index/News/detail/newsid/7033.html" TargetMode="External"/><Relationship Id="rId2" Type="http://schemas.openxmlformats.org/officeDocument/2006/relationships/styles" Target="styles.xml"/><Relationship Id="rId16" Type="http://schemas.openxmlformats.org/officeDocument/2006/relationships/hyperlink" Target="http://ssfb86.com/index/News/detail/newsid/499.html" TargetMode="External"/><Relationship Id="rId20" Type="http://schemas.openxmlformats.org/officeDocument/2006/relationships/hyperlink" Target="http://ssfb86.com/index/News/detail/newsid/7033.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767.html" TargetMode="External"/><Relationship Id="rId24" Type="http://schemas.openxmlformats.org/officeDocument/2006/relationships/hyperlink" Target="http://ssfb86.com/index/News/detail/newsid/7033.html" TargetMode="External"/><Relationship Id="rId5" Type="http://schemas.openxmlformats.org/officeDocument/2006/relationships/footnotes" Target="footnotes.xml"/><Relationship Id="rId15" Type="http://schemas.openxmlformats.org/officeDocument/2006/relationships/hyperlink" Target="http://ssfb86.com/index/News/detail/newsid/716.html" TargetMode="External"/><Relationship Id="rId23" Type="http://schemas.openxmlformats.org/officeDocument/2006/relationships/hyperlink" Target="http://ssfb86.com/index/News/detail/newsid/7033.html" TargetMode="External"/><Relationship Id="rId28" Type="http://schemas.openxmlformats.org/officeDocument/2006/relationships/theme" Target="theme/theme1.xml"/><Relationship Id="rId10" Type="http://schemas.openxmlformats.org/officeDocument/2006/relationships/hyperlink" Target="http://ssfb86.com/index/News/detail/newsid/767.html" TargetMode="External"/><Relationship Id="rId19" Type="http://schemas.openxmlformats.org/officeDocument/2006/relationships/hyperlink" Target="http://ssfb86.com/index/News/detail/newsid/716.html" TargetMode="External"/><Relationship Id="rId4" Type="http://schemas.openxmlformats.org/officeDocument/2006/relationships/webSettings" Target="webSettings.xml"/><Relationship Id="rId9" Type="http://schemas.openxmlformats.org/officeDocument/2006/relationships/hyperlink" Target="http://ssfb86.com/index/News/detail/newsid/7033.html" TargetMode="External"/><Relationship Id="rId14" Type="http://schemas.openxmlformats.org/officeDocument/2006/relationships/hyperlink" Target="http://ssfb86.com/index/News/detail/newsid/716.html" TargetMode="External"/><Relationship Id="rId22" Type="http://schemas.openxmlformats.org/officeDocument/2006/relationships/hyperlink" Target="http://ssfb86.com/index/News/detail/newsid/716.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A17-FA2E-4DB6-B21C-85EF90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2020-07-02T14:34:00Z</dcterms:created>
  <dcterms:modified xsi:type="dcterms:W3CDTF">2020-09-30T12:41:00Z</dcterms:modified>
</cp:coreProperties>
</file>