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454A79E1"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1A6406">
        <w:rPr>
          <w:color w:val="000000" w:themeColor="text1"/>
          <w:sz w:val="44"/>
          <w:szCs w:val="44"/>
        </w:rPr>
        <w:t>2</w:t>
      </w:r>
      <w:r>
        <w:rPr>
          <w:color w:val="000000" w:themeColor="text1"/>
          <w:sz w:val="44"/>
          <w:szCs w:val="44"/>
        </w:rPr>
        <w:t>.</w:t>
      </w:r>
      <w:r w:rsidR="00BC44DF">
        <w:rPr>
          <w:color w:val="000000" w:themeColor="text1"/>
          <w:sz w:val="44"/>
          <w:szCs w:val="44"/>
        </w:rPr>
        <w:t>1</w:t>
      </w:r>
      <w:r w:rsidR="008D5C7D" w:rsidRPr="007D7D01">
        <w:rPr>
          <w:color w:val="000000" w:themeColor="text1"/>
          <w:sz w:val="44"/>
          <w:szCs w:val="44"/>
        </w:rPr>
        <w:t xml:space="preserve">  </w:t>
      </w:r>
      <w:r w:rsidR="001A6406">
        <w:rPr>
          <w:rFonts w:hint="eastAsia"/>
          <w:color w:val="000000" w:themeColor="text1"/>
          <w:sz w:val="44"/>
          <w:szCs w:val="44"/>
        </w:rPr>
        <w:t>会计科目、专栏设置</w:t>
      </w:r>
    </w:p>
    <w:p w14:paraId="6CCA21F8" w14:textId="77777777" w:rsidR="007D2E37" w:rsidRDefault="007D2E37" w:rsidP="009E6A24">
      <w:pPr>
        <w:widowControl/>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p>
    <w:p w14:paraId="6C2171FE" w14:textId="68C871FF" w:rsidR="009E6A24" w:rsidRPr="009E6A24" w:rsidRDefault="009E6A24" w:rsidP="009E6A24">
      <w:pPr>
        <w:widowControl/>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color w:val="000000" w:themeColor="text1"/>
          <w:kern w:val="0"/>
          <w:sz w:val="24"/>
          <w:szCs w:val="24"/>
        </w:rPr>
        <w:t>纳税人应当按照国家统一的会计制度进行增值税会计核算。</w:t>
      </w:r>
    </w:p>
    <w:p w14:paraId="5A1F1622" w14:textId="16B74916" w:rsidR="009E6A24" w:rsidRPr="009E6A24" w:rsidRDefault="009E6A24" w:rsidP="009E6A24">
      <w:pPr>
        <w:widowControl/>
        <w:spacing w:beforeLines="50" w:before="156" w:afterLines="50" w:after="156" w:line="440" w:lineRule="atLeast"/>
        <w:ind w:firstLineChars="200" w:firstLine="480"/>
        <w:jc w:val="right"/>
        <w:rPr>
          <w:rFonts w:asciiTheme="minorEastAsia" w:hAnsiTheme="minorEastAsia" w:cs="宋体"/>
          <w:color w:val="000000" w:themeColor="text1"/>
          <w:kern w:val="0"/>
          <w:sz w:val="24"/>
          <w:szCs w:val="24"/>
        </w:rPr>
      </w:pPr>
      <w:bookmarkStart w:id="0" w:name="_Hlk7726387"/>
      <w:r w:rsidRPr="009E6A24">
        <w:rPr>
          <w:rFonts w:asciiTheme="minorEastAsia" w:hAnsiTheme="minorEastAsia" w:cs="宋体" w:hint="eastAsia"/>
          <w:color w:val="000000" w:themeColor="text1"/>
          <w:kern w:val="0"/>
          <w:sz w:val="24"/>
          <w:szCs w:val="24"/>
        </w:rPr>
        <w:t>（</w:t>
      </w:r>
      <w:hyperlink r:id="rId7" w:history="1">
        <w:r w:rsidRPr="00BB5DD7">
          <w:rPr>
            <w:rStyle w:val="a4"/>
            <w:rFonts w:asciiTheme="minorEastAsia" w:hAnsiTheme="minorEastAsia" w:cs="宋体" w:hint="eastAsia"/>
            <w:kern w:val="0"/>
            <w:sz w:val="24"/>
            <w:szCs w:val="24"/>
          </w:rPr>
          <w:t>财税[</w:t>
        </w:r>
        <w:r w:rsidRPr="00BB5DD7">
          <w:rPr>
            <w:rStyle w:val="a4"/>
            <w:rFonts w:asciiTheme="minorEastAsia" w:hAnsiTheme="minorEastAsia" w:cs="宋体"/>
            <w:kern w:val="0"/>
            <w:sz w:val="24"/>
            <w:szCs w:val="24"/>
          </w:rPr>
          <w:t>2016]36</w:t>
        </w:r>
        <w:r w:rsidRPr="00BB5DD7">
          <w:rPr>
            <w:rStyle w:val="a4"/>
            <w:rFonts w:asciiTheme="minorEastAsia" w:hAnsiTheme="minorEastAsia" w:cs="宋体" w:hint="eastAsia"/>
            <w:kern w:val="0"/>
            <w:sz w:val="24"/>
            <w:szCs w:val="24"/>
          </w:rPr>
          <w:t>号附件1</w:t>
        </w:r>
      </w:hyperlink>
      <w:r w:rsidRPr="009E6A24">
        <w:rPr>
          <w:rFonts w:asciiTheme="minorEastAsia" w:hAnsiTheme="minorEastAsia" w:cs="宋体" w:hint="eastAsia"/>
          <w:color w:val="000000" w:themeColor="text1"/>
          <w:kern w:val="0"/>
          <w:sz w:val="24"/>
          <w:szCs w:val="24"/>
        </w:rPr>
        <w:t>第八条）</w:t>
      </w:r>
    </w:p>
    <w:bookmarkEnd w:id="0"/>
    <w:p w14:paraId="3A1A1A40" w14:textId="51070CDB" w:rsidR="009E6A24" w:rsidRPr="00FB763B" w:rsidRDefault="00FB763B"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FB763B">
        <w:rPr>
          <w:rFonts w:hint="eastAsia"/>
          <w:color w:val="333333"/>
          <w:sz w:val="24"/>
          <w:szCs w:val="24"/>
          <w:shd w:val="clear" w:color="auto" w:fill="FFFFFF"/>
        </w:rPr>
        <w:t>根据《</w:t>
      </w:r>
      <w:hyperlink r:id="rId8" w:tgtFrame="_self" w:history="1">
        <w:r w:rsidRPr="00FB763B">
          <w:rPr>
            <w:rFonts w:hint="eastAsia"/>
            <w:color w:val="6E6E6E"/>
            <w:sz w:val="24"/>
            <w:szCs w:val="24"/>
            <w:u w:val="single"/>
            <w:shd w:val="clear" w:color="auto" w:fill="FFFFFF"/>
          </w:rPr>
          <w:t>中华人民共和国增值税暂行条例</w:t>
        </w:r>
      </w:hyperlink>
      <w:r w:rsidRPr="00FB763B">
        <w:rPr>
          <w:rFonts w:hint="eastAsia"/>
          <w:color w:val="333333"/>
          <w:sz w:val="24"/>
          <w:szCs w:val="24"/>
          <w:shd w:val="clear" w:color="auto" w:fill="FFFFFF"/>
        </w:rPr>
        <w:t>》和《关于全面推开营业税改征增值税试点的通知》（</w:t>
      </w:r>
      <w:hyperlink r:id="rId9" w:tgtFrame="_self" w:history="1">
        <w:r w:rsidRPr="00FB763B">
          <w:rPr>
            <w:rFonts w:hint="eastAsia"/>
            <w:color w:val="6E6E6E"/>
            <w:sz w:val="24"/>
            <w:szCs w:val="24"/>
            <w:u w:val="single"/>
            <w:shd w:val="clear" w:color="auto" w:fill="FFFFFF"/>
          </w:rPr>
          <w:t>财税〔</w:t>
        </w:r>
        <w:r w:rsidRPr="00FB763B">
          <w:rPr>
            <w:rFonts w:hint="eastAsia"/>
            <w:color w:val="6E6E6E"/>
            <w:sz w:val="24"/>
            <w:szCs w:val="24"/>
            <w:u w:val="single"/>
            <w:shd w:val="clear" w:color="auto" w:fill="FFFFFF"/>
          </w:rPr>
          <w:t>2016</w:t>
        </w:r>
        <w:r w:rsidRPr="00FB763B">
          <w:rPr>
            <w:rFonts w:hint="eastAsia"/>
            <w:color w:val="6E6E6E"/>
            <w:sz w:val="24"/>
            <w:szCs w:val="24"/>
            <w:u w:val="single"/>
            <w:shd w:val="clear" w:color="auto" w:fill="FFFFFF"/>
          </w:rPr>
          <w:t>〕</w:t>
        </w:r>
        <w:r w:rsidRPr="00FB763B">
          <w:rPr>
            <w:rFonts w:hint="eastAsia"/>
            <w:color w:val="6E6E6E"/>
            <w:sz w:val="24"/>
            <w:szCs w:val="24"/>
            <w:u w:val="single"/>
            <w:shd w:val="clear" w:color="auto" w:fill="FFFFFF"/>
          </w:rPr>
          <w:t>36</w:t>
        </w:r>
        <w:r w:rsidRPr="00FB763B">
          <w:rPr>
            <w:rFonts w:hint="eastAsia"/>
            <w:color w:val="6E6E6E"/>
            <w:sz w:val="24"/>
            <w:szCs w:val="24"/>
            <w:u w:val="single"/>
            <w:shd w:val="clear" w:color="auto" w:fill="FFFFFF"/>
          </w:rPr>
          <w:t>号</w:t>
        </w:r>
      </w:hyperlink>
      <w:r w:rsidRPr="00FB763B">
        <w:rPr>
          <w:rFonts w:hint="eastAsia"/>
          <w:color w:val="333333"/>
          <w:sz w:val="24"/>
          <w:szCs w:val="24"/>
          <w:shd w:val="clear" w:color="auto" w:fill="FFFFFF"/>
        </w:rPr>
        <w:t>）等有关规定，现对增值税有关会计处理规定如下</w:t>
      </w:r>
      <w:r w:rsidR="009E6A24" w:rsidRPr="00FB763B">
        <w:rPr>
          <w:rFonts w:asciiTheme="minorEastAsia" w:hAnsiTheme="minorEastAsia" w:cs="宋体" w:hint="eastAsia"/>
          <w:color w:val="000000" w:themeColor="text1"/>
          <w:kern w:val="0"/>
          <w:sz w:val="24"/>
          <w:szCs w:val="24"/>
        </w:rPr>
        <w:t>：</w:t>
      </w:r>
    </w:p>
    <w:p w14:paraId="0E915358" w14:textId="77777777" w:rsidR="009E6A24" w:rsidRPr="009E6A24" w:rsidRDefault="009E6A24" w:rsidP="009E6A24">
      <w:pPr>
        <w:pStyle w:val="1"/>
      </w:pPr>
      <w:bookmarkStart w:id="1" w:name="_Toc12895098"/>
      <w:r w:rsidRPr="009E6A24">
        <w:rPr>
          <w:rFonts w:hint="eastAsia"/>
        </w:rPr>
        <w:t>一、增值税一般纳税人</w:t>
      </w:r>
      <w:bookmarkEnd w:id="1"/>
    </w:p>
    <w:p w14:paraId="7837117C"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应当在“应交税费”科目下设置“应交增值税”、“未交增值税”、“预交增值税”、“待抵扣进项税额”、“待认证进项税额”、“待转销项税额”、“增值税留抵税额”、“简易计税”、“转让金融商品应交增值税”、“代扣代交增值税”等明细科目。</w:t>
      </w:r>
    </w:p>
    <w:p w14:paraId="73A6BCED" w14:textId="45EF42D8"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bookmarkStart w:id="2" w:name="_Hlk52604227"/>
      <w:r w:rsidR="00BB5DD7">
        <w:rPr>
          <w:rFonts w:asciiTheme="minorEastAsia" w:hAnsiTheme="minorEastAsia"/>
          <w:sz w:val="24"/>
          <w:szCs w:val="24"/>
          <w:shd w:val="clear" w:color="auto" w:fill="FFFFFF"/>
        </w:rPr>
        <w:fldChar w:fldCharType="begin"/>
      </w:r>
      <w:r w:rsidR="00BB5DD7">
        <w:rPr>
          <w:rFonts w:asciiTheme="minorEastAsia" w:hAnsiTheme="minorEastAsia"/>
          <w:sz w:val="24"/>
          <w:szCs w:val="24"/>
          <w:shd w:val="clear" w:color="auto" w:fill="FFFFFF"/>
        </w:rPr>
        <w:instrText xml:space="preserve"> HYPERLINK "http://ssfb86.com/index/News/detail/newsid/595.html" </w:instrText>
      </w:r>
      <w:r w:rsidR="00BB5DD7">
        <w:rPr>
          <w:rFonts w:asciiTheme="minorEastAsia" w:hAnsiTheme="minorEastAsia"/>
          <w:sz w:val="24"/>
          <w:szCs w:val="24"/>
          <w:shd w:val="clear" w:color="auto" w:fill="FFFFFF"/>
        </w:rPr>
      </w:r>
      <w:r w:rsidR="00BB5DD7">
        <w:rPr>
          <w:rFonts w:asciiTheme="minorEastAsia" w:hAnsiTheme="minorEastAsia"/>
          <w:sz w:val="24"/>
          <w:szCs w:val="24"/>
          <w:shd w:val="clear" w:color="auto" w:fill="FFFFFF"/>
        </w:rPr>
        <w:fldChar w:fldCharType="separate"/>
      </w:r>
      <w:r w:rsidRPr="00BB5DD7">
        <w:rPr>
          <w:rStyle w:val="a4"/>
          <w:rFonts w:asciiTheme="minorEastAsia" w:hAnsiTheme="minorEastAsia" w:hint="eastAsia"/>
          <w:sz w:val="24"/>
          <w:szCs w:val="24"/>
          <w:shd w:val="clear" w:color="auto" w:fill="FFFFFF"/>
        </w:rPr>
        <w:t>财会〔2016〕22号</w:t>
      </w:r>
      <w:r w:rsidR="00BB5DD7">
        <w:rPr>
          <w:rFonts w:asciiTheme="minorEastAsia" w:hAnsiTheme="minorEastAsia"/>
          <w:sz w:val="24"/>
          <w:szCs w:val="24"/>
          <w:shd w:val="clear" w:color="auto" w:fill="FFFFFF"/>
        </w:rPr>
        <w:fldChar w:fldCharType="end"/>
      </w:r>
      <w:bookmarkEnd w:id="2"/>
      <w:r w:rsidRPr="009E6A24">
        <w:rPr>
          <w:rFonts w:asciiTheme="minorEastAsia" w:hAnsiTheme="minorEastAsia" w:hint="eastAsia"/>
          <w:color w:val="000000" w:themeColor="text1"/>
          <w:sz w:val="24"/>
          <w:szCs w:val="24"/>
          <w:shd w:val="clear" w:color="auto" w:fill="FFFFFF"/>
        </w:rPr>
        <w:t>第一条  ）</w:t>
      </w:r>
    </w:p>
    <w:p w14:paraId="5EAACC1A" w14:textId="77777777" w:rsidR="009E6A24" w:rsidRPr="009E6A24" w:rsidRDefault="009E6A24" w:rsidP="009E6A24">
      <w:pPr>
        <w:pStyle w:val="2"/>
      </w:pPr>
      <w:bookmarkStart w:id="3" w:name="_Toc12895099"/>
      <w:r w:rsidRPr="009E6A24">
        <w:rPr>
          <w:rFonts w:hint="eastAsia"/>
        </w:rPr>
        <w:t>（一）</w:t>
      </w:r>
      <w:r w:rsidRPr="009E6A24">
        <w:rPr>
          <w:rFonts w:hint="eastAsia"/>
        </w:rPr>
        <w:t xml:space="preserve"> </w:t>
      </w:r>
      <w:r w:rsidRPr="009E6A24">
        <w:rPr>
          <w:rFonts w:hint="eastAsia"/>
        </w:rPr>
        <w:t>“应交增值税”明细账内设置专栏</w:t>
      </w:r>
      <w:bookmarkEnd w:id="3"/>
    </w:p>
    <w:p w14:paraId="5964F2F6"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增值税一般纳税人应在“应交增值税”明细账内设置“进项税额”、“销项税额抵减”、“已交税金”、“转出未交增值税”、“减免税款”、“出口抵减内销产品应纳税额”、“销项税额”、“出口退税”、“进项税额转出”、“转出多交增值税”等专栏。其中：</w:t>
      </w:r>
    </w:p>
    <w:p w14:paraId="10C9A854" w14:textId="778A8DA3"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0"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w:t>
      </w:r>
    </w:p>
    <w:p w14:paraId="234B53A4" w14:textId="77777777" w:rsidR="009E6A24" w:rsidRPr="009E6A24" w:rsidRDefault="009E6A24" w:rsidP="009E6A24">
      <w:pPr>
        <w:pStyle w:val="3"/>
      </w:pPr>
      <w:bookmarkStart w:id="4" w:name="_Toc12895100"/>
      <w:r w:rsidRPr="009E6A24">
        <w:rPr>
          <w:rFonts w:hint="eastAsia"/>
        </w:rPr>
        <w:lastRenderedPageBreak/>
        <w:t>1.</w:t>
      </w:r>
      <w:r w:rsidRPr="009E6A24">
        <w:rPr>
          <w:rFonts w:hint="eastAsia"/>
        </w:rPr>
        <w:t>“进项税额”专栏</w:t>
      </w:r>
      <w:bookmarkEnd w:id="4"/>
    </w:p>
    <w:p w14:paraId="1BD48C1A"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记录一般纳税人购进货物、加工修理修配劳务、服务、无形资产或不动产而支付或负担的、准予从当期销项税额中抵扣的增值税额；</w:t>
      </w:r>
    </w:p>
    <w:p w14:paraId="440F8CE6" w14:textId="55EF0F6C"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1"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第一条第一款第一项）</w:t>
      </w:r>
    </w:p>
    <w:p w14:paraId="239D2A06" w14:textId="77777777" w:rsidR="009E6A24" w:rsidRPr="009E6A24" w:rsidRDefault="009E6A24" w:rsidP="009E6A24">
      <w:pPr>
        <w:pStyle w:val="3"/>
      </w:pPr>
      <w:bookmarkStart w:id="5" w:name="_Toc12895101"/>
      <w:r w:rsidRPr="009E6A24">
        <w:rPr>
          <w:rFonts w:hint="eastAsia"/>
        </w:rPr>
        <w:t>2.</w:t>
      </w:r>
      <w:r w:rsidRPr="009E6A24">
        <w:rPr>
          <w:rFonts w:hint="eastAsia"/>
        </w:rPr>
        <w:t>“销项税额抵减”专栏</w:t>
      </w:r>
      <w:bookmarkEnd w:id="5"/>
    </w:p>
    <w:p w14:paraId="5F61F32E"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记录一般纳税人按照现行增值税制</w:t>
      </w:r>
      <w:proofErr w:type="gramStart"/>
      <w:r w:rsidRPr="009E6A24">
        <w:rPr>
          <w:rFonts w:asciiTheme="minorEastAsia" w:hAnsiTheme="minorEastAsia" w:cs="宋体" w:hint="eastAsia"/>
          <w:color w:val="000000" w:themeColor="text1"/>
          <w:kern w:val="0"/>
          <w:sz w:val="24"/>
          <w:szCs w:val="24"/>
        </w:rPr>
        <w:t>度规定</w:t>
      </w:r>
      <w:proofErr w:type="gramEnd"/>
      <w:r w:rsidRPr="009E6A24">
        <w:rPr>
          <w:rFonts w:asciiTheme="minorEastAsia" w:hAnsiTheme="minorEastAsia" w:cs="宋体" w:hint="eastAsia"/>
          <w:color w:val="000000" w:themeColor="text1"/>
          <w:kern w:val="0"/>
          <w:sz w:val="24"/>
          <w:szCs w:val="24"/>
        </w:rPr>
        <w:t>因扣减销售额而减少的销项税额；</w:t>
      </w:r>
    </w:p>
    <w:p w14:paraId="4BBB2518" w14:textId="5BD90AB8"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2"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第一条第一款第二项）</w:t>
      </w:r>
    </w:p>
    <w:p w14:paraId="658AED72" w14:textId="77777777" w:rsidR="009E6A24" w:rsidRPr="009E6A24" w:rsidRDefault="009E6A24" w:rsidP="009E6A24">
      <w:pPr>
        <w:pStyle w:val="3"/>
      </w:pPr>
      <w:bookmarkStart w:id="6" w:name="_Toc12895102"/>
      <w:r w:rsidRPr="009E6A24">
        <w:rPr>
          <w:rFonts w:hint="eastAsia"/>
        </w:rPr>
        <w:t>3.</w:t>
      </w:r>
      <w:r w:rsidRPr="009E6A24">
        <w:rPr>
          <w:rFonts w:hint="eastAsia"/>
        </w:rPr>
        <w:t>“已交税金”专栏</w:t>
      </w:r>
      <w:bookmarkEnd w:id="6"/>
    </w:p>
    <w:p w14:paraId="1DC4258D"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记录一般纳税人当月已交纳的应交增值税额；</w:t>
      </w:r>
    </w:p>
    <w:p w14:paraId="08E164B9" w14:textId="61DF6DAE"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3"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第一条第一款第三项）</w:t>
      </w:r>
    </w:p>
    <w:p w14:paraId="49E1C028" w14:textId="77777777" w:rsidR="009E6A24" w:rsidRPr="009E6A24" w:rsidRDefault="009E6A24" w:rsidP="009E6A24">
      <w:pPr>
        <w:pStyle w:val="3"/>
      </w:pPr>
      <w:bookmarkStart w:id="7" w:name="_Toc12895103"/>
      <w:r w:rsidRPr="009E6A24">
        <w:rPr>
          <w:rFonts w:hint="eastAsia"/>
        </w:rPr>
        <w:t>4.</w:t>
      </w:r>
      <w:r w:rsidRPr="009E6A24">
        <w:rPr>
          <w:rFonts w:hint="eastAsia"/>
        </w:rPr>
        <w:t>“转出未交增值税”和“转出多交增值税”专栏</w:t>
      </w:r>
      <w:bookmarkEnd w:id="7"/>
    </w:p>
    <w:p w14:paraId="7495AC26"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分别记录一般纳税人月度终了转出当月应交未交或多交的增值税额；</w:t>
      </w:r>
    </w:p>
    <w:p w14:paraId="2CFA240B" w14:textId="28EC804F"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4"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第一条第一款第四项）</w:t>
      </w:r>
    </w:p>
    <w:p w14:paraId="134585C0" w14:textId="77777777" w:rsidR="009E6A24" w:rsidRPr="009E6A24" w:rsidRDefault="009E6A24" w:rsidP="009E6A24">
      <w:pPr>
        <w:pStyle w:val="3"/>
      </w:pPr>
      <w:bookmarkStart w:id="8" w:name="_Toc12895104"/>
      <w:r w:rsidRPr="009E6A24">
        <w:rPr>
          <w:rFonts w:hint="eastAsia"/>
        </w:rPr>
        <w:t>5.</w:t>
      </w:r>
      <w:r w:rsidRPr="009E6A24">
        <w:rPr>
          <w:rFonts w:hint="eastAsia"/>
        </w:rPr>
        <w:t>“减免税款”专栏</w:t>
      </w:r>
      <w:bookmarkEnd w:id="8"/>
    </w:p>
    <w:p w14:paraId="6D28E2BA"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记录一般纳税人按现行增值税制</w:t>
      </w:r>
      <w:proofErr w:type="gramStart"/>
      <w:r w:rsidRPr="009E6A24">
        <w:rPr>
          <w:rFonts w:asciiTheme="minorEastAsia" w:hAnsiTheme="minorEastAsia" w:cs="宋体" w:hint="eastAsia"/>
          <w:color w:val="000000" w:themeColor="text1"/>
          <w:kern w:val="0"/>
          <w:sz w:val="24"/>
          <w:szCs w:val="24"/>
        </w:rPr>
        <w:t>度规定</w:t>
      </w:r>
      <w:proofErr w:type="gramEnd"/>
      <w:r w:rsidRPr="009E6A24">
        <w:rPr>
          <w:rFonts w:asciiTheme="minorEastAsia" w:hAnsiTheme="minorEastAsia" w:cs="宋体" w:hint="eastAsia"/>
          <w:color w:val="000000" w:themeColor="text1"/>
          <w:kern w:val="0"/>
          <w:sz w:val="24"/>
          <w:szCs w:val="24"/>
        </w:rPr>
        <w:t>准予减免的增值税额；</w:t>
      </w:r>
    </w:p>
    <w:p w14:paraId="548EDA74" w14:textId="78203BC9"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5"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第一条第一款第五项）</w:t>
      </w:r>
    </w:p>
    <w:p w14:paraId="075F68BD" w14:textId="77777777" w:rsidR="009E6A24" w:rsidRPr="009E6A24" w:rsidRDefault="009E6A24" w:rsidP="009E6A24">
      <w:pPr>
        <w:pStyle w:val="3"/>
      </w:pPr>
      <w:bookmarkStart w:id="9" w:name="_Toc12895105"/>
      <w:r w:rsidRPr="009E6A24">
        <w:rPr>
          <w:rFonts w:hint="eastAsia"/>
        </w:rPr>
        <w:t>6.</w:t>
      </w:r>
      <w:r w:rsidRPr="009E6A24">
        <w:rPr>
          <w:rFonts w:hint="eastAsia"/>
        </w:rPr>
        <w:t>“出口抵减内销产品应纳税额”专栏</w:t>
      </w:r>
      <w:bookmarkEnd w:id="9"/>
    </w:p>
    <w:p w14:paraId="7241D0E8"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记录实行“免、抵、退”办法的一般纳税人按规定计算的出口货物的进项税抵减内销产品的应纳税额；</w:t>
      </w:r>
    </w:p>
    <w:p w14:paraId="61F8419A" w14:textId="1B5E99D8"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bookmarkStart w:id="10" w:name="_Hlk9280479"/>
      <w:r w:rsidRPr="009E6A24">
        <w:rPr>
          <w:rFonts w:asciiTheme="minorEastAsia" w:hAnsiTheme="minorEastAsia" w:hint="eastAsia"/>
          <w:color w:val="000000" w:themeColor="text1"/>
          <w:sz w:val="24"/>
          <w:szCs w:val="24"/>
          <w:shd w:val="clear" w:color="auto" w:fill="FFFFFF"/>
        </w:rPr>
        <w:lastRenderedPageBreak/>
        <w:t>（</w:t>
      </w:r>
      <w:hyperlink r:id="rId16"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第一条第一款第六项）</w:t>
      </w:r>
    </w:p>
    <w:p w14:paraId="0BF98B63" w14:textId="77777777" w:rsidR="009E6A24" w:rsidRPr="009E6A24" w:rsidRDefault="009E6A24" w:rsidP="009E6A24">
      <w:pPr>
        <w:pStyle w:val="3"/>
      </w:pPr>
      <w:bookmarkStart w:id="11" w:name="_Toc12895106"/>
      <w:bookmarkEnd w:id="10"/>
      <w:r w:rsidRPr="009E6A24">
        <w:rPr>
          <w:rFonts w:hint="eastAsia"/>
        </w:rPr>
        <w:t>7.</w:t>
      </w:r>
      <w:r w:rsidRPr="009E6A24">
        <w:rPr>
          <w:rFonts w:hint="eastAsia"/>
        </w:rPr>
        <w:t>“销项税额”专栏</w:t>
      </w:r>
      <w:bookmarkEnd w:id="11"/>
    </w:p>
    <w:p w14:paraId="7F6511A7"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记录一般纳税人销售货物、加工修理修配劳务、服务、无形资产或不动产应收取的增值税额；</w:t>
      </w:r>
    </w:p>
    <w:p w14:paraId="636338D0" w14:textId="62EB1C82"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7"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第一条第一款第七项）</w:t>
      </w:r>
    </w:p>
    <w:p w14:paraId="70877B38" w14:textId="77777777" w:rsidR="009E6A24" w:rsidRPr="009E6A24" w:rsidRDefault="009E6A24" w:rsidP="009E6A24">
      <w:pPr>
        <w:pStyle w:val="3"/>
      </w:pPr>
      <w:bookmarkStart w:id="12" w:name="_Toc12895107"/>
      <w:r w:rsidRPr="009E6A24">
        <w:rPr>
          <w:rFonts w:hint="eastAsia"/>
        </w:rPr>
        <w:t>8.</w:t>
      </w:r>
      <w:r w:rsidRPr="009E6A24">
        <w:rPr>
          <w:rFonts w:hint="eastAsia"/>
        </w:rPr>
        <w:t>“出口退税”专栏</w:t>
      </w:r>
      <w:bookmarkEnd w:id="12"/>
    </w:p>
    <w:p w14:paraId="188F169F"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记录一般纳税人出口货物、加工修理修配劳务、服务、无形资产按规定退回的增值税额；</w:t>
      </w:r>
    </w:p>
    <w:p w14:paraId="44638E3B" w14:textId="63C9AF62"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8"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第一条第一款第八项）</w:t>
      </w:r>
    </w:p>
    <w:p w14:paraId="3A543750" w14:textId="77777777" w:rsidR="009E6A24" w:rsidRPr="009E6A24" w:rsidRDefault="009E6A24" w:rsidP="009E6A24">
      <w:pPr>
        <w:pStyle w:val="3"/>
      </w:pPr>
      <w:bookmarkStart w:id="13" w:name="_Toc12895108"/>
      <w:r w:rsidRPr="009E6A24">
        <w:rPr>
          <w:rFonts w:hint="eastAsia"/>
        </w:rPr>
        <w:t>9.</w:t>
      </w:r>
      <w:r w:rsidRPr="009E6A24">
        <w:rPr>
          <w:rFonts w:hint="eastAsia"/>
        </w:rPr>
        <w:t>“进项税额转出”专栏</w:t>
      </w:r>
      <w:bookmarkEnd w:id="13"/>
    </w:p>
    <w:p w14:paraId="4BDAD5A6"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记录一般纳税人购进货物、加工修理修配劳务、服务、无形资产或不动产等发生非</w:t>
      </w:r>
      <w:proofErr w:type="gramStart"/>
      <w:r w:rsidRPr="009E6A24">
        <w:rPr>
          <w:rFonts w:asciiTheme="minorEastAsia" w:hAnsiTheme="minorEastAsia" w:cs="宋体" w:hint="eastAsia"/>
          <w:color w:val="000000" w:themeColor="text1"/>
          <w:kern w:val="0"/>
          <w:sz w:val="24"/>
          <w:szCs w:val="24"/>
        </w:rPr>
        <w:t>正常损失</w:t>
      </w:r>
      <w:proofErr w:type="gramEnd"/>
      <w:r w:rsidRPr="009E6A24">
        <w:rPr>
          <w:rFonts w:asciiTheme="minorEastAsia" w:hAnsiTheme="minorEastAsia" w:cs="宋体" w:hint="eastAsia"/>
          <w:color w:val="000000" w:themeColor="text1"/>
          <w:kern w:val="0"/>
          <w:sz w:val="24"/>
          <w:szCs w:val="24"/>
        </w:rPr>
        <w:t>以及其他原因而</w:t>
      </w:r>
      <w:proofErr w:type="gramStart"/>
      <w:r w:rsidRPr="009E6A24">
        <w:rPr>
          <w:rFonts w:asciiTheme="minorEastAsia" w:hAnsiTheme="minorEastAsia" w:cs="宋体" w:hint="eastAsia"/>
          <w:color w:val="000000" w:themeColor="text1"/>
          <w:kern w:val="0"/>
          <w:sz w:val="24"/>
          <w:szCs w:val="24"/>
        </w:rPr>
        <w:t>不</w:t>
      </w:r>
      <w:proofErr w:type="gramEnd"/>
      <w:r w:rsidRPr="009E6A24">
        <w:rPr>
          <w:rFonts w:asciiTheme="minorEastAsia" w:hAnsiTheme="minorEastAsia" w:cs="宋体" w:hint="eastAsia"/>
          <w:color w:val="000000" w:themeColor="text1"/>
          <w:kern w:val="0"/>
          <w:sz w:val="24"/>
          <w:szCs w:val="24"/>
        </w:rPr>
        <w:t>应从销项税额中抵扣、按规定转出的进项税额。</w:t>
      </w:r>
    </w:p>
    <w:p w14:paraId="25431620" w14:textId="1C5FB3E0"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19"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第一条第一款第九项）</w:t>
      </w:r>
    </w:p>
    <w:p w14:paraId="3FBC7740" w14:textId="77777777" w:rsidR="009E6A24" w:rsidRPr="009E6A24" w:rsidRDefault="009E6A24" w:rsidP="009E6A24">
      <w:pPr>
        <w:pStyle w:val="2"/>
      </w:pPr>
      <w:bookmarkStart w:id="14" w:name="_Toc12895109"/>
      <w:r w:rsidRPr="009E6A24">
        <w:rPr>
          <w:rFonts w:hint="eastAsia"/>
        </w:rPr>
        <w:t>（二）“未交增值税”明细科目</w:t>
      </w:r>
      <w:bookmarkEnd w:id="14"/>
    </w:p>
    <w:p w14:paraId="3C37ADBD"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核算一般纳税人月度终了从“应交增值税”或“预交增值税”明细科目转入当月应交未交、多交或预缴的增值税额，以及当月交纳以前期间未交的增值税额。</w:t>
      </w:r>
    </w:p>
    <w:p w14:paraId="3F10FD2F" w14:textId="6AE4DCC1"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0"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第一条第二款）</w:t>
      </w:r>
    </w:p>
    <w:p w14:paraId="09CDBF88" w14:textId="77777777" w:rsidR="009E6A24" w:rsidRPr="009E6A24" w:rsidRDefault="009E6A24" w:rsidP="009E6A24">
      <w:pPr>
        <w:pStyle w:val="2"/>
      </w:pPr>
      <w:bookmarkStart w:id="15" w:name="_Toc12895110"/>
      <w:r w:rsidRPr="009E6A24">
        <w:rPr>
          <w:rFonts w:hint="eastAsia"/>
        </w:rPr>
        <w:lastRenderedPageBreak/>
        <w:t>（三）“预交增值税”明细科目</w:t>
      </w:r>
      <w:bookmarkEnd w:id="15"/>
    </w:p>
    <w:p w14:paraId="35397483"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核算一般纳税人转让不动产、提供不动产经营租赁服务、提供建筑服务、采用预收款方式销售自行开发的房地产项目等，以及其他按现行增值税制</w:t>
      </w:r>
      <w:proofErr w:type="gramStart"/>
      <w:r w:rsidRPr="009E6A24">
        <w:rPr>
          <w:rFonts w:asciiTheme="minorEastAsia" w:hAnsiTheme="minorEastAsia" w:cs="宋体" w:hint="eastAsia"/>
          <w:color w:val="000000" w:themeColor="text1"/>
          <w:kern w:val="0"/>
          <w:sz w:val="24"/>
          <w:szCs w:val="24"/>
        </w:rPr>
        <w:t>度规定</w:t>
      </w:r>
      <w:proofErr w:type="gramEnd"/>
      <w:r w:rsidRPr="009E6A24">
        <w:rPr>
          <w:rFonts w:asciiTheme="minorEastAsia" w:hAnsiTheme="minorEastAsia" w:cs="宋体" w:hint="eastAsia"/>
          <w:color w:val="000000" w:themeColor="text1"/>
          <w:kern w:val="0"/>
          <w:sz w:val="24"/>
          <w:szCs w:val="24"/>
        </w:rPr>
        <w:t>应预缴的增值税额。</w:t>
      </w:r>
    </w:p>
    <w:p w14:paraId="78379097" w14:textId="1E1609E0"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1"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第一条第三款）</w:t>
      </w:r>
    </w:p>
    <w:p w14:paraId="06B2EA3E"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房地产开发企业等在预缴增值税后，应</w:t>
      </w:r>
      <w:r w:rsidRPr="009E6A24">
        <w:rPr>
          <w:rFonts w:asciiTheme="minorEastAsia" w:hAnsiTheme="minorEastAsia" w:cs="宋体" w:hint="eastAsia"/>
          <w:b/>
          <w:color w:val="000000" w:themeColor="text1"/>
          <w:kern w:val="0"/>
          <w:sz w:val="24"/>
          <w:szCs w:val="24"/>
        </w:rPr>
        <w:t>直至纳税义务发生时方可</w:t>
      </w:r>
      <w:r w:rsidRPr="009E6A24">
        <w:rPr>
          <w:rFonts w:asciiTheme="minorEastAsia" w:hAnsiTheme="minorEastAsia" w:cs="宋体" w:hint="eastAsia"/>
          <w:color w:val="000000" w:themeColor="text1"/>
          <w:kern w:val="0"/>
          <w:sz w:val="24"/>
          <w:szCs w:val="24"/>
        </w:rPr>
        <w:t>从“应交税费——预交增值税”科目结转至“应交税费——未交增值税”科目。</w:t>
      </w:r>
    </w:p>
    <w:p w14:paraId="18D109E4" w14:textId="379F666E"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2"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第二条第七款第三项）</w:t>
      </w:r>
    </w:p>
    <w:p w14:paraId="2675409A" w14:textId="77777777" w:rsidR="009E6A24" w:rsidRPr="009E6A24" w:rsidRDefault="009E6A24" w:rsidP="009E6A24">
      <w:pPr>
        <w:pStyle w:val="2"/>
      </w:pPr>
      <w:bookmarkStart w:id="16" w:name="_Toc12895111"/>
      <w:r w:rsidRPr="009E6A24">
        <w:rPr>
          <w:rFonts w:hint="eastAsia"/>
        </w:rPr>
        <w:t>（四）“待抵扣进项税额”明细科目</w:t>
      </w:r>
      <w:bookmarkEnd w:id="16"/>
    </w:p>
    <w:p w14:paraId="7B3C2670"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核算一般纳税人已取得增值税扣税凭证并经税务机关认证，按照现行增值税制</w:t>
      </w:r>
      <w:proofErr w:type="gramStart"/>
      <w:r w:rsidRPr="009E6A24">
        <w:rPr>
          <w:rFonts w:asciiTheme="minorEastAsia" w:hAnsiTheme="minorEastAsia" w:cs="宋体" w:hint="eastAsia"/>
          <w:color w:val="000000" w:themeColor="text1"/>
          <w:kern w:val="0"/>
          <w:sz w:val="24"/>
          <w:szCs w:val="24"/>
        </w:rPr>
        <w:t>度规定</w:t>
      </w:r>
      <w:proofErr w:type="gramEnd"/>
      <w:r w:rsidRPr="009E6A24">
        <w:rPr>
          <w:rFonts w:asciiTheme="minorEastAsia" w:hAnsiTheme="minorEastAsia" w:cs="宋体" w:hint="eastAsia"/>
          <w:color w:val="000000" w:themeColor="text1"/>
          <w:kern w:val="0"/>
          <w:sz w:val="24"/>
          <w:szCs w:val="24"/>
        </w:rPr>
        <w:t>准予以后期间从销项税额中抵扣的进项税额。包括：</w:t>
      </w:r>
      <w:r w:rsidRPr="00FB763B">
        <w:rPr>
          <w:rFonts w:asciiTheme="minorEastAsia" w:hAnsiTheme="minorEastAsia" w:cs="宋体" w:hint="eastAsia"/>
          <w:iCs/>
          <w:strike/>
          <w:color w:val="000000" w:themeColor="text1"/>
          <w:kern w:val="0"/>
          <w:sz w:val="24"/>
          <w:szCs w:val="24"/>
        </w:rPr>
        <w:t>一般纳税人自2016年5月1日后取得并按固定资产核算的不动产或者2016年5月1日后取得的不动产在建工程，按现行增值税制</w:t>
      </w:r>
      <w:proofErr w:type="gramStart"/>
      <w:r w:rsidRPr="00FB763B">
        <w:rPr>
          <w:rFonts w:asciiTheme="minorEastAsia" w:hAnsiTheme="minorEastAsia" w:cs="宋体" w:hint="eastAsia"/>
          <w:iCs/>
          <w:strike/>
          <w:color w:val="000000" w:themeColor="text1"/>
          <w:kern w:val="0"/>
          <w:sz w:val="24"/>
          <w:szCs w:val="24"/>
        </w:rPr>
        <w:t>度规定</w:t>
      </w:r>
      <w:proofErr w:type="gramEnd"/>
      <w:r w:rsidRPr="00FB763B">
        <w:rPr>
          <w:rFonts w:asciiTheme="minorEastAsia" w:hAnsiTheme="minorEastAsia" w:cs="宋体" w:hint="eastAsia"/>
          <w:iCs/>
          <w:strike/>
          <w:color w:val="000000" w:themeColor="text1"/>
          <w:kern w:val="0"/>
          <w:sz w:val="24"/>
          <w:szCs w:val="24"/>
        </w:rPr>
        <w:t>准予以后期间从销项税额中抵扣的进项税额</w:t>
      </w:r>
      <w:r w:rsidRPr="009E6A24">
        <w:rPr>
          <w:rFonts w:asciiTheme="minorEastAsia" w:hAnsiTheme="minorEastAsia" w:cs="宋体" w:hint="eastAsia"/>
          <w:color w:val="000000" w:themeColor="text1"/>
          <w:kern w:val="0"/>
          <w:sz w:val="24"/>
          <w:szCs w:val="24"/>
        </w:rPr>
        <w:t>；实行纳税辅导期管理的一般纳税人取得的尚未交叉稽核比对的增值税扣税凭证上注明或计算的进项税额。</w:t>
      </w:r>
    </w:p>
    <w:p w14:paraId="4D9B965D" w14:textId="32B433FD"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3"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第一条第四款）</w:t>
      </w:r>
    </w:p>
    <w:p w14:paraId="64E45B67" w14:textId="77777777" w:rsidR="009E6A24" w:rsidRPr="009E6A24" w:rsidRDefault="009E6A24" w:rsidP="009E6A24">
      <w:pPr>
        <w:pStyle w:val="2"/>
      </w:pPr>
      <w:bookmarkStart w:id="17" w:name="_Toc12895112"/>
      <w:r w:rsidRPr="009E6A24">
        <w:rPr>
          <w:rFonts w:hint="eastAsia"/>
        </w:rPr>
        <w:t>（五）“待认证进项税额”明细科目</w:t>
      </w:r>
      <w:bookmarkEnd w:id="17"/>
    </w:p>
    <w:p w14:paraId="279374A8"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核算一般纳税人由于未经税务机关认证而不得从当期销项税额中抵扣的进项税额。包括：一般纳税人已取得增值税扣税凭证、按照现行增值税制</w:t>
      </w:r>
      <w:proofErr w:type="gramStart"/>
      <w:r w:rsidRPr="009E6A24">
        <w:rPr>
          <w:rFonts w:asciiTheme="minorEastAsia" w:hAnsiTheme="minorEastAsia" w:cs="宋体" w:hint="eastAsia"/>
          <w:color w:val="000000" w:themeColor="text1"/>
          <w:kern w:val="0"/>
          <w:sz w:val="24"/>
          <w:szCs w:val="24"/>
        </w:rPr>
        <w:t>度规定</w:t>
      </w:r>
      <w:proofErr w:type="gramEnd"/>
      <w:r w:rsidRPr="009E6A24">
        <w:rPr>
          <w:rFonts w:asciiTheme="minorEastAsia" w:hAnsiTheme="minorEastAsia" w:cs="宋体" w:hint="eastAsia"/>
          <w:color w:val="000000" w:themeColor="text1"/>
          <w:kern w:val="0"/>
          <w:sz w:val="24"/>
          <w:szCs w:val="24"/>
        </w:rPr>
        <w:t>准予从销项税额中抵扣，但尚未经税务机关认证的进项税额；一般纳税人已申请</w:t>
      </w:r>
      <w:proofErr w:type="gramStart"/>
      <w:r w:rsidRPr="009E6A24">
        <w:rPr>
          <w:rFonts w:asciiTheme="minorEastAsia" w:hAnsiTheme="minorEastAsia" w:cs="宋体" w:hint="eastAsia"/>
          <w:color w:val="000000" w:themeColor="text1"/>
          <w:kern w:val="0"/>
          <w:sz w:val="24"/>
          <w:szCs w:val="24"/>
        </w:rPr>
        <w:t>稽核但</w:t>
      </w:r>
      <w:proofErr w:type="gramEnd"/>
      <w:r w:rsidRPr="009E6A24">
        <w:rPr>
          <w:rFonts w:asciiTheme="minorEastAsia" w:hAnsiTheme="minorEastAsia" w:cs="宋体" w:hint="eastAsia"/>
          <w:color w:val="000000" w:themeColor="text1"/>
          <w:kern w:val="0"/>
          <w:sz w:val="24"/>
          <w:szCs w:val="24"/>
        </w:rPr>
        <w:t>尚未取得稽核相符结果的海关缴款书进项税额。</w:t>
      </w:r>
    </w:p>
    <w:p w14:paraId="5EEF1CA2" w14:textId="11C8B147"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bookmarkStart w:id="18" w:name="_Hlk9280590"/>
      <w:r w:rsidRPr="009E6A24">
        <w:rPr>
          <w:rFonts w:asciiTheme="minorEastAsia" w:hAnsiTheme="minorEastAsia" w:hint="eastAsia"/>
          <w:color w:val="000000" w:themeColor="text1"/>
          <w:sz w:val="24"/>
          <w:szCs w:val="24"/>
          <w:shd w:val="clear" w:color="auto" w:fill="FFFFFF"/>
        </w:rPr>
        <w:t>（</w:t>
      </w:r>
      <w:hyperlink r:id="rId24"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第一条第五款）</w:t>
      </w:r>
    </w:p>
    <w:p w14:paraId="162A5742" w14:textId="77777777" w:rsidR="009E6A24" w:rsidRPr="009E6A24" w:rsidRDefault="009E6A24" w:rsidP="009E6A24">
      <w:pPr>
        <w:pStyle w:val="2"/>
      </w:pPr>
      <w:bookmarkStart w:id="19" w:name="_Toc12895113"/>
      <w:bookmarkEnd w:id="18"/>
      <w:r w:rsidRPr="009E6A24">
        <w:rPr>
          <w:rFonts w:hint="eastAsia"/>
        </w:rPr>
        <w:lastRenderedPageBreak/>
        <w:t>（六）“待转销项税额”明细科目</w:t>
      </w:r>
      <w:bookmarkEnd w:id="19"/>
    </w:p>
    <w:p w14:paraId="716241BC"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核算一般纳税人销售货物、加工修理修配劳务、服务、无形资产或不动产，已确认相关收入（或利得）但尚未发生增值税纳税义务而需于以后期间确认为销项税额的增值税额。</w:t>
      </w:r>
    </w:p>
    <w:p w14:paraId="6180C36E" w14:textId="45779961"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5"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第一条第六款）</w:t>
      </w:r>
    </w:p>
    <w:p w14:paraId="23D62FCD" w14:textId="77777777" w:rsidR="009E6A24" w:rsidRPr="009E6A24" w:rsidRDefault="009E6A24" w:rsidP="009E6A24">
      <w:pPr>
        <w:pStyle w:val="2"/>
      </w:pPr>
      <w:bookmarkStart w:id="20" w:name="_Toc12895114"/>
      <w:r w:rsidRPr="009E6A24">
        <w:rPr>
          <w:rFonts w:hint="eastAsia"/>
        </w:rPr>
        <w:t>（七）“增值税留抵税额”明细科目</w:t>
      </w:r>
      <w:bookmarkEnd w:id="20"/>
    </w:p>
    <w:p w14:paraId="6AF480F8"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核算兼有销售服务、无形资产或者不动产的原增值税一般纳税人，截止到纳入</w:t>
      </w:r>
      <w:proofErr w:type="gramStart"/>
      <w:r w:rsidRPr="009E6A24">
        <w:rPr>
          <w:rFonts w:asciiTheme="minorEastAsia" w:hAnsiTheme="minorEastAsia" w:cs="宋体" w:hint="eastAsia"/>
          <w:color w:val="000000" w:themeColor="text1"/>
          <w:kern w:val="0"/>
          <w:sz w:val="24"/>
          <w:szCs w:val="24"/>
        </w:rPr>
        <w:t>营改增试点</w:t>
      </w:r>
      <w:proofErr w:type="gramEnd"/>
      <w:r w:rsidRPr="009E6A24">
        <w:rPr>
          <w:rFonts w:asciiTheme="minorEastAsia" w:hAnsiTheme="minorEastAsia" w:cs="宋体" w:hint="eastAsia"/>
          <w:color w:val="000000" w:themeColor="text1"/>
          <w:kern w:val="0"/>
          <w:sz w:val="24"/>
          <w:szCs w:val="24"/>
        </w:rPr>
        <w:t>之日前的增值税期末留抵税额按照现行增值税制</w:t>
      </w:r>
      <w:proofErr w:type="gramStart"/>
      <w:r w:rsidRPr="009E6A24">
        <w:rPr>
          <w:rFonts w:asciiTheme="minorEastAsia" w:hAnsiTheme="minorEastAsia" w:cs="宋体" w:hint="eastAsia"/>
          <w:color w:val="000000" w:themeColor="text1"/>
          <w:kern w:val="0"/>
          <w:sz w:val="24"/>
          <w:szCs w:val="24"/>
        </w:rPr>
        <w:t>度规定</w:t>
      </w:r>
      <w:proofErr w:type="gramEnd"/>
      <w:r w:rsidRPr="009E6A24">
        <w:rPr>
          <w:rFonts w:asciiTheme="minorEastAsia" w:hAnsiTheme="minorEastAsia" w:cs="宋体" w:hint="eastAsia"/>
          <w:color w:val="000000" w:themeColor="text1"/>
          <w:kern w:val="0"/>
          <w:sz w:val="24"/>
          <w:szCs w:val="24"/>
        </w:rPr>
        <w:t>不得从销售服务、无形资产或不动产的销项税额中抵扣的增值税留抵税额。</w:t>
      </w:r>
    </w:p>
    <w:p w14:paraId="41049E75" w14:textId="169A4902"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6"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第一条第七款）</w:t>
      </w:r>
    </w:p>
    <w:p w14:paraId="693FCBCA" w14:textId="77777777" w:rsidR="009E6A24" w:rsidRPr="009E6A24" w:rsidRDefault="009E6A24" w:rsidP="009E6A24">
      <w:pPr>
        <w:pStyle w:val="2"/>
      </w:pPr>
      <w:bookmarkStart w:id="21" w:name="_Toc12895115"/>
      <w:r w:rsidRPr="009E6A24">
        <w:rPr>
          <w:rFonts w:hint="eastAsia"/>
        </w:rPr>
        <w:t>（八）“简易计税”明细科目</w:t>
      </w:r>
      <w:bookmarkEnd w:id="21"/>
    </w:p>
    <w:p w14:paraId="4F79E3B1"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核算一般纳税人采用简易计税方法发生的增值税计提、扣减、预缴、缴纳等业务。</w:t>
      </w:r>
    </w:p>
    <w:p w14:paraId="1220D8F1" w14:textId="5F52A65A"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7"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第一条第八款）</w:t>
      </w:r>
    </w:p>
    <w:p w14:paraId="112F4EA6" w14:textId="77777777" w:rsidR="009E6A24" w:rsidRPr="009E6A24" w:rsidRDefault="009E6A24" w:rsidP="009E6A24">
      <w:pPr>
        <w:pStyle w:val="2"/>
      </w:pPr>
      <w:bookmarkStart w:id="22" w:name="_Toc12895116"/>
      <w:r w:rsidRPr="009E6A24">
        <w:rPr>
          <w:rFonts w:hint="eastAsia"/>
        </w:rPr>
        <w:t>（九）“转让金融商品应交增值税”明细科目</w:t>
      </w:r>
      <w:bookmarkEnd w:id="22"/>
    </w:p>
    <w:p w14:paraId="5EE8F984"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核算增值税纳税人转让金融商品发生的增值税额。</w:t>
      </w:r>
    </w:p>
    <w:p w14:paraId="2AB9142C" w14:textId="2E042717"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8"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第一条第九款）</w:t>
      </w:r>
    </w:p>
    <w:p w14:paraId="19479FF2" w14:textId="77777777" w:rsidR="009E6A24" w:rsidRPr="009E6A24" w:rsidRDefault="009E6A24" w:rsidP="009E6A24">
      <w:pPr>
        <w:pStyle w:val="2"/>
      </w:pPr>
      <w:bookmarkStart w:id="23" w:name="_Toc12895117"/>
      <w:r w:rsidRPr="009E6A24">
        <w:rPr>
          <w:rFonts w:hint="eastAsia"/>
        </w:rPr>
        <w:t>（十）“代扣代交增值税”明细科目</w:t>
      </w:r>
      <w:bookmarkEnd w:id="23"/>
    </w:p>
    <w:p w14:paraId="6BCFD716"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核算纳税人购进在境内未设经营机构的境外单位或个人在境内的应税行为代扣代缴的增值税。</w:t>
      </w:r>
    </w:p>
    <w:p w14:paraId="1F7B4E78" w14:textId="1CFFFCED"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29"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第一条第十款第一项）</w:t>
      </w:r>
    </w:p>
    <w:p w14:paraId="587E2596" w14:textId="77777777" w:rsidR="009E6A24" w:rsidRPr="009E6A24" w:rsidRDefault="009E6A24" w:rsidP="009E6A24">
      <w:pPr>
        <w:pStyle w:val="1"/>
      </w:pPr>
      <w:bookmarkStart w:id="24" w:name="_Toc12895118"/>
      <w:r w:rsidRPr="009E6A24">
        <w:rPr>
          <w:rFonts w:hint="eastAsia"/>
        </w:rPr>
        <w:lastRenderedPageBreak/>
        <w:t>二、小规模纳税人</w:t>
      </w:r>
      <w:bookmarkEnd w:id="24"/>
    </w:p>
    <w:p w14:paraId="7A74DD15" w14:textId="77777777" w:rsidR="009E6A24" w:rsidRPr="009E6A24" w:rsidRDefault="009E6A24" w:rsidP="009E6A24">
      <w:pPr>
        <w:widowControl/>
        <w:shd w:val="clear" w:color="auto" w:fill="FFFFFF"/>
        <w:spacing w:beforeLines="50" w:before="156" w:afterLines="50" w:after="156" w:line="440" w:lineRule="atLeast"/>
        <w:ind w:firstLineChars="200" w:firstLine="480"/>
        <w:jc w:val="left"/>
        <w:rPr>
          <w:rFonts w:asciiTheme="minorEastAsia" w:hAnsiTheme="minorEastAsia" w:cs="宋体"/>
          <w:color w:val="000000" w:themeColor="text1"/>
          <w:kern w:val="0"/>
          <w:sz w:val="24"/>
          <w:szCs w:val="24"/>
        </w:rPr>
      </w:pPr>
      <w:r w:rsidRPr="009E6A24">
        <w:rPr>
          <w:rFonts w:asciiTheme="minorEastAsia" w:hAnsiTheme="minorEastAsia" w:cs="宋体" w:hint="eastAsia"/>
          <w:color w:val="000000" w:themeColor="text1"/>
          <w:kern w:val="0"/>
          <w:sz w:val="24"/>
          <w:szCs w:val="24"/>
        </w:rPr>
        <w:t>只需在“应交税费”科目下设置“应交增值税”明细科目，不需要设置上述专栏及除“转让金融商品应交增值税”、“代扣代交增值税”外的明细科目。</w:t>
      </w:r>
    </w:p>
    <w:p w14:paraId="7052568D" w14:textId="6932F793" w:rsidR="009E6A24" w:rsidRPr="009E6A24" w:rsidRDefault="009E6A24" w:rsidP="009E6A24">
      <w:pPr>
        <w:widowControl/>
        <w:shd w:val="clear" w:color="auto" w:fill="FFFFFF"/>
        <w:spacing w:beforeLines="50" w:before="156" w:afterLines="50" w:after="156" w:line="440" w:lineRule="atLeast"/>
        <w:ind w:firstLineChars="200" w:firstLine="480"/>
        <w:jc w:val="right"/>
        <w:rPr>
          <w:rFonts w:asciiTheme="minorEastAsia" w:hAnsiTheme="minorEastAsia"/>
          <w:color w:val="000000" w:themeColor="text1"/>
          <w:sz w:val="24"/>
          <w:szCs w:val="24"/>
          <w:shd w:val="clear" w:color="auto" w:fill="FFFFFF"/>
        </w:rPr>
      </w:pPr>
      <w:r w:rsidRPr="009E6A24">
        <w:rPr>
          <w:rFonts w:asciiTheme="minorEastAsia" w:hAnsiTheme="minorEastAsia" w:hint="eastAsia"/>
          <w:color w:val="000000" w:themeColor="text1"/>
          <w:sz w:val="24"/>
          <w:szCs w:val="24"/>
          <w:shd w:val="clear" w:color="auto" w:fill="FFFFFF"/>
        </w:rPr>
        <w:t>（</w:t>
      </w:r>
      <w:hyperlink r:id="rId30" w:history="1">
        <w:r w:rsidR="00BB5DD7" w:rsidRPr="00BB5DD7">
          <w:rPr>
            <w:rStyle w:val="a4"/>
            <w:rFonts w:asciiTheme="minorEastAsia" w:hAnsiTheme="minorEastAsia" w:hint="eastAsia"/>
            <w:sz w:val="24"/>
            <w:szCs w:val="24"/>
            <w:shd w:val="clear" w:color="auto" w:fill="FFFFFF"/>
          </w:rPr>
          <w:t>财会〔2016〕22号</w:t>
        </w:r>
      </w:hyperlink>
      <w:r w:rsidRPr="009E6A24">
        <w:rPr>
          <w:rFonts w:asciiTheme="minorEastAsia" w:hAnsiTheme="minorEastAsia" w:hint="eastAsia"/>
          <w:color w:val="000000" w:themeColor="text1"/>
          <w:sz w:val="24"/>
          <w:szCs w:val="24"/>
          <w:shd w:val="clear" w:color="auto" w:fill="FFFFFF"/>
        </w:rPr>
        <w:t>第一条第十款第二项）</w:t>
      </w:r>
    </w:p>
    <w:p w14:paraId="0C3A9F89" w14:textId="7E53E094" w:rsidR="00CD0B97" w:rsidRPr="009E6A24" w:rsidRDefault="00CD0B97" w:rsidP="009E6A24">
      <w:pPr>
        <w:pStyle w:val="a3"/>
        <w:shd w:val="clear" w:color="auto" w:fill="FFFFFF"/>
        <w:spacing w:beforeLines="50" w:before="156" w:line="480" w:lineRule="atLeast"/>
        <w:ind w:firstLine="482"/>
        <w:rPr>
          <w:rFonts w:asciiTheme="minorHAnsi" w:eastAsiaTheme="minorEastAsia" w:hAnsiTheme="minorHAnsi" w:cstheme="minorBidi"/>
          <w:b/>
          <w:bCs/>
          <w:kern w:val="44"/>
        </w:rPr>
      </w:pPr>
    </w:p>
    <w:p w14:paraId="72DB8F9D" w14:textId="77777777" w:rsidR="009E6A24" w:rsidRPr="00BC44DF" w:rsidRDefault="009E6A24" w:rsidP="009E6A24">
      <w:pPr>
        <w:pStyle w:val="a3"/>
        <w:shd w:val="clear" w:color="auto" w:fill="FFFFFF"/>
        <w:spacing w:beforeLines="50" w:before="156" w:line="480" w:lineRule="atLeast"/>
        <w:ind w:firstLine="482"/>
        <w:rPr>
          <w:color w:val="000000" w:themeColor="text1"/>
        </w:rPr>
      </w:pPr>
    </w:p>
    <w:sectPr w:rsidR="009E6A24" w:rsidRPr="00BC44DF">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63D4C" w14:textId="77777777" w:rsidR="001E17B5" w:rsidRDefault="001E17B5" w:rsidP="008A4976">
      <w:r>
        <w:separator/>
      </w:r>
    </w:p>
  </w:endnote>
  <w:endnote w:type="continuationSeparator" w:id="0">
    <w:p w14:paraId="3366D911" w14:textId="77777777" w:rsidR="001E17B5" w:rsidRDefault="001E17B5"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1CB4F" w14:textId="77777777" w:rsidR="001E17B5" w:rsidRDefault="001E17B5" w:rsidP="008A4976">
      <w:r>
        <w:separator/>
      </w:r>
    </w:p>
  </w:footnote>
  <w:footnote w:type="continuationSeparator" w:id="0">
    <w:p w14:paraId="7C610EDD" w14:textId="77777777" w:rsidR="001E17B5" w:rsidRDefault="001E17B5"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5328E"/>
    <w:rsid w:val="00117105"/>
    <w:rsid w:val="00124157"/>
    <w:rsid w:val="00156542"/>
    <w:rsid w:val="00177AB3"/>
    <w:rsid w:val="00180AA2"/>
    <w:rsid w:val="001A6406"/>
    <w:rsid w:val="001E17B5"/>
    <w:rsid w:val="001F0B3D"/>
    <w:rsid w:val="00223407"/>
    <w:rsid w:val="002E7F9B"/>
    <w:rsid w:val="003A1160"/>
    <w:rsid w:val="003F7956"/>
    <w:rsid w:val="00417B40"/>
    <w:rsid w:val="0046344C"/>
    <w:rsid w:val="004B74E4"/>
    <w:rsid w:val="00586D71"/>
    <w:rsid w:val="005E1334"/>
    <w:rsid w:val="00605259"/>
    <w:rsid w:val="006853B2"/>
    <w:rsid w:val="006942D5"/>
    <w:rsid w:val="007D2E37"/>
    <w:rsid w:val="007D7D01"/>
    <w:rsid w:val="007E6A30"/>
    <w:rsid w:val="0080484F"/>
    <w:rsid w:val="00831680"/>
    <w:rsid w:val="008A4976"/>
    <w:rsid w:val="008D5C7D"/>
    <w:rsid w:val="0099613C"/>
    <w:rsid w:val="009B7202"/>
    <w:rsid w:val="009E52FE"/>
    <w:rsid w:val="009E6A24"/>
    <w:rsid w:val="00AB420E"/>
    <w:rsid w:val="00B343D3"/>
    <w:rsid w:val="00B35AF5"/>
    <w:rsid w:val="00BA7E10"/>
    <w:rsid w:val="00BB5DD7"/>
    <w:rsid w:val="00BC44DF"/>
    <w:rsid w:val="00BC78B0"/>
    <w:rsid w:val="00BD6687"/>
    <w:rsid w:val="00C31744"/>
    <w:rsid w:val="00C457C7"/>
    <w:rsid w:val="00CA0606"/>
    <w:rsid w:val="00CA4174"/>
    <w:rsid w:val="00CB0DBB"/>
    <w:rsid w:val="00CD0B97"/>
    <w:rsid w:val="00D417A4"/>
    <w:rsid w:val="00D52443"/>
    <w:rsid w:val="00E477C0"/>
    <w:rsid w:val="00F57C18"/>
    <w:rsid w:val="00FB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C44D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BC44DF"/>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BB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595.html" TargetMode="External"/><Relationship Id="rId18" Type="http://schemas.openxmlformats.org/officeDocument/2006/relationships/hyperlink" Target="http://ssfb86.com/index/News/detail/newsid/595.html" TargetMode="External"/><Relationship Id="rId26" Type="http://schemas.openxmlformats.org/officeDocument/2006/relationships/hyperlink" Target="http://ssfb86.com/index/News/detail/newsid/595.html" TargetMode="External"/><Relationship Id="rId3" Type="http://schemas.openxmlformats.org/officeDocument/2006/relationships/settings" Target="settings.xml"/><Relationship Id="rId21" Type="http://schemas.openxmlformats.org/officeDocument/2006/relationships/hyperlink" Target="http://ssfb86.com/index/News/detail/newsid/595.html" TargetMode="External"/><Relationship Id="rId7" Type="http://schemas.openxmlformats.org/officeDocument/2006/relationships/hyperlink" Target="http://ssfb86.com/index/News/detail/newsid/7031.html" TargetMode="External"/><Relationship Id="rId12" Type="http://schemas.openxmlformats.org/officeDocument/2006/relationships/hyperlink" Target="http://ssfb86.com/index/News/detail/newsid/595.html" TargetMode="External"/><Relationship Id="rId17" Type="http://schemas.openxmlformats.org/officeDocument/2006/relationships/hyperlink" Target="http://ssfb86.com/index/News/detail/newsid/595.html" TargetMode="External"/><Relationship Id="rId25" Type="http://schemas.openxmlformats.org/officeDocument/2006/relationships/hyperlink" Target="http://ssfb86.com/index/News/detail/newsid/595.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595.html" TargetMode="External"/><Relationship Id="rId20" Type="http://schemas.openxmlformats.org/officeDocument/2006/relationships/hyperlink" Target="http://ssfb86.com/index/News/detail/newsid/595.html" TargetMode="External"/><Relationship Id="rId29" Type="http://schemas.openxmlformats.org/officeDocument/2006/relationships/hyperlink" Target="http://ssfb86.com/index/News/detail/newsid/595.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595.html" TargetMode="External"/><Relationship Id="rId24" Type="http://schemas.openxmlformats.org/officeDocument/2006/relationships/hyperlink" Target="http://ssfb86.com/index/News/detail/newsid/595.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595.html" TargetMode="External"/><Relationship Id="rId23" Type="http://schemas.openxmlformats.org/officeDocument/2006/relationships/hyperlink" Target="http://ssfb86.com/index/News/detail/newsid/595.html" TargetMode="External"/><Relationship Id="rId28" Type="http://schemas.openxmlformats.org/officeDocument/2006/relationships/hyperlink" Target="http://ssfb86.com/index/News/detail/newsid/595.html" TargetMode="External"/><Relationship Id="rId10" Type="http://schemas.openxmlformats.org/officeDocument/2006/relationships/hyperlink" Target="http://ssfb86.com/index/News/detail/newsid/595.html" TargetMode="External"/><Relationship Id="rId19" Type="http://schemas.openxmlformats.org/officeDocument/2006/relationships/hyperlink" Target="http://ssfb86.com/index/News/detail/newsid/595.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790.html" TargetMode="External"/><Relationship Id="rId14" Type="http://schemas.openxmlformats.org/officeDocument/2006/relationships/hyperlink" Target="http://ssfb86.com/index/News/detail/newsid/595.html" TargetMode="External"/><Relationship Id="rId22" Type="http://schemas.openxmlformats.org/officeDocument/2006/relationships/hyperlink" Target="http://ssfb86.com/index/News/detail/newsid/595.html" TargetMode="External"/><Relationship Id="rId27" Type="http://schemas.openxmlformats.org/officeDocument/2006/relationships/hyperlink" Target="http://ssfb86.com/index/News/detail/newsid/595.html" TargetMode="External"/><Relationship Id="rId30" Type="http://schemas.openxmlformats.org/officeDocument/2006/relationships/hyperlink" Target="http://ssfb86.com/index/News/detail/newsid/5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2020-07-03T14:33:00Z</dcterms:created>
  <dcterms:modified xsi:type="dcterms:W3CDTF">2020-10-02T23:59:00Z</dcterms:modified>
</cp:coreProperties>
</file>