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CA448" w14:textId="77777777" w:rsidR="003773C5" w:rsidRDefault="003773C5" w:rsidP="008D63C6">
      <w:pPr>
        <w:jc w:val="center"/>
        <w:rPr>
          <w:rFonts w:asciiTheme="minorEastAsia" w:hAnsiTheme="minorEastAsia"/>
          <w:sz w:val="44"/>
          <w:szCs w:val="44"/>
        </w:rPr>
      </w:pPr>
    </w:p>
    <w:p w14:paraId="6E63822A" w14:textId="4441B059" w:rsidR="00F57C18" w:rsidRPr="00D206C3" w:rsidRDefault="00E22101" w:rsidP="008D63C6">
      <w:pPr>
        <w:jc w:val="center"/>
        <w:rPr>
          <w:rFonts w:asciiTheme="minorEastAsia" w:hAnsiTheme="minorEastAsia"/>
          <w:sz w:val="44"/>
          <w:szCs w:val="44"/>
        </w:rPr>
      </w:pPr>
      <w:r>
        <w:rPr>
          <w:rFonts w:asciiTheme="minorEastAsia" w:hAnsiTheme="minorEastAsia"/>
          <w:sz w:val="44"/>
          <w:szCs w:val="44"/>
        </w:rPr>
        <w:t>4.</w:t>
      </w:r>
      <w:r w:rsidR="000F6FDA">
        <w:rPr>
          <w:rFonts w:asciiTheme="minorEastAsia" w:hAnsiTheme="minorEastAsia"/>
          <w:sz w:val="44"/>
          <w:szCs w:val="44"/>
        </w:rPr>
        <w:t>3</w:t>
      </w:r>
      <w:r w:rsidR="00322E87">
        <w:rPr>
          <w:rFonts w:asciiTheme="minorEastAsia" w:hAnsiTheme="minorEastAsia"/>
          <w:sz w:val="44"/>
          <w:szCs w:val="44"/>
        </w:rPr>
        <w:t>.</w:t>
      </w:r>
      <w:r w:rsidR="00BD27C1">
        <w:rPr>
          <w:rFonts w:asciiTheme="minorEastAsia" w:hAnsiTheme="minorEastAsia"/>
          <w:sz w:val="44"/>
          <w:szCs w:val="44"/>
        </w:rPr>
        <w:t>3</w:t>
      </w:r>
      <w:r w:rsidR="008D63C6" w:rsidRPr="00740A21">
        <w:rPr>
          <w:rFonts w:asciiTheme="minorEastAsia" w:hAnsiTheme="minorEastAsia"/>
          <w:sz w:val="44"/>
          <w:szCs w:val="44"/>
        </w:rPr>
        <w:t xml:space="preserve">  </w:t>
      </w:r>
      <w:r w:rsidR="00204EA7" w:rsidRPr="00204EA7">
        <w:rPr>
          <w:rFonts w:asciiTheme="minorEastAsia" w:hAnsiTheme="minorEastAsia" w:hint="eastAsia"/>
          <w:sz w:val="44"/>
          <w:szCs w:val="44"/>
        </w:rPr>
        <w:t>非营利组织免税资格的认定管理</w:t>
      </w:r>
    </w:p>
    <w:p w14:paraId="2A308051" w14:textId="18D6C80B" w:rsidR="003773C5" w:rsidRDefault="003773C5" w:rsidP="003773C5">
      <w:pPr>
        <w:spacing w:beforeLines="50" w:before="156" w:line="480" w:lineRule="atLeast"/>
        <w:jc w:val="left"/>
        <w:rPr>
          <w:rFonts w:asciiTheme="minorEastAsia" w:hAnsiTheme="minorEastAsia" w:hint="eastAsia"/>
          <w:color w:val="000000" w:themeColor="text1"/>
          <w:sz w:val="24"/>
          <w:szCs w:val="24"/>
        </w:rPr>
      </w:pPr>
    </w:p>
    <w:p w14:paraId="4ABEF45E" w14:textId="7CBCDF27" w:rsidR="000F482B" w:rsidRPr="000F482B" w:rsidRDefault="000F482B" w:rsidP="000F482B">
      <w:pPr>
        <w:spacing w:beforeLines="50" w:before="156" w:line="480" w:lineRule="atLeast"/>
        <w:ind w:firstLineChars="200" w:firstLine="480"/>
        <w:jc w:val="left"/>
        <w:rPr>
          <w:rFonts w:asciiTheme="minorEastAsia" w:hAnsiTheme="minorEastAsia"/>
          <w:color w:val="000000" w:themeColor="text1"/>
          <w:sz w:val="24"/>
          <w:szCs w:val="24"/>
        </w:rPr>
      </w:pPr>
      <w:r w:rsidRPr="000F482B">
        <w:rPr>
          <w:rFonts w:hint="eastAsia"/>
          <w:color w:val="333333"/>
          <w:sz w:val="24"/>
          <w:szCs w:val="24"/>
          <w:shd w:val="clear" w:color="auto" w:fill="FFFFFF"/>
        </w:rPr>
        <w:t>根据《</w:t>
      </w:r>
      <w:hyperlink r:id="rId7" w:tgtFrame="_self" w:history="1">
        <w:r w:rsidRPr="000F482B">
          <w:rPr>
            <w:rFonts w:hint="eastAsia"/>
            <w:color w:val="6E6E6E"/>
            <w:sz w:val="24"/>
            <w:szCs w:val="24"/>
            <w:u w:val="single"/>
            <w:shd w:val="clear" w:color="auto" w:fill="FFFFFF"/>
          </w:rPr>
          <w:t>中华人民共和国企业所得税法</w:t>
        </w:r>
      </w:hyperlink>
      <w:r w:rsidRPr="000F482B">
        <w:rPr>
          <w:rFonts w:hint="eastAsia"/>
          <w:color w:val="333333"/>
          <w:sz w:val="24"/>
          <w:szCs w:val="24"/>
          <w:shd w:val="clear" w:color="auto" w:fill="FFFFFF"/>
        </w:rPr>
        <w:t>》第二十六条及《</w:t>
      </w:r>
      <w:hyperlink r:id="rId8" w:tgtFrame="_self" w:history="1">
        <w:r w:rsidRPr="000F482B">
          <w:rPr>
            <w:rFonts w:hint="eastAsia"/>
            <w:color w:val="6E6E6E"/>
            <w:sz w:val="24"/>
            <w:szCs w:val="24"/>
            <w:u w:val="single"/>
            <w:shd w:val="clear" w:color="auto" w:fill="FFFFFF"/>
          </w:rPr>
          <w:t>中华人民共和国企业所得税法实施条例</w:t>
        </w:r>
      </w:hyperlink>
      <w:r w:rsidRPr="000F482B">
        <w:rPr>
          <w:rFonts w:hint="eastAsia"/>
          <w:color w:val="333333"/>
          <w:sz w:val="24"/>
          <w:szCs w:val="24"/>
          <w:shd w:val="clear" w:color="auto" w:fill="FFFFFF"/>
        </w:rPr>
        <w:t>》第八十四条的规定，现对非营利组织免税资格认定管理有关问题明确如下：</w:t>
      </w:r>
    </w:p>
    <w:p w14:paraId="0537D4E5" w14:textId="77777777" w:rsidR="00204EA7" w:rsidRPr="00204EA7" w:rsidRDefault="00204EA7" w:rsidP="00204EA7">
      <w:pPr>
        <w:pStyle w:val="1"/>
        <w:spacing w:beforeLines="50" w:before="156" w:after="0" w:line="480" w:lineRule="atLeast"/>
        <w:rPr>
          <w:rFonts w:asciiTheme="minorEastAsia" w:hAnsiTheme="minorEastAsia"/>
          <w:color w:val="000000" w:themeColor="text1"/>
          <w:sz w:val="24"/>
          <w:szCs w:val="24"/>
        </w:rPr>
      </w:pPr>
      <w:r w:rsidRPr="00204EA7">
        <w:rPr>
          <w:rFonts w:asciiTheme="minorEastAsia" w:hAnsiTheme="minorEastAsia" w:hint="eastAsia"/>
          <w:color w:val="000000" w:themeColor="text1"/>
          <w:sz w:val="24"/>
          <w:szCs w:val="24"/>
        </w:rPr>
        <w:t>一、认定条件</w:t>
      </w:r>
    </w:p>
    <w:p w14:paraId="49EF11F5"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依据本通知认定的符合条件的非营利组织，必须同时满足以下条件：</w:t>
      </w:r>
    </w:p>
    <w:p w14:paraId="7390C9C1"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（一）依照国家有关法律法规设立或登记的事业单位、社会团体、基金会、社会服务机构、宗教活动场所、宗教院校以及财政部、税务总局认定的其他非营利组织；</w:t>
      </w:r>
    </w:p>
    <w:p w14:paraId="1498E495" w14:textId="3A6215F8"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bookmarkStart w:id="0" w:name="_Hlk2459525"/>
      <w:r w:rsidRPr="00204EA7">
        <w:rPr>
          <w:rFonts w:asciiTheme="minorEastAsia" w:eastAsiaTheme="minorEastAsia" w:hAnsiTheme="minorEastAsia" w:hint="eastAsia"/>
          <w:color w:val="000000" w:themeColor="text1"/>
        </w:rPr>
        <w:t>（</w:t>
      </w:r>
      <w:hyperlink r:id="rId9" w:history="1">
        <w:r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第一条第一款）</w:t>
      </w:r>
    </w:p>
    <w:bookmarkEnd w:id="0"/>
    <w:p w14:paraId="4885D828"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（二）从事公益性或者非营利性活动；</w:t>
      </w:r>
    </w:p>
    <w:p w14:paraId="51C260EE" w14:textId="65E72856"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10"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第一条第二款）</w:t>
      </w:r>
    </w:p>
    <w:p w14:paraId="290D619B"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（三）取得的收入除用于与该组织有关的、合理的支出外，全部用于登记核定或者章程规定的公益性或者非营利性事业；</w:t>
      </w:r>
    </w:p>
    <w:p w14:paraId="0166344E" w14:textId="4AA8CF5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11"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第一条第三款）</w:t>
      </w:r>
    </w:p>
    <w:p w14:paraId="48F14244"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（四）财产及其孳息不用于分配，但不包括合理的工资薪金支出；</w:t>
      </w:r>
    </w:p>
    <w:p w14:paraId="6A8811CE" w14:textId="58C916AA"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12"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第一条第四款）</w:t>
      </w:r>
    </w:p>
    <w:p w14:paraId="011FEEBF"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（五）按照登记核定或者章程规定，该组织注销后的剩余财产用于公益性或者非营利性目的，或者由登记管理机关采取转赠给与该组织性质、宗旨相同的组织等处置方式，并向社会公告；</w:t>
      </w:r>
    </w:p>
    <w:p w14:paraId="4116BFDF" w14:textId="41873DF5"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13"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第一条第五款）</w:t>
      </w:r>
    </w:p>
    <w:p w14:paraId="20CBA77B"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lastRenderedPageBreak/>
        <w:t>（六）投入人对投入该组织的财产不保留或者享有任何财产权利，本款所称投入人是指除各级人民政府及其部门外的法人、自然人和其他组织；</w:t>
      </w:r>
    </w:p>
    <w:p w14:paraId="3FE4D3FA" w14:textId="2314842E"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14"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第一条第六款）</w:t>
      </w:r>
    </w:p>
    <w:p w14:paraId="48A503CC"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（七）工作人员工资福利开支控制在规定的比例内，不变相分配该组织的财产，其中：工作人员平均工资薪金水平不得超过税务登记所在地的地市级（含地市级）以上地区的同行业同类组织平均工资水平的</w:t>
      </w:r>
      <w:r w:rsidRPr="00204EA7">
        <w:rPr>
          <w:rFonts w:asciiTheme="minorEastAsia" w:eastAsiaTheme="minorEastAsia" w:hAnsiTheme="minorEastAsia" w:hint="eastAsia"/>
          <w:b/>
          <w:color w:val="000000" w:themeColor="text1"/>
        </w:rPr>
        <w:t>两倍</w:t>
      </w:r>
      <w:r w:rsidRPr="00204EA7">
        <w:rPr>
          <w:rFonts w:asciiTheme="minorEastAsia" w:eastAsiaTheme="minorEastAsia" w:hAnsiTheme="minorEastAsia" w:hint="eastAsia"/>
          <w:color w:val="000000" w:themeColor="text1"/>
        </w:rPr>
        <w:t>，工作人员福利按照国家有关规定执行；</w:t>
      </w:r>
    </w:p>
    <w:p w14:paraId="7D8F8B1D" w14:textId="4648077C"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15" w:history="1">
        <w:hyperlink r:id="rId16" w:history="1">
          <w:r w:rsidR="000F482B" w:rsidRPr="000F482B">
            <w:rPr>
              <w:rStyle w:val="a6"/>
              <w:rFonts w:asciiTheme="minorEastAsia" w:eastAsiaTheme="minorEastAsia" w:hAnsiTheme="minorEastAsia" w:hint="eastAsia"/>
            </w:rPr>
            <w:t>财税〔2018〕13号</w:t>
          </w:r>
        </w:hyperlink>
      </w:hyperlink>
      <w:r w:rsidRPr="00204EA7">
        <w:rPr>
          <w:rFonts w:asciiTheme="minorEastAsia" w:eastAsiaTheme="minorEastAsia" w:hAnsiTheme="minorEastAsia" w:hint="eastAsia"/>
          <w:color w:val="000000" w:themeColor="text1"/>
        </w:rPr>
        <w:t>第一条第七款）</w:t>
      </w:r>
    </w:p>
    <w:p w14:paraId="06D8C7DB"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（八）对取得的应纳税收入及其有关的成本、费用、损失应与免税收入及其有关的成本、费用、损失分别核算。</w:t>
      </w:r>
    </w:p>
    <w:p w14:paraId="4577DAD3" w14:textId="30AE75CA"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17"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第一条第八款）</w:t>
      </w:r>
    </w:p>
    <w:p w14:paraId="2212A852" w14:textId="77777777" w:rsidR="00204EA7" w:rsidRPr="00204EA7" w:rsidRDefault="00204EA7" w:rsidP="00204EA7">
      <w:pPr>
        <w:pStyle w:val="1"/>
        <w:spacing w:beforeLines="50" w:before="156" w:after="0" w:line="480" w:lineRule="atLeast"/>
        <w:rPr>
          <w:rFonts w:asciiTheme="minorEastAsia" w:hAnsiTheme="minorEastAsia"/>
          <w:color w:val="000000" w:themeColor="text1"/>
          <w:sz w:val="24"/>
          <w:szCs w:val="24"/>
        </w:rPr>
      </w:pPr>
      <w:r w:rsidRPr="00204EA7">
        <w:rPr>
          <w:rFonts w:asciiTheme="minorEastAsia" w:hAnsiTheme="minorEastAsia" w:hint="eastAsia"/>
          <w:color w:val="000000" w:themeColor="text1"/>
          <w:sz w:val="24"/>
          <w:szCs w:val="24"/>
        </w:rPr>
        <w:t>二、认定程序</w:t>
      </w:r>
    </w:p>
    <w:p w14:paraId="40D01932" w14:textId="77777777" w:rsidR="00204EA7" w:rsidRPr="00204EA7" w:rsidRDefault="00204EA7" w:rsidP="00204EA7">
      <w:pPr>
        <w:pStyle w:val="2"/>
        <w:spacing w:beforeLines="50" w:before="156" w:after="0" w:line="480" w:lineRule="atLeast"/>
        <w:rPr>
          <w:rFonts w:asciiTheme="minorEastAsia" w:eastAsiaTheme="minorEastAsia" w:hAnsiTheme="minorEastAsia"/>
          <w:color w:val="000000" w:themeColor="text1"/>
          <w:sz w:val="24"/>
          <w:szCs w:val="24"/>
        </w:rPr>
      </w:pPr>
      <w:r w:rsidRPr="00204EA7">
        <w:rPr>
          <w:rFonts w:asciiTheme="minorEastAsia" w:eastAsiaTheme="minorEastAsia" w:hAnsiTheme="minorEastAsia" w:hint="eastAsia"/>
          <w:color w:val="000000" w:themeColor="text1"/>
          <w:sz w:val="24"/>
          <w:szCs w:val="24"/>
        </w:rPr>
        <w:t>（一）申请</w:t>
      </w:r>
    </w:p>
    <w:p w14:paraId="0A6370FA"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经省级（含省级）以上登记管理机关批准设立或登记的非营利组织，凡符合规定条件的，应向其所在地省级税务主管机关提出免税资格申请，并提供本通知规定的相关材料；经地市级或县级登记管理机关批准设立或登记的非营利组织，凡符合规定条件的，分别向其所在地的地市级或县级税务主管机关提出免税资格申请，并提供本通知规定的相关材料。</w:t>
      </w:r>
    </w:p>
    <w:p w14:paraId="23F1EA2F" w14:textId="2A2C56F2"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18"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第二条第一款）</w:t>
      </w:r>
    </w:p>
    <w:p w14:paraId="12B1CBDE" w14:textId="77777777" w:rsidR="00204EA7" w:rsidRPr="00204EA7" w:rsidRDefault="00204EA7" w:rsidP="00204EA7">
      <w:pPr>
        <w:pStyle w:val="2"/>
        <w:spacing w:beforeLines="50" w:before="156" w:after="0" w:line="480" w:lineRule="atLeast"/>
        <w:rPr>
          <w:rFonts w:asciiTheme="minorEastAsia" w:eastAsiaTheme="minorEastAsia" w:hAnsiTheme="minorEastAsia"/>
          <w:color w:val="000000" w:themeColor="text1"/>
          <w:sz w:val="24"/>
          <w:szCs w:val="24"/>
        </w:rPr>
      </w:pPr>
      <w:r w:rsidRPr="00204EA7">
        <w:rPr>
          <w:rFonts w:asciiTheme="minorEastAsia" w:eastAsiaTheme="minorEastAsia" w:hAnsiTheme="minorEastAsia" w:hint="eastAsia"/>
          <w:color w:val="000000" w:themeColor="text1"/>
          <w:sz w:val="24"/>
          <w:szCs w:val="24"/>
        </w:rPr>
        <w:t>（二）需报送的资料</w:t>
      </w:r>
    </w:p>
    <w:p w14:paraId="49E6BF5E"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申请享受免税资格的非营利组织，需报送以下材料：</w:t>
      </w:r>
    </w:p>
    <w:p w14:paraId="34484A12"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1</w:t>
      </w:r>
      <w:r w:rsidRPr="00204EA7">
        <w:rPr>
          <w:rFonts w:asciiTheme="minorEastAsia" w:eastAsiaTheme="minorEastAsia" w:hAnsiTheme="minorEastAsia"/>
          <w:color w:val="000000" w:themeColor="text1"/>
        </w:rPr>
        <w:t>.</w:t>
      </w:r>
      <w:r w:rsidRPr="00204EA7">
        <w:rPr>
          <w:rFonts w:asciiTheme="minorEastAsia" w:eastAsiaTheme="minorEastAsia" w:hAnsiTheme="minorEastAsia" w:hint="eastAsia"/>
          <w:color w:val="000000" w:themeColor="text1"/>
        </w:rPr>
        <w:t>申请报告；</w:t>
      </w:r>
    </w:p>
    <w:p w14:paraId="544E74F9" w14:textId="467205BF"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19"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第三条第一款第一项）</w:t>
      </w:r>
    </w:p>
    <w:p w14:paraId="60EA4587"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lastRenderedPageBreak/>
        <w:t>2</w:t>
      </w:r>
      <w:r w:rsidRPr="00204EA7">
        <w:rPr>
          <w:rFonts w:asciiTheme="minorEastAsia" w:eastAsiaTheme="minorEastAsia" w:hAnsiTheme="minorEastAsia"/>
          <w:color w:val="000000" w:themeColor="text1"/>
        </w:rPr>
        <w:t>.</w:t>
      </w:r>
      <w:r w:rsidRPr="00204EA7">
        <w:rPr>
          <w:rFonts w:asciiTheme="minorEastAsia" w:eastAsiaTheme="minorEastAsia" w:hAnsiTheme="minorEastAsia" w:hint="eastAsia"/>
          <w:color w:val="000000" w:themeColor="text1"/>
        </w:rPr>
        <w:t>事业单位、社会团体、基金会、社会服务机构的组织章程或宗教活动场所、宗教院校的管理制度；</w:t>
      </w:r>
    </w:p>
    <w:p w14:paraId="167A3A6A" w14:textId="57B86E3D"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bookmarkStart w:id="1" w:name="_Hlk2459602"/>
      <w:r w:rsidRPr="00204EA7">
        <w:rPr>
          <w:rFonts w:asciiTheme="minorEastAsia" w:eastAsiaTheme="minorEastAsia" w:hAnsiTheme="minorEastAsia" w:hint="eastAsia"/>
          <w:color w:val="000000" w:themeColor="text1"/>
        </w:rPr>
        <w:t>（</w:t>
      </w:r>
      <w:hyperlink r:id="rId20"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第三条第一款第二项）</w:t>
      </w:r>
    </w:p>
    <w:bookmarkEnd w:id="1"/>
    <w:p w14:paraId="6A1FBD56"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3</w:t>
      </w:r>
      <w:r w:rsidRPr="00204EA7">
        <w:rPr>
          <w:rFonts w:asciiTheme="minorEastAsia" w:eastAsiaTheme="minorEastAsia" w:hAnsiTheme="minorEastAsia"/>
          <w:color w:val="000000" w:themeColor="text1"/>
        </w:rPr>
        <w:t>.</w:t>
      </w:r>
      <w:r w:rsidRPr="00204EA7">
        <w:rPr>
          <w:rFonts w:asciiTheme="minorEastAsia" w:eastAsiaTheme="minorEastAsia" w:hAnsiTheme="minorEastAsia" w:hint="eastAsia"/>
          <w:color w:val="000000" w:themeColor="text1"/>
        </w:rPr>
        <w:t>非营利组织注册登记证件的复印件；</w:t>
      </w:r>
    </w:p>
    <w:p w14:paraId="5EAF7B5C" w14:textId="51692E2C"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21"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第三条第一款第三项）</w:t>
      </w:r>
    </w:p>
    <w:p w14:paraId="0D1C6093"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4</w:t>
      </w:r>
      <w:r w:rsidRPr="00204EA7">
        <w:rPr>
          <w:rFonts w:asciiTheme="minorEastAsia" w:eastAsiaTheme="minorEastAsia" w:hAnsiTheme="minorEastAsia"/>
          <w:color w:val="000000" w:themeColor="text1"/>
        </w:rPr>
        <w:t>.</w:t>
      </w:r>
      <w:r w:rsidRPr="00204EA7">
        <w:rPr>
          <w:rFonts w:asciiTheme="minorEastAsia" w:eastAsiaTheme="minorEastAsia" w:hAnsiTheme="minorEastAsia" w:hint="eastAsia"/>
          <w:color w:val="000000" w:themeColor="text1"/>
        </w:rPr>
        <w:t>上一年度的资金来源及使用情况、公益活动和非营利活动的明细情况；</w:t>
      </w:r>
    </w:p>
    <w:p w14:paraId="14B1AD50" w14:textId="32CE0194"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22"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第三条第一款第四项）</w:t>
      </w:r>
    </w:p>
    <w:p w14:paraId="7F529B98"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5</w:t>
      </w:r>
      <w:r w:rsidRPr="00204EA7">
        <w:rPr>
          <w:rFonts w:asciiTheme="minorEastAsia" w:eastAsiaTheme="minorEastAsia" w:hAnsiTheme="minorEastAsia"/>
          <w:color w:val="000000" w:themeColor="text1"/>
        </w:rPr>
        <w:t>.</w:t>
      </w:r>
      <w:r w:rsidRPr="00204EA7">
        <w:rPr>
          <w:rFonts w:asciiTheme="minorEastAsia" w:eastAsiaTheme="minorEastAsia" w:hAnsiTheme="minorEastAsia" w:hint="eastAsia"/>
          <w:color w:val="000000" w:themeColor="text1"/>
        </w:rPr>
        <w:t>上一年度的工资薪金情况专项报告，包括薪酬制度、工作人员整体平均工资薪金水平、工资福利占总支出比例、重要人员工资薪金信息（至少包括工资薪金水平排名前10的人员）；</w:t>
      </w:r>
    </w:p>
    <w:p w14:paraId="1F2805A4" w14:textId="637A5EF2"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23"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第三条第一款第五项）</w:t>
      </w:r>
    </w:p>
    <w:p w14:paraId="5D6D1BF3"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6</w:t>
      </w:r>
      <w:r w:rsidRPr="00204EA7">
        <w:rPr>
          <w:rFonts w:asciiTheme="minorEastAsia" w:eastAsiaTheme="minorEastAsia" w:hAnsiTheme="minorEastAsia"/>
          <w:color w:val="000000" w:themeColor="text1"/>
        </w:rPr>
        <w:t>.</w:t>
      </w:r>
      <w:r w:rsidRPr="00204EA7">
        <w:rPr>
          <w:rFonts w:asciiTheme="minorEastAsia" w:eastAsiaTheme="minorEastAsia" w:hAnsiTheme="minorEastAsia" w:hint="eastAsia"/>
          <w:color w:val="000000" w:themeColor="text1"/>
        </w:rPr>
        <w:t>具有资质的中介机构鉴证的上一年度财务报表和审计报告；</w:t>
      </w:r>
    </w:p>
    <w:p w14:paraId="3DD61C09" w14:textId="5B86CC40"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24"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第三条第一款第六项）</w:t>
      </w:r>
    </w:p>
    <w:p w14:paraId="59FE482E"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7</w:t>
      </w:r>
      <w:r w:rsidRPr="00204EA7">
        <w:rPr>
          <w:rFonts w:asciiTheme="minorEastAsia" w:eastAsiaTheme="minorEastAsia" w:hAnsiTheme="minorEastAsia"/>
          <w:color w:val="000000" w:themeColor="text1"/>
        </w:rPr>
        <w:t>.</w:t>
      </w:r>
      <w:r w:rsidRPr="00204EA7">
        <w:rPr>
          <w:rFonts w:asciiTheme="minorEastAsia" w:eastAsiaTheme="minorEastAsia" w:hAnsiTheme="minorEastAsia" w:hint="eastAsia"/>
          <w:color w:val="000000" w:themeColor="text1"/>
        </w:rPr>
        <w:t>登记管理机关出具的事业单位、社会团体、基金会、社会服务机构、宗教活动场所、宗教院校上一年度符合相关法律法规和国家政策的事业发展情况或非营利活动的材料；</w:t>
      </w:r>
    </w:p>
    <w:p w14:paraId="0B23EE6C" w14:textId="798CAA81"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25"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第三条第一款第七项）</w:t>
      </w:r>
    </w:p>
    <w:p w14:paraId="7C7E5350"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8</w:t>
      </w:r>
      <w:r w:rsidRPr="00204EA7">
        <w:rPr>
          <w:rFonts w:asciiTheme="minorEastAsia" w:eastAsiaTheme="minorEastAsia" w:hAnsiTheme="minorEastAsia"/>
          <w:color w:val="000000" w:themeColor="text1"/>
        </w:rPr>
        <w:t>.</w:t>
      </w:r>
      <w:r w:rsidRPr="00204EA7">
        <w:rPr>
          <w:rFonts w:asciiTheme="minorEastAsia" w:eastAsiaTheme="minorEastAsia" w:hAnsiTheme="minorEastAsia" w:hint="eastAsia"/>
          <w:color w:val="000000" w:themeColor="text1"/>
        </w:rPr>
        <w:t>财政、税务部门要求提供的其他材料。</w:t>
      </w:r>
    </w:p>
    <w:p w14:paraId="154F191A" w14:textId="5DF5E03C"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26"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第三条第一款第八）</w:t>
      </w:r>
    </w:p>
    <w:p w14:paraId="1682C9CC"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当年新设立或登记的非营利组织需提供本条第（一）项至第（三）项规定的材料及本条第（四）项、第（五）项规定的申请当年的材料，不需提供本条第（六）项、第（七）项规定的材料。</w:t>
      </w:r>
    </w:p>
    <w:p w14:paraId="3284584C" w14:textId="635F2F8D"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27"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第三条第二款）</w:t>
      </w:r>
    </w:p>
    <w:p w14:paraId="1A3C3680" w14:textId="77777777" w:rsidR="00204EA7" w:rsidRPr="00204EA7" w:rsidRDefault="00204EA7" w:rsidP="00204EA7">
      <w:pPr>
        <w:pStyle w:val="2"/>
        <w:spacing w:beforeLines="50" w:before="156" w:after="0" w:line="480" w:lineRule="atLeast"/>
        <w:rPr>
          <w:rFonts w:asciiTheme="minorEastAsia" w:eastAsiaTheme="minorEastAsia" w:hAnsiTheme="minorEastAsia"/>
          <w:color w:val="000000" w:themeColor="text1"/>
          <w:sz w:val="24"/>
          <w:szCs w:val="24"/>
        </w:rPr>
      </w:pPr>
      <w:r w:rsidRPr="00204EA7">
        <w:rPr>
          <w:rFonts w:asciiTheme="minorEastAsia" w:eastAsiaTheme="minorEastAsia" w:hAnsiTheme="minorEastAsia" w:hint="eastAsia"/>
          <w:color w:val="000000" w:themeColor="text1"/>
          <w:sz w:val="24"/>
          <w:szCs w:val="24"/>
        </w:rPr>
        <w:lastRenderedPageBreak/>
        <w:t>（三）确认与公告</w:t>
      </w:r>
    </w:p>
    <w:p w14:paraId="13038CA4"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财政、税务部门按照上述管理权限，对非营利组织享受免税的资格联合进行审核确认，并定期予以公布。</w:t>
      </w:r>
    </w:p>
    <w:p w14:paraId="0A3735A4" w14:textId="62B5B854"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28"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第二条第二款）</w:t>
      </w:r>
    </w:p>
    <w:p w14:paraId="031181B0" w14:textId="77777777" w:rsidR="00204EA7" w:rsidRPr="00204EA7" w:rsidRDefault="00204EA7" w:rsidP="00204EA7">
      <w:pPr>
        <w:pStyle w:val="1"/>
        <w:spacing w:beforeLines="50" w:before="156" w:after="0" w:line="480" w:lineRule="atLeast"/>
        <w:rPr>
          <w:rFonts w:asciiTheme="minorEastAsia" w:hAnsiTheme="minorEastAsia"/>
          <w:color w:val="000000" w:themeColor="text1"/>
          <w:sz w:val="24"/>
          <w:szCs w:val="24"/>
        </w:rPr>
      </w:pPr>
      <w:r w:rsidRPr="00204EA7">
        <w:rPr>
          <w:rFonts w:asciiTheme="minorEastAsia" w:hAnsiTheme="minorEastAsia" w:hint="eastAsia"/>
          <w:color w:val="000000" w:themeColor="text1"/>
          <w:sz w:val="24"/>
          <w:szCs w:val="24"/>
        </w:rPr>
        <w:t>三、</w:t>
      </w:r>
      <w:bookmarkStart w:id="2" w:name="_Hlk2459719"/>
      <w:r w:rsidRPr="00204EA7">
        <w:rPr>
          <w:rFonts w:asciiTheme="minorEastAsia" w:hAnsiTheme="minorEastAsia" w:hint="eastAsia"/>
          <w:color w:val="000000" w:themeColor="text1"/>
          <w:sz w:val="24"/>
          <w:szCs w:val="24"/>
        </w:rPr>
        <w:t>有效期及复审</w:t>
      </w:r>
    </w:p>
    <w:bookmarkEnd w:id="2"/>
    <w:p w14:paraId="51A8FDC0"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非营利组织免税优惠资格的有效期为</w:t>
      </w:r>
      <w:r w:rsidRPr="00204EA7">
        <w:rPr>
          <w:rFonts w:asciiTheme="minorEastAsia" w:eastAsiaTheme="minorEastAsia" w:hAnsiTheme="minorEastAsia" w:hint="eastAsia"/>
          <w:b/>
          <w:color w:val="000000" w:themeColor="text1"/>
        </w:rPr>
        <w:t>五年</w:t>
      </w:r>
      <w:r w:rsidRPr="00204EA7">
        <w:rPr>
          <w:rFonts w:asciiTheme="minorEastAsia" w:eastAsiaTheme="minorEastAsia" w:hAnsiTheme="minorEastAsia" w:hint="eastAsia"/>
          <w:color w:val="000000" w:themeColor="text1"/>
        </w:rPr>
        <w:t>。非营利组织应在免税优惠资格期满后六个月内提出复审申请，不提出复审申请或复审不合格的，其享受免税优惠的资格到期自动失效。</w:t>
      </w:r>
    </w:p>
    <w:p w14:paraId="5B1B8D29" w14:textId="56BD043C"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29"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第四条第一款）</w:t>
      </w:r>
    </w:p>
    <w:p w14:paraId="4B0349A4"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非营利组织免税资格复审，按照初次申请免税优惠资格的规定办理。</w:t>
      </w:r>
    </w:p>
    <w:p w14:paraId="582CFA0F" w14:textId="532F3451"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30"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第四条第二款）</w:t>
      </w:r>
    </w:p>
    <w:p w14:paraId="5081F75A" w14:textId="77777777" w:rsidR="00204EA7" w:rsidRPr="00204EA7" w:rsidRDefault="00204EA7" w:rsidP="00204EA7">
      <w:pPr>
        <w:pStyle w:val="1"/>
        <w:spacing w:beforeLines="50" w:before="156" w:after="0" w:line="480" w:lineRule="atLeast"/>
        <w:rPr>
          <w:rFonts w:asciiTheme="minorEastAsia" w:hAnsiTheme="minorEastAsia"/>
          <w:color w:val="000000" w:themeColor="text1"/>
          <w:sz w:val="24"/>
          <w:szCs w:val="24"/>
        </w:rPr>
      </w:pPr>
      <w:r w:rsidRPr="00204EA7">
        <w:rPr>
          <w:rFonts w:asciiTheme="minorEastAsia" w:hAnsiTheme="minorEastAsia" w:hint="eastAsia"/>
          <w:color w:val="000000" w:themeColor="text1"/>
          <w:sz w:val="24"/>
          <w:szCs w:val="24"/>
        </w:rPr>
        <w:t>四、取消免税资格的情形</w:t>
      </w:r>
    </w:p>
    <w:p w14:paraId="24FB12BC"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已认定的享受免税优惠政策的非营利组织有下述情形之一的，应自该情形发生年度起取消其资格：</w:t>
      </w:r>
    </w:p>
    <w:p w14:paraId="4F0A845F"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（一）登记管理机关在后续管理中发现非营利组织不符合相关法律法规和国家政策的；</w:t>
      </w:r>
    </w:p>
    <w:p w14:paraId="618514B0" w14:textId="7BFF05FB"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31"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第六条第一款）</w:t>
      </w:r>
    </w:p>
    <w:p w14:paraId="49779E85"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（二）在申请认定过程中提供虚假信息的；</w:t>
      </w:r>
    </w:p>
    <w:p w14:paraId="0D093474"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（三）</w:t>
      </w:r>
      <w:r w:rsidRPr="00204EA7">
        <w:rPr>
          <w:rFonts w:asciiTheme="minorEastAsia" w:eastAsiaTheme="minorEastAsia" w:hAnsiTheme="minorEastAsia" w:hint="eastAsia"/>
          <w:b/>
          <w:color w:val="000000" w:themeColor="text1"/>
        </w:rPr>
        <w:t>纳税信用等级为税务部门评定的C级或D级的</w:t>
      </w:r>
      <w:r w:rsidRPr="00204EA7">
        <w:rPr>
          <w:rFonts w:asciiTheme="minorEastAsia" w:eastAsiaTheme="minorEastAsia" w:hAnsiTheme="minorEastAsia" w:hint="eastAsia"/>
          <w:color w:val="000000" w:themeColor="text1"/>
        </w:rPr>
        <w:t>；</w:t>
      </w:r>
    </w:p>
    <w:p w14:paraId="352DFB57"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（四）通过关联交易或非关联交易和服务活动，变相转移、隐匿、分配该组织财产的；</w:t>
      </w:r>
    </w:p>
    <w:p w14:paraId="40101119"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（五）被登记管理机关列入严重违法失信名单的；</w:t>
      </w:r>
    </w:p>
    <w:p w14:paraId="436CB36A"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（六）从事非法政治活动的。</w:t>
      </w:r>
    </w:p>
    <w:p w14:paraId="3C2BC05A"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lastRenderedPageBreak/>
        <w:t>因上述第（一）项至第（五）项规定的情形被取消免税优惠资格的非营利组织，财政、税务部门自其被取消资格的次年起一年内不再受理该组织的认定申请；因上述第（六）项规定的情形被取消免税优惠资格的非营利组织，财政、税务部门将不再受理该组织的认定申请。</w:t>
      </w:r>
    </w:p>
    <w:p w14:paraId="757F042D"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被取消免税优惠资格的非营利组织，应当依法履行纳税义务；未依法纳税的，主管税务机关应当自其存在取消免税优惠资格情形的当年起予以追缴。</w:t>
      </w:r>
    </w:p>
    <w:p w14:paraId="24D01721" w14:textId="77777777" w:rsidR="00204EA7" w:rsidRPr="00204EA7" w:rsidRDefault="00204EA7" w:rsidP="00204EA7">
      <w:pPr>
        <w:pStyle w:val="1"/>
        <w:spacing w:beforeLines="50" w:before="156" w:after="0" w:line="480" w:lineRule="atLeast"/>
        <w:rPr>
          <w:rFonts w:asciiTheme="minorEastAsia" w:hAnsiTheme="minorEastAsia"/>
          <w:color w:val="000000" w:themeColor="text1"/>
          <w:sz w:val="24"/>
          <w:szCs w:val="24"/>
        </w:rPr>
      </w:pPr>
      <w:r w:rsidRPr="00204EA7">
        <w:rPr>
          <w:rFonts w:asciiTheme="minorEastAsia" w:hAnsiTheme="minorEastAsia" w:hint="eastAsia"/>
          <w:color w:val="000000" w:themeColor="text1"/>
          <w:sz w:val="24"/>
          <w:szCs w:val="24"/>
        </w:rPr>
        <w:t>五、税收监管与处理</w:t>
      </w:r>
    </w:p>
    <w:p w14:paraId="5E140C4D" w14:textId="4BADB0B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非营利组织必须按照</w:t>
      </w:r>
      <w:r w:rsidR="000F482B" w:rsidRPr="000F482B">
        <w:rPr>
          <w:rFonts w:asciiTheme="minorHAnsi" w:eastAsiaTheme="minorEastAsia" w:hAnsiTheme="minorHAnsi" w:cstheme="minorBidi" w:hint="eastAsia"/>
          <w:color w:val="333333"/>
          <w:kern w:val="2"/>
          <w:shd w:val="clear" w:color="auto" w:fill="FFFFFF"/>
        </w:rPr>
        <w:t>《</w:t>
      </w:r>
      <w:hyperlink r:id="rId32" w:tgtFrame="_self" w:history="1">
        <w:r w:rsidR="000F482B" w:rsidRPr="000F482B">
          <w:rPr>
            <w:rFonts w:asciiTheme="minorHAnsi" w:eastAsiaTheme="minorEastAsia" w:hAnsiTheme="minorHAnsi" w:cstheme="minorBidi" w:hint="eastAsia"/>
            <w:color w:val="6E6E6E"/>
            <w:kern w:val="2"/>
            <w:u w:val="single"/>
            <w:shd w:val="clear" w:color="auto" w:fill="FFFFFF"/>
          </w:rPr>
          <w:t>中华人民共和国税收征收管理法</w:t>
        </w:r>
      </w:hyperlink>
      <w:r w:rsidR="000F482B" w:rsidRPr="000F482B">
        <w:rPr>
          <w:rFonts w:asciiTheme="minorHAnsi" w:eastAsiaTheme="minorEastAsia" w:hAnsiTheme="minorHAnsi" w:cstheme="minorBidi" w:hint="eastAsia"/>
          <w:color w:val="333333"/>
          <w:kern w:val="2"/>
          <w:shd w:val="clear" w:color="auto" w:fill="FFFFFF"/>
        </w:rPr>
        <w:t>》及《</w:t>
      </w:r>
      <w:hyperlink r:id="rId33" w:tgtFrame="_self" w:history="1">
        <w:r w:rsidR="000F482B" w:rsidRPr="000F482B">
          <w:rPr>
            <w:rFonts w:asciiTheme="minorHAnsi" w:eastAsiaTheme="minorEastAsia" w:hAnsiTheme="minorHAnsi" w:cstheme="minorBidi" w:hint="eastAsia"/>
            <w:color w:val="6E6E6E"/>
            <w:kern w:val="2"/>
            <w:u w:val="single"/>
            <w:shd w:val="clear" w:color="auto" w:fill="FFFFFF"/>
          </w:rPr>
          <w:t>中华人民共和国税收征收管理法实施细则</w:t>
        </w:r>
      </w:hyperlink>
      <w:r w:rsidR="000F482B" w:rsidRPr="000F482B">
        <w:rPr>
          <w:rFonts w:asciiTheme="minorHAnsi" w:eastAsiaTheme="minorEastAsia" w:hAnsiTheme="minorHAnsi" w:cstheme="minorBidi" w:hint="eastAsia"/>
          <w:color w:val="333333"/>
          <w:kern w:val="2"/>
          <w:shd w:val="clear" w:color="auto" w:fill="FFFFFF"/>
        </w:rPr>
        <w:t>》</w:t>
      </w:r>
      <w:r w:rsidRPr="000F482B">
        <w:rPr>
          <w:rFonts w:asciiTheme="minorEastAsia" w:eastAsiaTheme="minorEastAsia" w:hAnsiTheme="minorEastAsia" w:hint="eastAsia"/>
          <w:color w:val="000000" w:themeColor="text1"/>
        </w:rPr>
        <w:t>等有关规定</w:t>
      </w:r>
      <w:r w:rsidRPr="00204EA7">
        <w:rPr>
          <w:rFonts w:asciiTheme="minorEastAsia" w:eastAsiaTheme="minorEastAsia" w:hAnsiTheme="minorEastAsia" w:hint="eastAsia"/>
          <w:color w:val="000000" w:themeColor="text1"/>
        </w:rPr>
        <w:t>，办理税务登记，按期进行纳税申报。取得免税资格的非营利组织应按照规定向主管税务机关办理免税手续，免税条件发生变化的，应当自发生变化之日起十五日内向主管税务机关报告；不再符合免税条件的，应当依法履行纳税义务；未依法纳税的，主管税务机关应当予以追缴。取得免税资格的非营利组织注销时，剩余财产处置违反本通知第一条第五项规定的，主管税务机关应</w:t>
      </w:r>
      <w:r w:rsidRPr="00204EA7">
        <w:rPr>
          <w:rFonts w:asciiTheme="minorEastAsia" w:eastAsiaTheme="minorEastAsia" w:hAnsiTheme="minorEastAsia" w:hint="eastAsia"/>
          <w:b/>
          <w:color w:val="000000" w:themeColor="text1"/>
        </w:rPr>
        <w:t>追缴其应纳企业所得税款</w:t>
      </w:r>
      <w:r w:rsidRPr="00204EA7">
        <w:rPr>
          <w:rFonts w:asciiTheme="minorEastAsia" w:eastAsiaTheme="minorEastAsia" w:hAnsiTheme="minorEastAsia" w:hint="eastAsia"/>
          <w:color w:val="000000" w:themeColor="text1"/>
        </w:rPr>
        <w:t>。</w:t>
      </w:r>
    </w:p>
    <w:p w14:paraId="4228D278" w14:textId="5B8DAB29"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34"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第五条第一款）</w:t>
      </w:r>
    </w:p>
    <w:p w14:paraId="331F2009"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有关部门在日常管理过程中，发现非营利组织享受优惠年度不符合本通知规定的免税条件的，应提请核准该非营利组织免税资格的财政、税务部门，由其进行复核。</w:t>
      </w:r>
    </w:p>
    <w:p w14:paraId="4C1CB5F6" w14:textId="53349BCD"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35"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第五条第二款）</w:t>
      </w:r>
    </w:p>
    <w:p w14:paraId="047D7D28"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核准非营利组织免税资格的财政、税务部门根据本通知规定的管理权限，对非营利组织的免税优惠资格进行复核，复核不合格的，</w:t>
      </w:r>
      <w:r w:rsidRPr="00204EA7">
        <w:rPr>
          <w:rFonts w:asciiTheme="minorEastAsia" w:eastAsiaTheme="minorEastAsia" w:hAnsiTheme="minorEastAsia" w:hint="eastAsia"/>
          <w:b/>
          <w:color w:val="000000" w:themeColor="text1"/>
        </w:rPr>
        <w:t>相应年度</w:t>
      </w:r>
      <w:r w:rsidRPr="00204EA7">
        <w:rPr>
          <w:rFonts w:asciiTheme="minorEastAsia" w:eastAsiaTheme="minorEastAsia" w:hAnsiTheme="minorEastAsia" w:hint="eastAsia"/>
          <w:color w:val="000000" w:themeColor="text1"/>
        </w:rPr>
        <w:t>不得享受税收优惠政策。</w:t>
      </w:r>
    </w:p>
    <w:p w14:paraId="5D371264" w14:textId="4138CD0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bookmarkStart w:id="3" w:name="_Hlk2492988"/>
      <w:r w:rsidRPr="00204EA7">
        <w:rPr>
          <w:rFonts w:asciiTheme="minorEastAsia" w:eastAsiaTheme="minorEastAsia" w:hAnsiTheme="minorEastAsia" w:hint="eastAsia"/>
          <w:color w:val="000000" w:themeColor="text1"/>
        </w:rPr>
        <w:t>（</w:t>
      </w:r>
      <w:hyperlink r:id="rId36"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第五条第三款）</w:t>
      </w:r>
    </w:p>
    <w:bookmarkEnd w:id="3"/>
    <w:p w14:paraId="24C95C46" w14:textId="77777777" w:rsidR="00204EA7" w:rsidRPr="00204EA7" w:rsidRDefault="00204EA7" w:rsidP="00204EA7">
      <w:pPr>
        <w:pStyle w:val="1"/>
        <w:spacing w:beforeLines="50" w:before="156" w:after="0" w:line="480" w:lineRule="atLeast"/>
        <w:rPr>
          <w:rFonts w:asciiTheme="minorEastAsia" w:hAnsiTheme="minorEastAsia"/>
          <w:color w:val="000000" w:themeColor="text1"/>
          <w:sz w:val="24"/>
          <w:szCs w:val="24"/>
        </w:rPr>
      </w:pPr>
      <w:r w:rsidRPr="00204EA7">
        <w:rPr>
          <w:rFonts w:asciiTheme="minorEastAsia" w:hAnsiTheme="minorEastAsia" w:hint="eastAsia"/>
          <w:color w:val="000000" w:themeColor="text1"/>
          <w:sz w:val="24"/>
          <w:szCs w:val="24"/>
        </w:rPr>
        <w:lastRenderedPageBreak/>
        <w:t>六、核定征收的非营利组织不能享受免税资格</w:t>
      </w:r>
    </w:p>
    <w:p w14:paraId="5BE5AA04" w14:textId="1F0CFD21"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0F482B">
        <w:rPr>
          <w:rFonts w:asciiTheme="minorEastAsia" w:eastAsiaTheme="minorEastAsia" w:hAnsiTheme="minorEastAsia" w:hint="eastAsia"/>
        </w:rPr>
        <w:t>《财政部税务总局关于非营利组织免税资格认定管理有关问题的通知》（</w:t>
      </w:r>
      <w:hyperlink r:id="rId37" w:history="1">
        <w:r w:rsidR="000F482B" w:rsidRPr="000F482B">
          <w:rPr>
            <w:rStyle w:val="a6"/>
            <w:rFonts w:asciiTheme="minorEastAsia" w:eastAsiaTheme="minorEastAsia" w:hAnsiTheme="minorEastAsia" w:hint="eastAsia"/>
          </w:rPr>
          <w:t>财税〔2018〕13号</w:t>
        </w:r>
      </w:hyperlink>
      <w:r w:rsidRPr="000F482B">
        <w:rPr>
          <w:rFonts w:asciiTheme="minorEastAsia" w:eastAsiaTheme="minorEastAsia" w:hAnsiTheme="minorEastAsia" w:hint="eastAsia"/>
        </w:rPr>
        <w:t>）</w:t>
      </w:r>
      <w:r w:rsidRPr="00204EA7">
        <w:rPr>
          <w:rFonts w:asciiTheme="minorEastAsia" w:eastAsiaTheme="minorEastAsia" w:hAnsiTheme="minorEastAsia" w:hint="eastAsia"/>
          <w:color w:val="000000" w:themeColor="text1"/>
        </w:rPr>
        <w:t>规定了非营利组织的条件，其中要求非营利组织对取得的应纳税收入及其有关的成本、费用、损失应与免税收入及其有关的成本、费用、损失分别核算。</w:t>
      </w:r>
      <w:hyperlink r:id="rId38"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文件还规定了非营利组织在申请免税资格时，应提供上一年度的资金来源及使用情况、公益活动和非营利活动的明细情况，上一年度的工资薪金情况专项报告，具有资质的中介机构鉴证的上一年度财务报表和审计报告等资料。并且，《国家税务总局关于发布修订后的〈企业所得税优惠政策事项办理办法〉的公告》（国家税务总局公告</w:t>
      </w:r>
      <w:r w:rsidRPr="00204EA7">
        <w:rPr>
          <w:rFonts w:asciiTheme="minorEastAsia" w:eastAsiaTheme="minorEastAsia" w:hAnsiTheme="minorEastAsia"/>
          <w:color w:val="000000" w:themeColor="text1"/>
        </w:rPr>
        <w:t>2018</w:t>
      </w:r>
      <w:r w:rsidRPr="00204EA7">
        <w:rPr>
          <w:rFonts w:asciiTheme="minorEastAsia" w:eastAsiaTheme="minorEastAsia" w:hAnsiTheme="minorEastAsia" w:hint="eastAsia"/>
          <w:color w:val="000000" w:themeColor="text1"/>
        </w:rPr>
        <w:t>年第</w:t>
      </w:r>
      <w:r w:rsidRPr="00204EA7">
        <w:rPr>
          <w:rFonts w:asciiTheme="minorEastAsia" w:eastAsiaTheme="minorEastAsia" w:hAnsiTheme="minorEastAsia"/>
          <w:color w:val="000000" w:themeColor="text1"/>
        </w:rPr>
        <w:t>23</w:t>
      </w:r>
      <w:r w:rsidRPr="00204EA7">
        <w:rPr>
          <w:rFonts w:asciiTheme="minorEastAsia" w:eastAsiaTheme="minorEastAsia" w:hAnsiTheme="minorEastAsia" w:hint="eastAsia"/>
          <w:color w:val="000000" w:themeColor="text1"/>
        </w:rPr>
        <w:t>号）规定非营利组织享受免税优惠时应将当年的财务报表、免税收入凭证等资料留存备查。</w:t>
      </w:r>
    </w:p>
    <w:p w14:paraId="14B84B53" w14:textId="2CD078E5"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因此</w:t>
      </w:r>
      <w:r w:rsidRPr="00204EA7">
        <w:rPr>
          <w:rFonts w:asciiTheme="minorEastAsia" w:eastAsiaTheme="minorEastAsia" w:hAnsiTheme="minorEastAsia"/>
          <w:color w:val="000000" w:themeColor="text1"/>
        </w:rPr>
        <w:t>,</w:t>
      </w:r>
      <w:r w:rsidRPr="00204EA7">
        <w:rPr>
          <w:rFonts w:asciiTheme="minorEastAsia" w:eastAsiaTheme="minorEastAsia" w:hAnsiTheme="minorEastAsia" w:hint="eastAsia"/>
          <w:color w:val="000000" w:themeColor="text1"/>
        </w:rPr>
        <w:t>享受非营利组织优惠政策的企业应按照规定设置账簿；而核定征收企业往往无法按规定设置帐簿，或虽有账簿但无法准确核算，因此，不能证明其符合非营利组织条件，也就无法取得免税资格并享受相应的优惠待遇。</w:t>
      </w:r>
    </w:p>
    <w:p w14:paraId="7D2E69E5" w14:textId="36077AE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39" w:history="1">
        <w:r w:rsidRPr="000F482B">
          <w:rPr>
            <w:rStyle w:val="a6"/>
            <w:rFonts w:asciiTheme="minorEastAsia" w:eastAsiaTheme="minorEastAsia" w:hAnsiTheme="minorEastAsia" w:hint="eastAsia"/>
          </w:rPr>
          <w:t>国家税务总局2018年第三季度政策解读现场实录</w:t>
        </w:r>
      </w:hyperlink>
      <w:r w:rsidRPr="00204EA7">
        <w:rPr>
          <w:rFonts w:asciiTheme="minorEastAsia" w:eastAsiaTheme="minorEastAsia" w:hAnsiTheme="minorEastAsia" w:hint="eastAsia"/>
          <w:color w:val="000000" w:themeColor="text1"/>
        </w:rPr>
        <w:t>）</w:t>
      </w:r>
    </w:p>
    <w:p w14:paraId="78A15F9D" w14:textId="77777777" w:rsidR="00204EA7" w:rsidRPr="00204EA7" w:rsidRDefault="00204EA7" w:rsidP="00204EA7">
      <w:pPr>
        <w:pStyle w:val="1"/>
        <w:spacing w:beforeLines="50" w:before="156" w:after="0" w:line="480" w:lineRule="atLeast"/>
        <w:rPr>
          <w:rFonts w:asciiTheme="minorEastAsia" w:hAnsiTheme="minorEastAsia"/>
          <w:color w:val="000000" w:themeColor="text1"/>
          <w:sz w:val="24"/>
          <w:szCs w:val="24"/>
        </w:rPr>
      </w:pPr>
      <w:r w:rsidRPr="00204EA7">
        <w:rPr>
          <w:rFonts w:asciiTheme="minorEastAsia" w:hAnsiTheme="minorEastAsia" w:hint="eastAsia"/>
          <w:color w:val="000000" w:themeColor="text1"/>
          <w:sz w:val="24"/>
          <w:szCs w:val="24"/>
        </w:rPr>
        <w:t>七、附则</w:t>
      </w:r>
    </w:p>
    <w:p w14:paraId="61DDF9C0" w14:textId="77777777"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（一）各级财政、税务部门及其工作人员在认定非营利组织免税资格工作中，存在违法违纪行为的，按照《公务员法》《行政监察法》等国家有关规定追究相应责任；涉嫌犯罪的，移送司法机关处理。</w:t>
      </w:r>
    </w:p>
    <w:p w14:paraId="1BC3345C" w14:textId="179A0023"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bookmarkStart w:id="4" w:name="_Hlk2493008"/>
      <w:r w:rsidRPr="00204EA7">
        <w:rPr>
          <w:rFonts w:asciiTheme="minorEastAsia" w:eastAsiaTheme="minorEastAsia" w:hAnsiTheme="minorEastAsia" w:hint="eastAsia"/>
          <w:color w:val="000000" w:themeColor="text1"/>
        </w:rPr>
        <w:t>（</w:t>
      </w:r>
      <w:hyperlink r:id="rId40"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第七条）</w:t>
      </w:r>
    </w:p>
    <w:bookmarkEnd w:id="4"/>
    <w:p w14:paraId="2ABC7FB2" w14:textId="11E19F7F"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本通知自2018年1月1日起执行。</w:t>
      </w:r>
      <w:bookmarkStart w:id="5" w:name="_GoBack"/>
      <w:r w:rsidR="000F482B" w:rsidRPr="000F482B">
        <w:rPr>
          <w:rFonts w:asciiTheme="minorHAnsi" w:eastAsiaTheme="minorEastAsia" w:hAnsiTheme="minorHAnsi" w:cstheme="minorBidi" w:hint="eastAsia"/>
          <w:color w:val="333333"/>
          <w:kern w:val="2"/>
          <w:shd w:val="clear" w:color="auto" w:fill="FFFFFF"/>
        </w:rPr>
        <w:t>《财政部</w:t>
      </w:r>
      <w:r w:rsidR="000F482B" w:rsidRPr="000F482B">
        <w:rPr>
          <w:rFonts w:asciiTheme="minorHAnsi" w:eastAsiaTheme="minorEastAsia" w:hAnsiTheme="minorHAnsi" w:cstheme="minorBidi" w:hint="eastAsia"/>
          <w:color w:val="333333"/>
          <w:kern w:val="2"/>
          <w:shd w:val="clear" w:color="auto" w:fill="FFFFFF"/>
        </w:rPr>
        <w:t xml:space="preserve"> </w:t>
      </w:r>
      <w:r w:rsidR="000F482B" w:rsidRPr="000F482B">
        <w:rPr>
          <w:rFonts w:asciiTheme="minorHAnsi" w:eastAsiaTheme="minorEastAsia" w:hAnsiTheme="minorHAnsi" w:cstheme="minorBidi" w:hint="eastAsia"/>
          <w:color w:val="333333"/>
          <w:kern w:val="2"/>
          <w:shd w:val="clear" w:color="auto" w:fill="FFFFFF"/>
        </w:rPr>
        <w:t>国家税务总局关于非营利组织免税资格认定管理有关问题的通知》（</w:t>
      </w:r>
      <w:hyperlink r:id="rId41" w:tgtFrame="_self" w:history="1">
        <w:r w:rsidR="000F482B" w:rsidRPr="000F482B">
          <w:rPr>
            <w:rFonts w:asciiTheme="minorHAnsi" w:eastAsiaTheme="minorEastAsia" w:hAnsiTheme="minorHAnsi" w:cstheme="minorBidi" w:hint="eastAsia"/>
            <w:color w:val="6E6E6E"/>
            <w:kern w:val="2"/>
            <w:u w:val="single"/>
            <w:shd w:val="clear" w:color="auto" w:fill="FFFFFF"/>
          </w:rPr>
          <w:t>财税〔</w:t>
        </w:r>
        <w:r w:rsidR="000F482B" w:rsidRPr="000F482B">
          <w:rPr>
            <w:rFonts w:asciiTheme="minorHAnsi" w:eastAsiaTheme="minorEastAsia" w:hAnsiTheme="minorHAnsi" w:cstheme="minorBidi" w:hint="eastAsia"/>
            <w:color w:val="6E6E6E"/>
            <w:kern w:val="2"/>
            <w:u w:val="single"/>
            <w:shd w:val="clear" w:color="auto" w:fill="FFFFFF"/>
          </w:rPr>
          <w:t>2014</w:t>
        </w:r>
        <w:r w:rsidR="000F482B" w:rsidRPr="000F482B">
          <w:rPr>
            <w:rFonts w:asciiTheme="minorHAnsi" w:eastAsiaTheme="minorEastAsia" w:hAnsiTheme="minorHAnsi" w:cstheme="minorBidi" w:hint="eastAsia"/>
            <w:color w:val="6E6E6E"/>
            <w:kern w:val="2"/>
            <w:u w:val="single"/>
            <w:shd w:val="clear" w:color="auto" w:fill="FFFFFF"/>
          </w:rPr>
          <w:t>〕</w:t>
        </w:r>
        <w:r w:rsidR="000F482B" w:rsidRPr="000F482B">
          <w:rPr>
            <w:rFonts w:asciiTheme="minorHAnsi" w:eastAsiaTheme="minorEastAsia" w:hAnsiTheme="minorHAnsi" w:cstheme="minorBidi" w:hint="eastAsia"/>
            <w:color w:val="6E6E6E"/>
            <w:kern w:val="2"/>
            <w:u w:val="single"/>
            <w:shd w:val="clear" w:color="auto" w:fill="FFFFFF"/>
          </w:rPr>
          <w:t>13</w:t>
        </w:r>
        <w:r w:rsidR="000F482B" w:rsidRPr="000F482B">
          <w:rPr>
            <w:rFonts w:asciiTheme="minorHAnsi" w:eastAsiaTheme="minorEastAsia" w:hAnsiTheme="minorHAnsi" w:cstheme="minorBidi" w:hint="eastAsia"/>
            <w:color w:val="6E6E6E"/>
            <w:kern w:val="2"/>
            <w:u w:val="single"/>
            <w:shd w:val="clear" w:color="auto" w:fill="FFFFFF"/>
          </w:rPr>
          <w:t>号</w:t>
        </w:r>
      </w:hyperlink>
      <w:r w:rsidR="000F482B" w:rsidRPr="000F482B">
        <w:rPr>
          <w:rFonts w:asciiTheme="minorHAnsi" w:eastAsiaTheme="minorEastAsia" w:hAnsiTheme="minorHAnsi" w:cstheme="minorBidi" w:hint="eastAsia"/>
          <w:color w:val="333333"/>
          <w:kern w:val="2"/>
          <w:shd w:val="clear" w:color="auto" w:fill="FFFFFF"/>
        </w:rPr>
        <w:t>）同时废止。</w:t>
      </w:r>
      <w:bookmarkEnd w:id="5"/>
    </w:p>
    <w:p w14:paraId="1C7B9413" w14:textId="5799AF00"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w:t>
      </w:r>
      <w:hyperlink r:id="rId42" w:history="1">
        <w:r w:rsidR="000F482B" w:rsidRPr="000F482B">
          <w:rPr>
            <w:rStyle w:val="a6"/>
            <w:rFonts w:asciiTheme="minorEastAsia" w:eastAsiaTheme="minorEastAsia" w:hAnsiTheme="minorEastAsia" w:hint="eastAsia"/>
          </w:rPr>
          <w:t>财税〔2018〕13号</w:t>
        </w:r>
      </w:hyperlink>
      <w:r w:rsidRPr="00204EA7">
        <w:rPr>
          <w:rFonts w:asciiTheme="minorEastAsia" w:eastAsiaTheme="minorEastAsia" w:hAnsiTheme="minorEastAsia" w:hint="eastAsia"/>
          <w:color w:val="000000" w:themeColor="text1"/>
        </w:rPr>
        <w:t>第八条）</w:t>
      </w:r>
    </w:p>
    <w:p w14:paraId="4FF40BDC" w14:textId="77777777" w:rsidR="00204EA7" w:rsidRPr="00204EA7" w:rsidRDefault="00204EA7" w:rsidP="00204EA7">
      <w:pPr>
        <w:pStyle w:val="1"/>
        <w:spacing w:beforeLines="50" w:before="156" w:after="0" w:line="480" w:lineRule="atLeast"/>
        <w:rPr>
          <w:rFonts w:asciiTheme="minorEastAsia" w:hAnsiTheme="minorEastAsia"/>
          <w:color w:val="000000" w:themeColor="text1"/>
          <w:sz w:val="24"/>
          <w:szCs w:val="24"/>
        </w:rPr>
      </w:pPr>
      <w:r w:rsidRPr="00204EA7">
        <w:rPr>
          <w:rFonts w:asciiTheme="minorEastAsia" w:hAnsiTheme="minorEastAsia" w:hint="eastAsia"/>
          <w:color w:val="000000" w:themeColor="text1"/>
          <w:sz w:val="24"/>
          <w:szCs w:val="24"/>
        </w:rPr>
        <w:t>附注：宣传提纲</w:t>
      </w:r>
    </w:p>
    <w:p w14:paraId="39951DB0" w14:textId="35F69662"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rPr>
          <w:rFonts w:asciiTheme="minorEastAsia" w:eastAsiaTheme="minorEastAsia" w:hAnsiTheme="minorEastAsia"/>
          <w:color w:val="000000" w:themeColor="text1"/>
        </w:rPr>
      </w:pPr>
      <w:r w:rsidRPr="00204EA7">
        <w:rPr>
          <w:rFonts w:asciiTheme="minorEastAsia" w:eastAsiaTheme="minorEastAsia" w:hAnsiTheme="minorEastAsia" w:hint="eastAsia"/>
          <w:color w:val="000000" w:themeColor="text1"/>
        </w:rPr>
        <w:t>实施条例从8个方面对非营利组织作了具体规定，明确了非营利组织享受税收优惠的条件。从世界各国对非营利组织的税收优惠来看，一般区分营利性收入</w:t>
      </w:r>
      <w:r w:rsidRPr="00204EA7">
        <w:rPr>
          <w:rFonts w:asciiTheme="minorEastAsia" w:eastAsiaTheme="minorEastAsia" w:hAnsiTheme="minorEastAsia" w:hint="eastAsia"/>
          <w:color w:val="000000" w:themeColor="text1"/>
        </w:rPr>
        <w:lastRenderedPageBreak/>
        <w:t>和非营利性收入给予不同的税收待遇。考虑到按照相关管理规定，我国的非营利组织一般不能从事营利性活动，为规范此类组织的活动，防止从事经营性活动可能带来的税收漏洞，实施条例规定，对非营利组织从事非营利性活动取得的收入给予免税，但从事营利性活动取得的收入则要征税。</w:t>
      </w:r>
    </w:p>
    <w:p w14:paraId="28A0C52D" w14:textId="094760CE" w:rsidR="00204EA7" w:rsidRPr="00204EA7" w:rsidRDefault="00204EA7" w:rsidP="00204EA7">
      <w:pPr>
        <w:pStyle w:val="a5"/>
        <w:shd w:val="clear" w:color="auto" w:fill="FFFFFF"/>
        <w:spacing w:beforeLines="50" w:before="156" w:beforeAutospacing="0" w:afterLines="50" w:after="156" w:afterAutospacing="0" w:line="480" w:lineRule="atLeast"/>
        <w:ind w:firstLineChars="200" w:firstLine="480"/>
        <w:jc w:val="right"/>
        <w:rPr>
          <w:rFonts w:asciiTheme="minorEastAsia" w:eastAsiaTheme="minorEastAsia" w:hAnsiTheme="minorEastAsia"/>
          <w:color w:val="000000" w:themeColor="text1"/>
          <w:shd w:val="clear" w:color="auto" w:fill="FFFFFF"/>
        </w:rPr>
      </w:pPr>
      <w:r w:rsidRPr="00204EA7">
        <w:rPr>
          <w:rFonts w:asciiTheme="minorEastAsia" w:eastAsiaTheme="minorEastAsia" w:hAnsiTheme="minorEastAsia" w:hint="eastAsia"/>
          <w:color w:val="000000" w:themeColor="text1"/>
          <w:shd w:val="clear" w:color="auto" w:fill="FFFFFF"/>
        </w:rPr>
        <w:t>（</w:t>
      </w:r>
      <w:hyperlink r:id="rId43" w:history="1">
        <w:r w:rsidR="00941AD3">
          <w:rPr>
            <w:rStyle w:val="a6"/>
            <w:rFonts w:hint="eastAsia"/>
            <w:shd w:val="clear" w:color="auto" w:fill="FFFFFF"/>
          </w:rPr>
          <w:t>国税函</w:t>
        </w:r>
        <w:r w:rsidR="00941AD3">
          <w:rPr>
            <w:rStyle w:val="a6"/>
            <w:shd w:val="clear" w:color="auto" w:fill="FFFFFF"/>
          </w:rPr>
          <w:t>[2008]159</w:t>
        </w:r>
        <w:r w:rsidR="00941AD3">
          <w:rPr>
            <w:rStyle w:val="a6"/>
            <w:rFonts w:hint="eastAsia"/>
            <w:shd w:val="clear" w:color="auto" w:fill="FFFFFF"/>
          </w:rPr>
          <w:t>号</w:t>
        </w:r>
      </w:hyperlink>
      <w:r w:rsidRPr="00204EA7">
        <w:rPr>
          <w:rFonts w:asciiTheme="minorEastAsia" w:eastAsiaTheme="minorEastAsia" w:hAnsiTheme="minorEastAsia" w:hint="eastAsia"/>
          <w:color w:val="000000" w:themeColor="text1"/>
          <w:shd w:val="clear" w:color="auto" w:fill="FFFFFF"/>
        </w:rPr>
        <w:t>第二十三条）</w:t>
      </w:r>
    </w:p>
    <w:p w14:paraId="0885DA8E" w14:textId="77777777" w:rsidR="00204EA7" w:rsidRPr="00204EA7" w:rsidRDefault="00204EA7" w:rsidP="003773C5">
      <w:pPr>
        <w:spacing w:beforeLines="50" w:before="156" w:line="480" w:lineRule="atLeast"/>
        <w:jc w:val="left"/>
        <w:rPr>
          <w:rFonts w:asciiTheme="minorEastAsia" w:hAnsiTheme="minorEastAsia"/>
          <w:color w:val="000000" w:themeColor="text1"/>
          <w:sz w:val="24"/>
          <w:szCs w:val="24"/>
        </w:rPr>
      </w:pPr>
    </w:p>
    <w:sectPr w:rsidR="00204EA7" w:rsidRPr="00204EA7">
      <w:footerReference w:type="default" r:id="rId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2FDF3" w14:textId="77777777" w:rsidR="00A4283B" w:rsidRDefault="00A4283B" w:rsidP="008D63C6">
      <w:r>
        <w:separator/>
      </w:r>
    </w:p>
  </w:endnote>
  <w:endnote w:type="continuationSeparator" w:id="0">
    <w:p w14:paraId="7D798FA5" w14:textId="77777777" w:rsidR="00A4283B" w:rsidRDefault="00A4283B" w:rsidP="008D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88246"/>
      <w:docPartObj>
        <w:docPartGallery w:val="Page Numbers (Bottom of Page)"/>
        <w:docPartUnique/>
      </w:docPartObj>
    </w:sdtPr>
    <w:sdtEndPr/>
    <w:sdtContent>
      <w:sdt>
        <w:sdtPr>
          <w:id w:val="1728636285"/>
          <w:docPartObj>
            <w:docPartGallery w:val="Page Numbers (Top of Page)"/>
            <w:docPartUnique/>
          </w:docPartObj>
        </w:sdtPr>
        <w:sdtEndPr/>
        <w:sdtContent>
          <w:p w14:paraId="4D6542DC" w14:textId="0FA4C043" w:rsidR="008D63C6" w:rsidRDefault="008D63C6">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F482B">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F482B">
              <w:rPr>
                <w:b/>
                <w:bCs/>
                <w:noProof/>
              </w:rPr>
              <w:t>7</w:t>
            </w:r>
            <w:r>
              <w:rPr>
                <w:b/>
                <w:bCs/>
                <w:sz w:val="24"/>
                <w:szCs w:val="24"/>
              </w:rPr>
              <w:fldChar w:fldCharType="end"/>
            </w:r>
          </w:p>
        </w:sdtContent>
      </w:sdt>
    </w:sdtContent>
  </w:sdt>
  <w:p w14:paraId="27157256" w14:textId="77777777" w:rsidR="008D63C6" w:rsidRDefault="008D63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8B023" w14:textId="77777777" w:rsidR="00A4283B" w:rsidRDefault="00A4283B" w:rsidP="008D63C6">
      <w:r>
        <w:separator/>
      </w:r>
    </w:p>
  </w:footnote>
  <w:footnote w:type="continuationSeparator" w:id="0">
    <w:p w14:paraId="49EEA3DC" w14:textId="77777777" w:rsidR="00A4283B" w:rsidRDefault="00A4283B" w:rsidP="008D6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BFB"/>
    <w:rsid w:val="00000D98"/>
    <w:rsid w:val="0002321A"/>
    <w:rsid w:val="000665B5"/>
    <w:rsid w:val="00076DF4"/>
    <w:rsid w:val="000F482B"/>
    <w:rsid w:val="000F6FDA"/>
    <w:rsid w:val="00106154"/>
    <w:rsid w:val="0012077A"/>
    <w:rsid w:val="001773B2"/>
    <w:rsid w:val="00186F69"/>
    <w:rsid w:val="00204EA7"/>
    <w:rsid w:val="0023101A"/>
    <w:rsid w:val="002E1AF6"/>
    <w:rsid w:val="002F50D4"/>
    <w:rsid w:val="003006A6"/>
    <w:rsid w:val="00322E87"/>
    <w:rsid w:val="0034249D"/>
    <w:rsid w:val="003773C5"/>
    <w:rsid w:val="00390245"/>
    <w:rsid w:val="003A3829"/>
    <w:rsid w:val="003A3D20"/>
    <w:rsid w:val="004B6E8F"/>
    <w:rsid w:val="005111C0"/>
    <w:rsid w:val="005B13D2"/>
    <w:rsid w:val="00604838"/>
    <w:rsid w:val="00670E0F"/>
    <w:rsid w:val="00672948"/>
    <w:rsid w:val="006A6936"/>
    <w:rsid w:val="007273FC"/>
    <w:rsid w:val="00740A21"/>
    <w:rsid w:val="00751B4A"/>
    <w:rsid w:val="00846BFB"/>
    <w:rsid w:val="00867863"/>
    <w:rsid w:val="008A13A6"/>
    <w:rsid w:val="008D63C6"/>
    <w:rsid w:val="008F4E32"/>
    <w:rsid w:val="00941AD3"/>
    <w:rsid w:val="009524C2"/>
    <w:rsid w:val="009E18C9"/>
    <w:rsid w:val="00A27AE2"/>
    <w:rsid w:val="00A4283B"/>
    <w:rsid w:val="00AD0622"/>
    <w:rsid w:val="00AF5778"/>
    <w:rsid w:val="00AF798D"/>
    <w:rsid w:val="00B16CF6"/>
    <w:rsid w:val="00BD27C1"/>
    <w:rsid w:val="00BF3704"/>
    <w:rsid w:val="00C30CE5"/>
    <w:rsid w:val="00C31DC2"/>
    <w:rsid w:val="00C56E20"/>
    <w:rsid w:val="00C83F5C"/>
    <w:rsid w:val="00CE17B0"/>
    <w:rsid w:val="00D206C3"/>
    <w:rsid w:val="00D30FE2"/>
    <w:rsid w:val="00D505A2"/>
    <w:rsid w:val="00D55F4D"/>
    <w:rsid w:val="00D77487"/>
    <w:rsid w:val="00DB566A"/>
    <w:rsid w:val="00DE6113"/>
    <w:rsid w:val="00DF2592"/>
    <w:rsid w:val="00E22101"/>
    <w:rsid w:val="00EF1B16"/>
    <w:rsid w:val="00F03A07"/>
    <w:rsid w:val="00F12A62"/>
    <w:rsid w:val="00F5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8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D63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D63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D63C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2077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12077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CE17B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CE17B0"/>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3C6"/>
    <w:rPr>
      <w:sz w:val="18"/>
      <w:szCs w:val="18"/>
    </w:rPr>
  </w:style>
  <w:style w:type="paragraph" w:styleId="a4">
    <w:name w:val="footer"/>
    <w:basedOn w:val="a"/>
    <w:link w:val="Char0"/>
    <w:uiPriority w:val="99"/>
    <w:unhideWhenUsed/>
    <w:rsid w:val="008D63C6"/>
    <w:pPr>
      <w:tabs>
        <w:tab w:val="center" w:pos="4153"/>
        <w:tab w:val="right" w:pos="8306"/>
      </w:tabs>
      <w:snapToGrid w:val="0"/>
      <w:jc w:val="left"/>
    </w:pPr>
    <w:rPr>
      <w:sz w:val="18"/>
      <w:szCs w:val="18"/>
    </w:rPr>
  </w:style>
  <w:style w:type="character" w:customStyle="1" w:styleId="Char0">
    <w:name w:val="页脚 Char"/>
    <w:basedOn w:val="a0"/>
    <w:link w:val="a4"/>
    <w:uiPriority w:val="99"/>
    <w:rsid w:val="008D63C6"/>
    <w:rPr>
      <w:sz w:val="18"/>
      <w:szCs w:val="18"/>
    </w:rPr>
  </w:style>
  <w:style w:type="character" w:customStyle="1" w:styleId="2Char">
    <w:name w:val="标题 2 Char"/>
    <w:basedOn w:val="a0"/>
    <w:link w:val="2"/>
    <w:uiPriority w:val="9"/>
    <w:rsid w:val="008D63C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D63C6"/>
    <w:rPr>
      <w:b/>
      <w:bCs/>
      <w:sz w:val="32"/>
      <w:szCs w:val="32"/>
    </w:rPr>
  </w:style>
  <w:style w:type="paragraph" w:styleId="a5">
    <w:name w:val="Normal (Web)"/>
    <w:basedOn w:val="a"/>
    <w:uiPriority w:val="99"/>
    <w:unhideWhenUsed/>
    <w:rsid w:val="008D63C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8D63C6"/>
    <w:rPr>
      <w:color w:val="0000FF"/>
      <w:u w:val="single"/>
    </w:rPr>
  </w:style>
  <w:style w:type="character" w:customStyle="1" w:styleId="1Char">
    <w:name w:val="标题 1 Char"/>
    <w:basedOn w:val="a0"/>
    <w:link w:val="1"/>
    <w:uiPriority w:val="9"/>
    <w:rsid w:val="008D63C6"/>
    <w:rPr>
      <w:b/>
      <w:bCs/>
      <w:kern w:val="44"/>
      <w:sz w:val="44"/>
      <w:szCs w:val="44"/>
    </w:rPr>
  </w:style>
  <w:style w:type="character" w:customStyle="1" w:styleId="4Char">
    <w:name w:val="标题 4 Char"/>
    <w:basedOn w:val="a0"/>
    <w:link w:val="4"/>
    <w:uiPriority w:val="9"/>
    <w:rsid w:val="0012077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12077A"/>
    <w:rPr>
      <w:b/>
      <w:bCs/>
      <w:sz w:val="28"/>
      <w:szCs w:val="28"/>
    </w:rPr>
  </w:style>
  <w:style w:type="character" w:customStyle="1" w:styleId="6Char">
    <w:name w:val="标题 6 Char"/>
    <w:basedOn w:val="a0"/>
    <w:link w:val="6"/>
    <w:uiPriority w:val="9"/>
    <w:rsid w:val="00CE17B0"/>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CE17B0"/>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D63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D63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D63C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2077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12077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CE17B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CE17B0"/>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3C6"/>
    <w:rPr>
      <w:sz w:val="18"/>
      <w:szCs w:val="18"/>
    </w:rPr>
  </w:style>
  <w:style w:type="paragraph" w:styleId="a4">
    <w:name w:val="footer"/>
    <w:basedOn w:val="a"/>
    <w:link w:val="Char0"/>
    <w:uiPriority w:val="99"/>
    <w:unhideWhenUsed/>
    <w:rsid w:val="008D63C6"/>
    <w:pPr>
      <w:tabs>
        <w:tab w:val="center" w:pos="4153"/>
        <w:tab w:val="right" w:pos="8306"/>
      </w:tabs>
      <w:snapToGrid w:val="0"/>
      <w:jc w:val="left"/>
    </w:pPr>
    <w:rPr>
      <w:sz w:val="18"/>
      <w:szCs w:val="18"/>
    </w:rPr>
  </w:style>
  <w:style w:type="character" w:customStyle="1" w:styleId="Char0">
    <w:name w:val="页脚 Char"/>
    <w:basedOn w:val="a0"/>
    <w:link w:val="a4"/>
    <w:uiPriority w:val="99"/>
    <w:rsid w:val="008D63C6"/>
    <w:rPr>
      <w:sz w:val="18"/>
      <w:szCs w:val="18"/>
    </w:rPr>
  </w:style>
  <w:style w:type="character" w:customStyle="1" w:styleId="2Char">
    <w:name w:val="标题 2 Char"/>
    <w:basedOn w:val="a0"/>
    <w:link w:val="2"/>
    <w:uiPriority w:val="9"/>
    <w:rsid w:val="008D63C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D63C6"/>
    <w:rPr>
      <w:b/>
      <w:bCs/>
      <w:sz w:val="32"/>
      <w:szCs w:val="32"/>
    </w:rPr>
  </w:style>
  <w:style w:type="paragraph" w:styleId="a5">
    <w:name w:val="Normal (Web)"/>
    <w:basedOn w:val="a"/>
    <w:uiPriority w:val="99"/>
    <w:unhideWhenUsed/>
    <w:rsid w:val="008D63C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8D63C6"/>
    <w:rPr>
      <w:color w:val="0000FF"/>
      <w:u w:val="single"/>
    </w:rPr>
  </w:style>
  <w:style w:type="character" w:customStyle="1" w:styleId="1Char">
    <w:name w:val="标题 1 Char"/>
    <w:basedOn w:val="a0"/>
    <w:link w:val="1"/>
    <w:uiPriority w:val="9"/>
    <w:rsid w:val="008D63C6"/>
    <w:rPr>
      <w:b/>
      <w:bCs/>
      <w:kern w:val="44"/>
      <w:sz w:val="44"/>
      <w:szCs w:val="44"/>
    </w:rPr>
  </w:style>
  <w:style w:type="character" w:customStyle="1" w:styleId="4Char">
    <w:name w:val="标题 4 Char"/>
    <w:basedOn w:val="a0"/>
    <w:link w:val="4"/>
    <w:uiPriority w:val="9"/>
    <w:rsid w:val="0012077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12077A"/>
    <w:rPr>
      <w:b/>
      <w:bCs/>
      <w:sz w:val="28"/>
      <w:szCs w:val="28"/>
    </w:rPr>
  </w:style>
  <w:style w:type="character" w:customStyle="1" w:styleId="6Char">
    <w:name w:val="标题 6 Char"/>
    <w:basedOn w:val="a0"/>
    <w:link w:val="6"/>
    <w:uiPriority w:val="9"/>
    <w:rsid w:val="00CE17B0"/>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CE17B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7083.html" TargetMode="External"/><Relationship Id="rId13" Type="http://schemas.openxmlformats.org/officeDocument/2006/relationships/hyperlink" Target="http://ssfb86.com/index/News/detail/newsid/397.html" TargetMode="External"/><Relationship Id="rId18" Type="http://schemas.openxmlformats.org/officeDocument/2006/relationships/hyperlink" Target="http://ssfb86.com/index/News/detail/newsid/397.html" TargetMode="External"/><Relationship Id="rId26" Type="http://schemas.openxmlformats.org/officeDocument/2006/relationships/hyperlink" Target="http://ssfb86.com/index/News/detail/newsid/397.html" TargetMode="External"/><Relationship Id="rId39" Type="http://schemas.openxmlformats.org/officeDocument/2006/relationships/hyperlink" Target="http://ssfb86.com/index/News/detail/newsid/303.html" TargetMode="External"/><Relationship Id="rId3" Type="http://schemas.openxmlformats.org/officeDocument/2006/relationships/settings" Target="settings.xml"/><Relationship Id="rId21" Type="http://schemas.openxmlformats.org/officeDocument/2006/relationships/hyperlink" Target="http://ssfb86.com/index/News/detail/newsid/397.html" TargetMode="External"/><Relationship Id="rId34" Type="http://schemas.openxmlformats.org/officeDocument/2006/relationships/hyperlink" Target="http://ssfb86.com/index/News/detail/newsid/397.html" TargetMode="External"/><Relationship Id="rId42" Type="http://schemas.openxmlformats.org/officeDocument/2006/relationships/hyperlink" Target="http://ssfb86.com/index/News/detail/newsid/397.html" TargetMode="External"/><Relationship Id="rId7" Type="http://schemas.openxmlformats.org/officeDocument/2006/relationships/hyperlink" Target="http://ssfb86.com/index/News/detail/newsid/575.html" TargetMode="External"/><Relationship Id="rId12" Type="http://schemas.openxmlformats.org/officeDocument/2006/relationships/hyperlink" Target="http://ssfb86.com/index/News/detail/newsid/397.html" TargetMode="External"/><Relationship Id="rId17" Type="http://schemas.openxmlformats.org/officeDocument/2006/relationships/hyperlink" Target="http://ssfb86.com/index/News/detail/newsid/397.html" TargetMode="External"/><Relationship Id="rId25" Type="http://schemas.openxmlformats.org/officeDocument/2006/relationships/hyperlink" Target="http://ssfb86.com/index/News/detail/newsid/397.html" TargetMode="External"/><Relationship Id="rId33" Type="http://schemas.openxmlformats.org/officeDocument/2006/relationships/hyperlink" Target="http://ssfb86.com/index/News/detail/newsid/828.html" TargetMode="External"/><Relationship Id="rId38" Type="http://schemas.openxmlformats.org/officeDocument/2006/relationships/hyperlink" Target="http://ssfb86.com/index/News/detail/newsid/397.html"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sfb86.com/index/News/detail/newsid/397.html" TargetMode="External"/><Relationship Id="rId20" Type="http://schemas.openxmlformats.org/officeDocument/2006/relationships/hyperlink" Target="http://ssfb86.com/index/News/detail/newsid/397.html" TargetMode="External"/><Relationship Id="rId29" Type="http://schemas.openxmlformats.org/officeDocument/2006/relationships/hyperlink" Target="http://ssfb86.com/index/News/detail/newsid/397.html" TargetMode="External"/><Relationship Id="rId41" Type="http://schemas.openxmlformats.org/officeDocument/2006/relationships/hyperlink" Target="http://ssfb86.com/index/News/detail/newsid/1261.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fb86.com/index/News/detail/newsid/397.html" TargetMode="External"/><Relationship Id="rId24" Type="http://schemas.openxmlformats.org/officeDocument/2006/relationships/hyperlink" Target="http://ssfb86.com/index/News/detail/newsid/397.html" TargetMode="External"/><Relationship Id="rId32" Type="http://schemas.openxmlformats.org/officeDocument/2006/relationships/hyperlink" Target="http://ssfb86.com/index/News/detail/newsid/1036.html" TargetMode="External"/><Relationship Id="rId37" Type="http://schemas.openxmlformats.org/officeDocument/2006/relationships/hyperlink" Target="http://ssfb86.com/index/News/detail/newsid/397.html" TargetMode="External"/><Relationship Id="rId40" Type="http://schemas.openxmlformats.org/officeDocument/2006/relationships/hyperlink" Target="http://ssfb86.com/index/News/detail/newsid/397.htm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36130;&#31246;&#12308;2018&#12309;13&#21495;&#8212;&#8212;&#20851;&#20110;&#38750;&#33829;&#21033;&#32452;&#32455;&#20813;&#31246;&#36164;&#26684;&#35748;&#23450;&#31649;&#29702;&#26377;&#20851;&#38382;&#39064;&#30340;&#36890;&#30693;.docx" TargetMode="External"/><Relationship Id="rId23" Type="http://schemas.openxmlformats.org/officeDocument/2006/relationships/hyperlink" Target="http://ssfb86.com/index/News/detail/newsid/397.html" TargetMode="External"/><Relationship Id="rId28" Type="http://schemas.openxmlformats.org/officeDocument/2006/relationships/hyperlink" Target="http://ssfb86.com/index/News/detail/newsid/397.html" TargetMode="External"/><Relationship Id="rId36" Type="http://schemas.openxmlformats.org/officeDocument/2006/relationships/hyperlink" Target="http://ssfb86.com/index/News/detail/newsid/397.html" TargetMode="External"/><Relationship Id="rId10" Type="http://schemas.openxmlformats.org/officeDocument/2006/relationships/hyperlink" Target="http://ssfb86.com/index/News/detail/newsid/397.html" TargetMode="External"/><Relationship Id="rId19" Type="http://schemas.openxmlformats.org/officeDocument/2006/relationships/hyperlink" Target="http://ssfb86.com/index/News/detail/newsid/397.html" TargetMode="External"/><Relationship Id="rId31" Type="http://schemas.openxmlformats.org/officeDocument/2006/relationships/hyperlink" Target="http://ssfb86.com/index/News/detail/newsid/397.html"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fb86.com/index/News/detail/newsid/397.html" TargetMode="External"/><Relationship Id="rId14" Type="http://schemas.openxmlformats.org/officeDocument/2006/relationships/hyperlink" Target="http://ssfb86.com/index/News/detail/newsid/397.html" TargetMode="External"/><Relationship Id="rId22" Type="http://schemas.openxmlformats.org/officeDocument/2006/relationships/hyperlink" Target="http://ssfb86.com/index/News/detail/newsid/397.html" TargetMode="External"/><Relationship Id="rId27" Type="http://schemas.openxmlformats.org/officeDocument/2006/relationships/hyperlink" Target="http://ssfb86.com/index/News/detail/newsid/397.html" TargetMode="External"/><Relationship Id="rId30" Type="http://schemas.openxmlformats.org/officeDocument/2006/relationships/hyperlink" Target="http://ssfb86.com/index/News/detail/newsid/397.html" TargetMode="External"/><Relationship Id="rId35" Type="http://schemas.openxmlformats.org/officeDocument/2006/relationships/hyperlink" Target="http://ssfb86.com/index/News/detail/newsid/397.html" TargetMode="External"/><Relationship Id="rId43" Type="http://schemas.openxmlformats.org/officeDocument/2006/relationships/hyperlink" Target="http://ssfb86.com/index/News/detail/newsid/250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924</Words>
  <Characters>5271</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OS</cp:lastModifiedBy>
  <cp:revision>6</cp:revision>
  <dcterms:created xsi:type="dcterms:W3CDTF">2020-07-04T13:34:00Z</dcterms:created>
  <dcterms:modified xsi:type="dcterms:W3CDTF">2020-10-10T12:14:00Z</dcterms:modified>
</cp:coreProperties>
</file>