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6628DCBA" w:rsidR="00F57C18" w:rsidRDefault="005479FB" w:rsidP="008D63C6">
      <w:pPr>
        <w:jc w:val="center"/>
        <w:rPr>
          <w:rFonts w:asciiTheme="minorEastAsia" w:hAnsiTheme="minorEastAsia"/>
          <w:sz w:val="44"/>
          <w:szCs w:val="44"/>
        </w:rPr>
      </w:pPr>
      <w:r w:rsidRPr="005479FB">
        <w:rPr>
          <w:rFonts w:asciiTheme="minorEastAsia" w:hAnsiTheme="minorEastAsia" w:hint="eastAsia"/>
          <w:sz w:val="44"/>
          <w:szCs w:val="44"/>
        </w:rPr>
        <w:t>6.2.</w:t>
      </w:r>
      <w:r w:rsidR="00D93BA4">
        <w:rPr>
          <w:rFonts w:asciiTheme="minorEastAsia" w:hAnsiTheme="minorEastAsia"/>
          <w:sz w:val="44"/>
          <w:szCs w:val="44"/>
        </w:rPr>
        <w:t>3</w:t>
      </w:r>
      <w:r w:rsidRPr="005479FB">
        <w:rPr>
          <w:rFonts w:asciiTheme="minorEastAsia" w:hAnsiTheme="minorEastAsia" w:hint="eastAsia"/>
          <w:sz w:val="44"/>
          <w:szCs w:val="44"/>
        </w:rPr>
        <w:t>.</w:t>
      </w:r>
      <w:r w:rsidR="00B82AA1">
        <w:rPr>
          <w:rFonts w:asciiTheme="minorEastAsia" w:hAnsiTheme="minorEastAsia"/>
          <w:sz w:val="44"/>
          <w:szCs w:val="44"/>
        </w:rPr>
        <w:t>3</w:t>
      </w:r>
      <w:r w:rsidRPr="005479FB">
        <w:rPr>
          <w:rFonts w:asciiTheme="minorEastAsia" w:hAnsiTheme="minorEastAsia" w:hint="eastAsia"/>
          <w:sz w:val="44"/>
          <w:szCs w:val="44"/>
        </w:rPr>
        <w:t xml:space="preserve">  </w:t>
      </w:r>
      <w:r w:rsidR="00B82AA1" w:rsidRPr="00B82AA1">
        <w:rPr>
          <w:rFonts w:asciiTheme="minorEastAsia" w:hAnsiTheme="minorEastAsia" w:hint="eastAsia"/>
          <w:sz w:val="44"/>
          <w:szCs w:val="44"/>
        </w:rPr>
        <w:t>技术先进型服务企业</w:t>
      </w:r>
    </w:p>
    <w:p w14:paraId="31A3B9D0" w14:textId="59FEADD8" w:rsidR="003409FD" w:rsidRDefault="003409FD" w:rsidP="00AE0E17">
      <w:pPr>
        <w:spacing w:beforeLines="50" w:before="156" w:line="480" w:lineRule="atLeast"/>
        <w:jc w:val="left"/>
        <w:rPr>
          <w:rFonts w:asciiTheme="minorEastAsia" w:hAnsiTheme="minorEastAsia"/>
          <w:color w:val="000000" w:themeColor="text1"/>
          <w:sz w:val="24"/>
          <w:szCs w:val="24"/>
        </w:rPr>
      </w:pPr>
    </w:p>
    <w:p w14:paraId="7842E695" w14:textId="77777777" w:rsidR="00291BD8" w:rsidRPr="00291BD8" w:rsidRDefault="00291BD8" w:rsidP="00291BD8">
      <w:pPr>
        <w:pStyle w:val="1"/>
        <w:spacing w:beforeLines="50" w:before="156" w:after="0" w:line="480" w:lineRule="atLeast"/>
        <w:rPr>
          <w:sz w:val="24"/>
          <w:szCs w:val="24"/>
        </w:rPr>
      </w:pPr>
      <w:r w:rsidRPr="00291BD8">
        <w:rPr>
          <w:rFonts w:hint="eastAsia"/>
          <w:sz w:val="24"/>
          <w:szCs w:val="24"/>
        </w:rPr>
        <w:t>一、政策内容</w:t>
      </w:r>
    </w:p>
    <w:p w14:paraId="3994D345"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（一）自2017年1月1日起，在全国范围内实行以下企业所得税优惠政策：</w:t>
      </w:r>
    </w:p>
    <w:p w14:paraId="1D79E2B3"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1</w:t>
      </w:r>
      <w:r w:rsidRPr="00291BD8">
        <w:rPr>
          <w:rFonts w:ascii="宋体" w:eastAsia="宋体" w:hAnsi="宋体" w:cs="宋体"/>
          <w:color w:val="000000" w:themeColor="text1"/>
          <w:kern w:val="0"/>
          <w:sz w:val="24"/>
          <w:szCs w:val="24"/>
        </w:rPr>
        <w:t>.</w:t>
      </w:r>
      <w:r w:rsidRPr="00291BD8">
        <w:rPr>
          <w:rFonts w:ascii="宋体" w:eastAsia="宋体" w:hAnsi="宋体" w:cs="宋体" w:hint="eastAsia"/>
          <w:color w:val="000000" w:themeColor="text1"/>
          <w:kern w:val="0"/>
          <w:sz w:val="24"/>
          <w:szCs w:val="24"/>
        </w:rPr>
        <w:t>对经认定的技术先进型服务企业，减按15%的税率征收企业所得税。</w:t>
      </w:r>
    </w:p>
    <w:p w14:paraId="1498EA4A" w14:textId="4A14B27E"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bookmarkStart w:id="0" w:name="_Hlk2284967"/>
      <w:r w:rsidRPr="00291BD8">
        <w:rPr>
          <w:rFonts w:ascii="宋体" w:eastAsia="宋体" w:hAnsi="宋体" w:hint="eastAsia"/>
          <w:color w:val="000000" w:themeColor="text1"/>
          <w:sz w:val="24"/>
          <w:szCs w:val="24"/>
        </w:rPr>
        <w:t>（</w:t>
      </w:r>
      <w:hyperlink r:id="rId9" w:history="1">
        <w:r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第一条第一款）</w:t>
      </w:r>
    </w:p>
    <w:bookmarkEnd w:id="0"/>
    <w:p w14:paraId="4960D054"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2</w:t>
      </w:r>
      <w:r w:rsidRPr="00291BD8">
        <w:rPr>
          <w:rFonts w:ascii="宋体" w:eastAsia="宋体" w:hAnsi="宋体" w:cs="宋体"/>
          <w:color w:val="000000" w:themeColor="text1"/>
          <w:kern w:val="0"/>
          <w:sz w:val="24"/>
          <w:szCs w:val="24"/>
        </w:rPr>
        <w:t>.</w:t>
      </w:r>
      <w:r w:rsidRPr="00291BD8">
        <w:rPr>
          <w:rFonts w:ascii="宋体" w:eastAsia="宋体" w:hAnsi="宋体" w:cs="宋体" w:hint="eastAsia"/>
          <w:color w:val="000000" w:themeColor="text1"/>
          <w:kern w:val="0"/>
          <w:sz w:val="24"/>
          <w:szCs w:val="24"/>
        </w:rPr>
        <w:t>经认定的技术先进型服务企业发生的职工教育经费支出，不超过工资薪金总额8%的部分，准予在计算应纳税所得额时扣除；超过部分，准予在以后纳税年度结转扣除。</w:t>
      </w:r>
    </w:p>
    <w:p w14:paraId="2225103E" w14:textId="12739018"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10"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第一条第二款）</w:t>
      </w:r>
    </w:p>
    <w:p w14:paraId="02ECD951" w14:textId="77777777" w:rsidR="00291BD8" w:rsidRPr="00291BD8" w:rsidRDefault="00291BD8" w:rsidP="00291BD8">
      <w:pPr>
        <w:pStyle w:val="a5"/>
        <w:shd w:val="clear" w:color="auto" w:fill="FFFFFF"/>
        <w:spacing w:beforeLines="50" w:before="156" w:beforeAutospacing="0" w:after="0" w:afterAutospacing="0" w:line="480" w:lineRule="atLeast"/>
        <w:ind w:firstLineChars="200" w:firstLine="480"/>
        <w:rPr>
          <w:color w:val="000000" w:themeColor="text1"/>
        </w:rPr>
      </w:pPr>
      <w:r w:rsidRPr="00291BD8">
        <w:rPr>
          <w:rFonts w:hint="eastAsia"/>
          <w:color w:val="000000" w:themeColor="text1"/>
        </w:rPr>
        <w:t>（二）自2018年1月1日起，对经认定的</w:t>
      </w:r>
      <w:bookmarkStart w:id="1" w:name="_Hlk13930395"/>
      <w:r w:rsidRPr="00291BD8">
        <w:rPr>
          <w:rFonts w:hint="eastAsia"/>
          <w:color w:val="000000" w:themeColor="text1"/>
        </w:rPr>
        <w:t>技术先进型服务企业（服务贸易类）</w:t>
      </w:r>
      <w:bookmarkEnd w:id="1"/>
      <w:r w:rsidRPr="00291BD8">
        <w:rPr>
          <w:rFonts w:hint="eastAsia"/>
          <w:color w:val="000000" w:themeColor="text1"/>
        </w:rPr>
        <w:t>，减按15%的税率征收企业所得税。</w:t>
      </w:r>
    </w:p>
    <w:p w14:paraId="5359B425" w14:textId="178475DE" w:rsidR="00291BD8" w:rsidRPr="00291BD8" w:rsidRDefault="00291BD8" w:rsidP="00291BD8">
      <w:pPr>
        <w:pStyle w:val="a5"/>
        <w:spacing w:beforeLines="50" w:before="156" w:beforeAutospacing="0" w:after="0" w:afterAutospacing="0" w:line="480" w:lineRule="atLeast"/>
        <w:ind w:firstLineChars="200" w:firstLine="480"/>
        <w:jc w:val="right"/>
        <w:rPr>
          <w:color w:val="000000" w:themeColor="text1"/>
        </w:rPr>
      </w:pPr>
      <w:bookmarkStart w:id="2" w:name="_Hlk2287503"/>
      <w:r w:rsidRPr="00291BD8">
        <w:rPr>
          <w:rFonts w:hint="eastAsia"/>
          <w:color w:val="000000" w:themeColor="text1"/>
        </w:rPr>
        <w:t>（</w:t>
      </w:r>
      <w:hyperlink r:id="rId11" w:history="1">
        <w:r w:rsidRPr="0061500B">
          <w:rPr>
            <w:rStyle w:val="a6"/>
            <w:rFonts w:hint="eastAsia"/>
          </w:rPr>
          <w:t>财税〔2018〕44号</w:t>
        </w:r>
      </w:hyperlink>
      <w:r w:rsidRPr="00291BD8">
        <w:rPr>
          <w:rFonts w:hint="eastAsia"/>
          <w:color w:val="000000" w:themeColor="text1"/>
        </w:rPr>
        <w:t>第一条）</w:t>
      </w:r>
      <w:bookmarkEnd w:id="2"/>
    </w:p>
    <w:p w14:paraId="3360C05E" w14:textId="77777777" w:rsidR="00291BD8" w:rsidRPr="00291BD8" w:rsidRDefault="00291BD8" w:rsidP="00291BD8">
      <w:pPr>
        <w:pStyle w:val="1"/>
        <w:spacing w:beforeLines="50" w:before="156" w:after="0" w:line="480" w:lineRule="atLeast"/>
        <w:rPr>
          <w:sz w:val="24"/>
          <w:szCs w:val="24"/>
        </w:rPr>
      </w:pPr>
      <w:r w:rsidRPr="00291BD8">
        <w:rPr>
          <w:rFonts w:hint="eastAsia"/>
          <w:sz w:val="24"/>
          <w:szCs w:val="24"/>
        </w:rPr>
        <w:t>二、适用条件</w:t>
      </w:r>
    </w:p>
    <w:p w14:paraId="21C0A739" w14:textId="77777777" w:rsidR="00291BD8" w:rsidRPr="00291BD8" w:rsidRDefault="00291BD8" w:rsidP="00291BD8">
      <w:pPr>
        <w:pStyle w:val="2"/>
        <w:spacing w:beforeLines="50" w:before="156" w:after="0" w:line="480" w:lineRule="atLeast"/>
        <w:rPr>
          <w:sz w:val="24"/>
          <w:szCs w:val="24"/>
        </w:rPr>
      </w:pPr>
      <w:r w:rsidRPr="00291BD8">
        <w:rPr>
          <w:rFonts w:hint="eastAsia"/>
          <w:sz w:val="24"/>
          <w:szCs w:val="24"/>
        </w:rPr>
        <w:t>（一）技术先进型服务企业</w:t>
      </w:r>
    </w:p>
    <w:p w14:paraId="76DBFDB6"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享受本通知第一条规定的企业所得税优惠政策的技术先进型服务企业必须同时符合以下条件：</w:t>
      </w:r>
    </w:p>
    <w:p w14:paraId="70A11E4F"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1</w:t>
      </w:r>
      <w:r w:rsidRPr="00291BD8">
        <w:rPr>
          <w:rFonts w:ascii="宋体" w:eastAsia="宋体" w:hAnsi="宋体" w:cs="宋体"/>
          <w:color w:val="000000" w:themeColor="text1"/>
          <w:kern w:val="0"/>
          <w:sz w:val="24"/>
          <w:szCs w:val="24"/>
        </w:rPr>
        <w:t>.</w:t>
      </w:r>
      <w:r w:rsidRPr="00291BD8">
        <w:rPr>
          <w:rFonts w:ascii="宋体" w:eastAsia="宋体" w:hAnsi="宋体" w:cs="宋体" w:hint="eastAsia"/>
          <w:color w:val="000000" w:themeColor="text1"/>
          <w:kern w:val="0"/>
          <w:sz w:val="24"/>
          <w:szCs w:val="24"/>
        </w:rPr>
        <w:t>在中国境内（不包括港、澳、台地区）注册的法人企业；</w:t>
      </w:r>
    </w:p>
    <w:p w14:paraId="7014ABD1" w14:textId="1AE0A9FE"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12"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第二条第一款）</w:t>
      </w:r>
    </w:p>
    <w:p w14:paraId="64105926"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2</w:t>
      </w:r>
      <w:r w:rsidRPr="00291BD8">
        <w:rPr>
          <w:rFonts w:ascii="宋体" w:eastAsia="宋体" w:hAnsi="宋体" w:cs="宋体"/>
          <w:color w:val="000000" w:themeColor="text1"/>
          <w:kern w:val="0"/>
          <w:sz w:val="24"/>
          <w:szCs w:val="24"/>
        </w:rPr>
        <w:t>.</w:t>
      </w:r>
      <w:r w:rsidRPr="00291BD8">
        <w:rPr>
          <w:rFonts w:ascii="宋体" w:eastAsia="宋体" w:hAnsi="宋体" w:cs="宋体" w:hint="eastAsia"/>
          <w:color w:val="000000" w:themeColor="text1"/>
          <w:kern w:val="0"/>
          <w:sz w:val="24"/>
          <w:szCs w:val="24"/>
        </w:rPr>
        <w:t>从事《技术先进型服务业务认定范围（试行）》（详见附件）中的一种或多种技术先进型服务业务，采用先进技术或具备较强的研发能力；</w:t>
      </w:r>
    </w:p>
    <w:p w14:paraId="6238FA1E" w14:textId="68CC5861"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bookmarkStart w:id="3" w:name="_Hlk2285010"/>
      <w:r w:rsidRPr="00291BD8">
        <w:rPr>
          <w:rFonts w:ascii="宋体" w:eastAsia="宋体" w:hAnsi="宋体" w:hint="eastAsia"/>
          <w:color w:val="000000" w:themeColor="text1"/>
          <w:sz w:val="24"/>
          <w:szCs w:val="24"/>
        </w:rPr>
        <w:t>（</w:t>
      </w:r>
      <w:hyperlink r:id="rId13"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第二条第二款）</w:t>
      </w:r>
    </w:p>
    <w:p w14:paraId="3EE03FA5"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bookmarkStart w:id="4" w:name="_Hlk32250159"/>
      <w:bookmarkEnd w:id="3"/>
      <w:r w:rsidRPr="00291BD8">
        <w:rPr>
          <w:rFonts w:ascii="宋体" w:eastAsia="宋体" w:hAnsi="宋体" w:cs="宋体" w:hint="eastAsia"/>
          <w:color w:val="000000" w:themeColor="text1"/>
          <w:kern w:val="0"/>
          <w:sz w:val="24"/>
          <w:szCs w:val="24"/>
        </w:rPr>
        <w:lastRenderedPageBreak/>
        <w:t>3</w:t>
      </w:r>
      <w:r w:rsidRPr="00291BD8">
        <w:rPr>
          <w:rFonts w:ascii="宋体" w:eastAsia="宋体" w:hAnsi="宋体" w:cs="宋体"/>
          <w:color w:val="000000" w:themeColor="text1"/>
          <w:kern w:val="0"/>
          <w:sz w:val="24"/>
          <w:szCs w:val="24"/>
        </w:rPr>
        <w:t>.</w:t>
      </w:r>
      <w:r w:rsidRPr="00291BD8">
        <w:rPr>
          <w:rFonts w:ascii="宋体" w:eastAsia="宋体" w:hAnsi="宋体" w:cs="宋体" w:hint="eastAsia"/>
          <w:color w:val="000000" w:themeColor="text1"/>
          <w:kern w:val="0"/>
          <w:sz w:val="24"/>
          <w:szCs w:val="24"/>
        </w:rPr>
        <w:t>具有大专以上学历的员工占企业职工总数的50%以上；</w:t>
      </w:r>
    </w:p>
    <w:bookmarkEnd w:id="4"/>
    <w:p w14:paraId="3BF66240" w14:textId="378999B3"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14"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第二条第三款）</w:t>
      </w:r>
    </w:p>
    <w:p w14:paraId="76240BC3"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4</w:t>
      </w:r>
      <w:r w:rsidRPr="00291BD8">
        <w:rPr>
          <w:rFonts w:ascii="宋体" w:eastAsia="宋体" w:hAnsi="宋体" w:cs="宋体"/>
          <w:color w:val="000000" w:themeColor="text1"/>
          <w:kern w:val="0"/>
          <w:sz w:val="24"/>
          <w:szCs w:val="24"/>
        </w:rPr>
        <w:t>.</w:t>
      </w:r>
      <w:r w:rsidRPr="00291BD8">
        <w:rPr>
          <w:rFonts w:ascii="宋体" w:eastAsia="宋体" w:hAnsi="宋体" w:cs="宋体" w:hint="eastAsia"/>
          <w:color w:val="000000" w:themeColor="text1"/>
          <w:kern w:val="0"/>
          <w:sz w:val="24"/>
          <w:szCs w:val="24"/>
        </w:rPr>
        <w:t>从事《技术先进型服务业务认定范围（试行）》中的技术先进型服务业务取得的收入占企业当年总收入的50%以上；</w:t>
      </w:r>
    </w:p>
    <w:p w14:paraId="5FE421DD" w14:textId="34824ECB"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15"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第二条第四款）</w:t>
      </w:r>
    </w:p>
    <w:p w14:paraId="4DF3F606"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5</w:t>
      </w:r>
      <w:r w:rsidRPr="00291BD8">
        <w:rPr>
          <w:rFonts w:ascii="宋体" w:eastAsia="宋体" w:hAnsi="宋体" w:cs="宋体"/>
          <w:color w:val="000000" w:themeColor="text1"/>
          <w:kern w:val="0"/>
          <w:sz w:val="24"/>
          <w:szCs w:val="24"/>
        </w:rPr>
        <w:t>.</w:t>
      </w:r>
      <w:r w:rsidRPr="00291BD8">
        <w:rPr>
          <w:rFonts w:ascii="宋体" w:eastAsia="宋体" w:hAnsi="宋体" w:cs="宋体" w:hint="eastAsia"/>
          <w:color w:val="000000" w:themeColor="text1"/>
          <w:kern w:val="0"/>
          <w:sz w:val="24"/>
          <w:szCs w:val="24"/>
        </w:rPr>
        <w:t>从事离岸服务外包业务取得的收入不低于企业当年总收入的35%。</w:t>
      </w:r>
    </w:p>
    <w:p w14:paraId="23321CBF" w14:textId="1CA91D42"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16"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第二条第五款）</w:t>
      </w:r>
    </w:p>
    <w:p w14:paraId="548599B0"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从事离岸服务外包业务取得的收入，是指企业根据境外单位与其签订的委托合同，由本企业或其</w:t>
      </w:r>
      <w:r w:rsidRPr="00291BD8">
        <w:rPr>
          <w:rFonts w:ascii="宋体" w:eastAsia="宋体" w:hAnsi="宋体" w:cs="宋体" w:hint="eastAsia"/>
          <w:b/>
          <w:color w:val="000000" w:themeColor="text1"/>
          <w:kern w:val="0"/>
          <w:sz w:val="24"/>
          <w:szCs w:val="24"/>
        </w:rPr>
        <w:t>直接转包</w:t>
      </w:r>
      <w:r w:rsidRPr="00291BD8">
        <w:rPr>
          <w:rFonts w:ascii="宋体" w:eastAsia="宋体" w:hAnsi="宋体" w:cs="宋体" w:hint="eastAsia"/>
          <w:color w:val="000000" w:themeColor="text1"/>
          <w:kern w:val="0"/>
          <w:sz w:val="24"/>
          <w:szCs w:val="24"/>
        </w:rPr>
        <w:t>的企业为境外单位提供《技术先进型服务业务认定范围（试行）》中所规定的信息技术外包服务（ITO）、技术性业务流程外包服务（BPO）和技术性知识流程外包服务（KPO），而从上述境外单位取得的收入。</w:t>
      </w:r>
    </w:p>
    <w:p w14:paraId="2465C7A9" w14:textId="272F92EB"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17"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第二条第五款第二项）</w:t>
      </w:r>
    </w:p>
    <w:p w14:paraId="6FA96640" w14:textId="77777777" w:rsidR="00291BD8" w:rsidRPr="00291BD8" w:rsidRDefault="00291BD8" w:rsidP="00291BD8">
      <w:pPr>
        <w:pStyle w:val="2"/>
        <w:spacing w:beforeLines="50" w:before="156" w:after="0" w:line="480" w:lineRule="atLeast"/>
        <w:rPr>
          <w:sz w:val="24"/>
          <w:szCs w:val="24"/>
        </w:rPr>
      </w:pPr>
      <w:r w:rsidRPr="00291BD8">
        <w:rPr>
          <w:rFonts w:hint="eastAsia"/>
          <w:sz w:val="24"/>
          <w:szCs w:val="24"/>
        </w:rPr>
        <w:t>（二）技术先进型服务企业（服务贸易类）</w:t>
      </w:r>
    </w:p>
    <w:p w14:paraId="50C48682" w14:textId="746330AA"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本通知所称技术先进型服务企业（服务贸易类）须符合的条件及认定管理事项，按照</w:t>
      </w:r>
      <w:r w:rsidR="0061500B" w:rsidRPr="0061500B">
        <w:rPr>
          <w:rFonts w:hint="eastAsia"/>
          <w:color w:val="333333"/>
          <w:sz w:val="24"/>
          <w:szCs w:val="24"/>
          <w:shd w:val="clear" w:color="auto" w:fill="FFFFFF"/>
        </w:rPr>
        <w:t>《财政部</w:t>
      </w:r>
      <w:r w:rsidR="0061500B" w:rsidRPr="0061500B">
        <w:rPr>
          <w:rFonts w:hint="eastAsia"/>
          <w:color w:val="333333"/>
          <w:sz w:val="24"/>
          <w:szCs w:val="24"/>
          <w:shd w:val="clear" w:color="auto" w:fill="FFFFFF"/>
        </w:rPr>
        <w:t xml:space="preserve"> </w:t>
      </w:r>
      <w:r w:rsidR="0061500B" w:rsidRPr="0061500B">
        <w:rPr>
          <w:rFonts w:hint="eastAsia"/>
          <w:color w:val="333333"/>
          <w:sz w:val="24"/>
          <w:szCs w:val="24"/>
          <w:shd w:val="clear" w:color="auto" w:fill="FFFFFF"/>
        </w:rPr>
        <w:t>税务总局</w:t>
      </w:r>
      <w:r w:rsidR="0061500B" w:rsidRPr="0061500B">
        <w:rPr>
          <w:rFonts w:hint="eastAsia"/>
          <w:color w:val="333333"/>
          <w:sz w:val="24"/>
          <w:szCs w:val="24"/>
          <w:shd w:val="clear" w:color="auto" w:fill="FFFFFF"/>
        </w:rPr>
        <w:t xml:space="preserve"> </w:t>
      </w:r>
      <w:r w:rsidR="0061500B" w:rsidRPr="0061500B">
        <w:rPr>
          <w:rFonts w:hint="eastAsia"/>
          <w:color w:val="333333"/>
          <w:sz w:val="24"/>
          <w:szCs w:val="24"/>
          <w:shd w:val="clear" w:color="auto" w:fill="FFFFFF"/>
        </w:rPr>
        <w:t>商务部</w:t>
      </w:r>
      <w:r w:rsidR="0061500B" w:rsidRPr="0061500B">
        <w:rPr>
          <w:rFonts w:hint="eastAsia"/>
          <w:color w:val="333333"/>
          <w:sz w:val="24"/>
          <w:szCs w:val="24"/>
          <w:shd w:val="clear" w:color="auto" w:fill="FFFFFF"/>
        </w:rPr>
        <w:t xml:space="preserve"> </w:t>
      </w:r>
      <w:r w:rsidR="0061500B" w:rsidRPr="0061500B">
        <w:rPr>
          <w:rFonts w:hint="eastAsia"/>
          <w:color w:val="333333"/>
          <w:sz w:val="24"/>
          <w:szCs w:val="24"/>
          <w:shd w:val="clear" w:color="auto" w:fill="FFFFFF"/>
        </w:rPr>
        <w:t>科技部</w:t>
      </w:r>
      <w:r w:rsidR="0061500B" w:rsidRPr="0061500B">
        <w:rPr>
          <w:rFonts w:hint="eastAsia"/>
          <w:color w:val="333333"/>
          <w:sz w:val="24"/>
          <w:szCs w:val="24"/>
          <w:shd w:val="clear" w:color="auto" w:fill="FFFFFF"/>
        </w:rPr>
        <w:t xml:space="preserve"> </w:t>
      </w:r>
      <w:r w:rsidR="0061500B" w:rsidRPr="0061500B">
        <w:rPr>
          <w:rFonts w:hint="eastAsia"/>
          <w:color w:val="333333"/>
          <w:sz w:val="24"/>
          <w:szCs w:val="24"/>
          <w:shd w:val="clear" w:color="auto" w:fill="FFFFFF"/>
        </w:rPr>
        <w:t>国家发展改革委关于将技术先进型服务企业所得税政策推广至全国实施的通知》（</w:t>
      </w:r>
      <w:hyperlink r:id="rId18" w:tgtFrame="_self" w:history="1">
        <w:r w:rsidR="0061500B" w:rsidRPr="0061500B">
          <w:rPr>
            <w:rFonts w:hint="eastAsia"/>
            <w:color w:val="6E6E6E"/>
            <w:sz w:val="24"/>
            <w:szCs w:val="24"/>
            <w:u w:val="single"/>
            <w:shd w:val="clear" w:color="auto" w:fill="FFFFFF"/>
          </w:rPr>
          <w:t>财税〔</w:t>
        </w:r>
        <w:r w:rsidR="0061500B" w:rsidRPr="0061500B">
          <w:rPr>
            <w:rFonts w:hint="eastAsia"/>
            <w:color w:val="6E6E6E"/>
            <w:sz w:val="24"/>
            <w:szCs w:val="24"/>
            <w:u w:val="single"/>
            <w:shd w:val="clear" w:color="auto" w:fill="FFFFFF"/>
          </w:rPr>
          <w:t>2017</w:t>
        </w:r>
        <w:r w:rsidR="0061500B" w:rsidRPr="0061500B">
          <w:rPr>
            <w:rFonts w:hint="eastAsia"/>
            <w:color w:val="6E6E6E"/>
            <w:sz w:val="24"/>
            <w:szCs w:val="24"/>
            <w:u w:val="single"/>
            <w:shd w:val="clear" w:color="auto" w:fill="FFFFFF"/>
          </w:rPr>
          <w:t>〕</w:t>
        </w:r>
        <w:r w:rsidR="0061500B" w:rsidRPr="0061500B">
          <w:rPr>
            <w:rFonts w:hint="eastAsia"/>
            <w:color w:val="6E6E6E"/>
            <w:sz w:val="24"/>
            <w:szCs w:val="24"/>
            <w:u w:val="single"/>
            <w:shd w:val="clear" w:color="auto" w:fill="FFFFFF"/>
          </w:rPr>
          <w:t>79</w:t>
        </w:r>
        <w:r w:rsidR="0061500B" w:rsidRPr="0061500B">
          <w:rPr>
            <w:rFonts w:hint="eastAsia"/>
            <w:color w:val="6E6E6E"/>
            <w:sz w:val="24"/>
            <w:szCs w:val="24"/>
            <w:u w:val="single"/>
            <w:shd w:val="clear" w:color="auto" w:fill="FFFFFF"/>
          </w:rPr>
          <w:t>号</w:t>
        </w:r>
      </w:hyperlink>
      <w:r w:rsidR="0061500B" w:rsidRPr="0061500B">
        <w:rPr>
          <w:rFonts w:hint="eastAsia"/>
          <w:color w:val="333333"/>
          <w:sz w:val="24"/>
          <w:szCs w:val="24"/>
          <w:shd w:val="clear" w:color="auto" w:fill="FFFFFF"/>
        </w:rPr>
        <w:t>）</w:t>
      </w:r>
      <w:r w:rsidRPr="0061500B">
        <w:rPr>
          <w:rFonts w:ascii="宋体" w:eastAsia="宋体" w:hAnsi="宋体" w:cs="宋体" w:hint="eastAsia"/>
          <w:color w:val="000000" w:themeColor="text1"/>
          <w:kern w:val="0"/>
          <w:sz w:val="24"/>
          <w:szCs w:val="24"/>
        </w:rPr>
        <w:t>的相</w:t>
      </w:r>
      <w:r w:rsidRPr="00291BD8">
        <w:rPr>
          <w:rFonts w:ascii="宋体" w:eastAsia="宋体" w:hAnsi="宋体" w:cs="宋体" w:hint="eastAsia"/>
          <w:color w:val="000000" w:themeColor="text1"/>
          <w:kern w:val="0"/>
          <w:sz w:val="24"/>
          <w:szCs w:val="24"/>
        </w:rPr>
        <w:t>关规定执行。其中，企业须满足的技术先进型服务业务领域范围按照本通知所附</w:t>
      </w:r>
      <w:r w:rsidRPr="0061500B">
        <w:rPr>
          <w:rFonts w:ascii="宋体" w:eastAsia="宋体" w:hAnsi="宋体" w:cs="宋体" w:hint="eastAsia"/>
          <w:b/>
          <w:kern w:val="0"/>
          <w:sz w:val="24"/>
          <w:szCs w:val="24"/>
        </w:rPr>
        <w:t>《</w:t>
      </w:r>
      <w:hyperlink r:id="rId19" w:history="1">
        <w:r w:rsidRPr="0061500B">
          <w:rPr>
            <w:rStyle w:val="a6"/>
            <w:rFonts w:ascii="宋体" w:eastAsia="宋体" w:hAnsi="宋体" w:cs="宋体" w:hint="eastAsia"/>
            <w:b/>
            <w:kern w:val="0"/>
            <w:sz w:val="24"/>
            <w:szCs w:val="24"/>
          </w:rPr>
          <w:t>技术先进型服务业务领域范围（服务贸易类）</w:t>
        </w:r>
      </w:hyperlink>
      <w:r w:rsidRPr="0061500B">
        <w:rPr>
          <w:rFonts w:ascii="宋体" w:eastAsia="宋体" w:hAnsi="宋体" w:cs="宋体" w:hint="eastAsia"/>
          <w:b/>
          <w:kern w:val="0"/>
          <w:sz w:val="24"/>
          <w:szCs w:val="24"/>
        </w:rPr>
        <w:t>》</w:t>
      </w:r>
      <w:r w:rsidRPr="00291BD8">
        <w:rPr>
          <w:rFonts w:ascii="宋体" w:eastAsia="宋体" w:hAnsi="宋体" w:cs="宋体" w:hint="eastAsia"/>
          <w:color w:val="000000" w:themeColor="text1"/>
          <w:kern w:val="0"/>
          <w:sz w:val="24"/>
          <w:szCs w:val="24"/>
        </w:rPr>
        <w:t>执行。</w:t>
      </w:r>
    </w:p>
    <w:p w14:paraId="1E68FA60" w14:textId="7E11E232" w:rsidR="00291BD8" w:rsidRPr="00291BD8" w:rsidRDefault="00291BD8" w:rsidP="00291BD8">
      <w:pPr>
        <w:pStyle w:val="a5"/>
        <w:spacing w:beforeLines="50" w:before="156" w:beforeAutospacing="0" w:after="0" w:afterAutospacing="0" w:line="480" w:lineRule="atLeast"/>
        <w:ind w:firstLineChars="200" w:firstLine="480"/>
        <w:jc w:val="right"/>
        <w:rPr>
          <w:color w:val="000000" w:themeColor="text1"/>
        </w:rPr>
      </w:pPr>
      <w:r w:rsidRPr="00291BD8">
        <w:rPr>
          <w:rFonts w:hint="eastAsia"/>
          <w:color w:val="000000" w:themeColor="text1"/>
        </w:rPr>
        <w:t>（</w:t>
      </w:r>
      <w:hyperlink r:id="rId20" w:history="1">
        <w:r w:rsidR="0061500B" w:rsidRPr="0061500B">
          <w:rPr>
            <w:rStyle w:val="a6"/>
            <w:rFonts w:hint="eastAsia"/>
          </w:rPr>
          <w:t>财税〔2018〕44号</w:t>
        </w:r>
      </w:hyperlink>
      <w:r w:rsidRPr="00291BD8">
        <w:rPr>
          <w:rFonts w:hint="eastAsia"/>
          <w:color w:val="000000" w:themeColor="text1"/>
        </w:rPr>
        <w:t>第二条）</w:t>
      </w:r>
    </w:p>
    <w:p w14:paraId="3C5A03DA" w14:textId="77777777" w:rsidR="00291BD8" w:rsidRPr="00291BD8" w:rsidRDefault="00291BD8" w:rsidP="00291BD8">
      <w:pPr>
        <w:pStyle w:val="1"/>
        <w:spacing w:beforeLines="50" w:before="156" w:after="0" w:line="480" w:lineRule="atLeast"/>
        <w:rPr>
          <w:sz w:val="24"/>
          <w:szCs w:val="24"/>
        </w:rPr>
      </w:pPr>
      <w:r w:rsidRPr="00291BD8">
        <w:rPr>
          <w:rFonts w:hint="eastAsia"/>
          <w:sz w:val="24"/>
          <w:szCs w:val="24"/>
        </w:rPr>
        <w:t>三、认定管理</w:t>
      </w:r>
    </w:p>
    <w:p w14:paraId="645286E7"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一）省级科技部门会同本级商务、财政、税务和发展改革部门根据本通知规定制定本省（自治区、直辖市、计划单列市）技术先进型服务企业认定管理办法，并负责本地区技术先进型服务企业的认定管理工作。各省（自治区、直辖市、计划单列市）技术先进型服务企业认定管理办法应报科技部、商务部、财政部、税务总局和国家发展改革委备案。</w:t>
      </w:r>
    </w:p>
    <w:p w14:paraId="4D0E3B69" w14:textId="6CD91372"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bookmarkStart w:id="5" w:name="_Hlk2285062"/>
      <w:r w:rsidRPr="00291BD8">
        <w:rPr>
          <w:rFonts w:ascii="宋体" w:eastAsia="宋体" w:hAnsi="宋体" w:hint="eastAsia"/>
          <w:color w:val="000000" w:themeColor="text1"/>
          <w:sz w:val="24"/>
          <w:szCs w:val="24"/>
        </w:rPr>
        <w:lastRenderedPageBreak/>
        <w:t>（</w:t>
      </w:r>
      <w:hyperlink r:id="rId21"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第三条第一款）</w:t>
      </w:r>
    </w:p>
    <w:bookmarkEnd w:id="5"/>
    <w:p w14:paraId="360A0FC6"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二）符合条件的技术先进型服务企业应向所在省级科技部门提出申请，由省级科技部门会同本级商务、财政、税务和发展改革部门联合评审后发文认定，并将认定企业名单及有关情况通过科技部“全国技术先进型服务企业业务办理管理平台”备案，科技部与商务部、财政部、税务总局和国家发展改革委共享备案信息。符合条件的技术先进型服务企业须在商务部“服务贸易统计监测管理信息系统（服务外包信息管理应用）”中填报企业基本信息，按时报送数据。</w:t>
      </w:r>
    </w:p>
    <w:p w14:paraId="3B0BF699" w14:textId="500C2926"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22"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第三条第二款）</w:t>
      </w:r>
    </w:p>
    <w:p w14:paraId="550012FD"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三）经认定的技术先进型服务企业，持相关认定文件向所在地主管税务机关办理享受本通知第一条规定的企业所得税优惠政策事宜。享受企业所得税优惠的技术先进型服务企业条件发生变化的，应当自发生变化之日起15日内向主管税务机关报告；不再符合享受税收优惠条件的，应当依法履行纳税义务。主管税务机关在执行税收优惠政策过程中，发现企业不具备技术先进型服务企业资格的，应提请认定机构复核。复核后确认不符合认定条件的，应取消企业享受税收优惠政策的资格。</w:t>
      </w:r>
    </w:p>
    <w:p w14:paraId="7EE551B8" w14:textId="1CDC558A"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23"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第三条第三款）</w:t>
      </w:r>
    </w:p>
    <w:p w14:paraId="3E7CE991"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四）省级科技、商务、财政、税务和发展改革部门对经认定并享受税收优惠政策的技术先进型服务企业应做好跟踪管理，对变更经营范围、合并、分立、转业、迁移的企业，如不再符合认定条件，应及时取消其享受税收优惠政策的资格。</w:t>
      </w:r>
    </w:p>
    <w:p w14:paraId="591944E7" w14:textId="28CD0291"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24"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第三条第四款）</w:t>
      </w:r>
    </w:p>
    <w:p w14:paraId="39753AF8"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五）省级财政、税务、商务、科技和发展改革部门要认真贯彻落实本通知的各项规定，在认定工作中对内外资企业一视同仁，平等对待，切实做好沟通与协作工作。在政策实施过程中发现问题，要及时反映上报财政部、税务总局、商务部、科技部和国家发展改革委。</w:t>
      </w:r>
    </w:p>
    <w:p w14:paraId="616408E5" w14:textId="7692583B"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25"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第三条第五款）</w:t>
      </w:r>
    </w:p>
    <w:p w14:paraId="55B619FF"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lastRenderedPageBreak/>
        <w:t>（六）省级科技、商务、财政、税务和发展改革部门及其工作人员在认定技术先进型服务企业工作中，存在违法违纪行为的，按照《公务员法》《行政监察法》等国家有关规定追究相应责任；涉嫌犯罪的，移送司法机关处理。</w:t>
      </w:r>
    </w:p>
    <w:p w14:paraId="46103F8D" w14:textId="0FA5EE7B"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26"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第三条第六款）</w:t>
      </w:r>
    </w:p>
    <w:p w14:paraId="7862DDFC" w14:textId="77777777" w:rsidR="00291BD8" w:rsidRPr="00291BD8" w:rsidRDefault="00291BD8" w:rsidP="00291BD8">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七）本通知印发后，各地应按照本通知规定于2017年12月31日前出台本省（自治区、直辖市、计划单列市）技术先进型服务企业认定管理办法并据此开展认定工作。现有31个中国服务外包示范城市已认定的2017年度技术先进型服务企业继续有效。从2018年1月1日起，中国服务外包示范城市技术先进型服务企业认定管理工作依照所在省（自治区、直辖市、计划单列市）制定的管理办法实施。</w:t>
      </w:r>
    </w:p>
    <w:p w14:paraId="03EAFD9E" w14:textId="6FA2F79E" w:rsidR="00291BD8" w:rsidRPr="00291BD8" w:rsidRDefault="00291BD8" w:rsidP="00291BD8">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rPr>
      </w:pPr>
      <w:r w:rsidRPr="00291BD8">
        <w:rPr>
          <w:rFonts w:ascii="宋体" w:eastAsia="宋体" w:hAnsi="宋体" w:hint="eastAsia"/>
          <w:color w:val="000000" w:themeColor="text1"/>
          <w:sz w:val="24"/>
          <w:szCs w:val="24"/>
        </w:rPr>
        <w:t>（</w:t>
      </w:r>
      <w:hyperlink r:id="rId27" w:history="1">
        <w:r w:rsidR="0061500B" w:rsidRPr="0061500B">
          <w:rPr>
            <w:rStyle w:val="a6"/>
            <w:rFonts w:ascii="宋体" w:eastAsia="宋体" w:hAnsi="宋体" w:hint="eastAsia"/>
            <w:sz w:val="24"/>
            <w:szCs w:val="24"/>
          </w:rPr>
          <w:t>财税〔2017〕79号</w:t>
        </w:r>
      </w:hyperlink>
      <w:r w:rsidRPr="00291BD8">
        <w:rPr>
          <w:rFonts w:ascii="宋体" w:eastAsia="宋体" w:hAnsi="宋体" w:hint="eastAsia"/>
          <w:color w:val="000000" w:themeColor="text1"/>
          <w:sz w:val="24"/>
          <w:szCs w:val="24"/>
        </w:rPr>
        <w:t>第三条第七款）</w:t>
      </w:r>
    </w:p>
    <w:p w14:paraId="317EA195" w14:textId="61AAEBA7" w:rsidR="00291BD8" w:rsidRPr="00291BD8" w:rsidRDefault="00291BD8" w:rsidP="00291BD8">
      <w:pPr>
        <w:pStyle w:val="1"/>
        <w:spacing w:beforeLines="50" w:before="156" w:after="0" w:line="480" w:lineRule="atLeast"/>
        <w:rPr>
          <w:sz w:val="24"/>
          <w:szCs w:val="24"/>
        </w:rPr>
      </w:pPr>
      <w:r w:rsidRPr="00291BD8">
        <w:rPr>
          <w:rFonts w:hint="eastAsia"/>
          <w:sz w:val="24"/>
          <w:szCs w:val="24"/>
        </w:rPr>
        <w:t>附件：技术先进型服务业务认定范围（试行）</w:t>
      </w:r>
    </w:p>
    <w:p w14:paraId="62099C48" w14:textId="77777777" w:rsidR="00291BD8" w:rsidRPr="00291BD8" w:rsidRDefault="00291BD8" w:rsidP="00291BD8">
      <w:pPr>
        <w:widowControl/>
        <w:shd w:val="clear" w:color="auto" w:fill="FFFFFF"/>
        <w:spacing w:beforeLines="50" w:before="156" w:line="480" w:lineRule="atLeast"/>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 xml:space="preserve">　</w:t>
      </w:r>
      <w:r w:rsidRPr="00291BD8">
        <w:rPr>
          <w:rFonts w:ascii="宋体" w:eastAsia="宋体" w:hAnsi="宋体" w:cs="宋体" w:hint="eastAsia"/>
          <w:b/>
          <w:bCs/>
          <w:color w:val="000000" w:themeColor="text1"/>
          <w:kern w:val="0"/>
          <w:sz w:val="24"/>
          <w:szCs w:val="24"/>
        </w:rPr>
        <w:t xml:space="preserve">　一、信息技术外包服务（ITO）</w:t>
      </w:r>
    </w:p>
    <w:p w14:paraId="25BD571E" w14:textId="77777777" w:rsidR="00291BD8" w:rsidRPr="00291BD8" w:rsidRDefault="00291BD8" w:rsidP="00291BD8">
      <w:pPr>
        <w:widowControl/>
        <w:shd w:val="clear" w:color="auto" w:fill="FFFFFF"/>
        <w:spacing w:beforeLines="50" w:before="156" w:line="480" w:lineRule="atLeast"/>
        <w:jc w:val="left"/>
        <w:rPr>
          <w:rFonts w:ascii="宋体" w:eastAsia="宋体" w:hAnsi="宋体" w:cs="宋体"/>
          <w:color w:val="000000" w:themeColor="text1"/>
          <w:kern w:val="0"/>
          <w:sz w:val="24"/>
          <w:szCs w:val="24"/>
        </w:rPr>
      </w:pPr>
      <w:r w:rsidRPr="00291BD8">
        <w:rPr>
          <w:rFonts w:ascii="宋体" w:eastAsia="宋体" w:hAnsi="宋体" w:cs="宋体" w:hint="eastAsia"/>
          <w:color w:val="000000" w:themeColor="text1"/>
          <w:kern w:val="0"/>
          <w:sz w:val="24"/>
          <w:szCs w:val="24"/>
        </w:rPr>
        <w:t xml:space="preserve">　　（一）软件研发及外包</w:t>
      </w:r>
    </w:p>
    <w:tbl>
      <w:tblPr>
        <w:tblW w:w="0" w:type="auto"/>
        <w:tblCellMar>
          <w:left w:w="0" w:type="dxa"/>
          <w:right w:w="0" w:type="dxa"/>
        </w:tblCellMar>
        <w:tblLook w:val="04A0" w:firstRow="1" w:lastRow="0" w:firstColumn="1" w:lastColumn="0" w:noHBand="0" w:noVBand="1"/>
      </w:tblPr>
      <w:tblGrid>
        <w:gridCol w:w="2368"/>
        <w:gridCol w:w="5922"/>
      </w:tblGrid>
      <w:tr w:rsidR="00291BD8" w:rsidRPr="009F1A0F" w14:paraId="167DE094" w14:textId="77777777" w:rsidTr="00291BD8">
        <w:tc>
          <w:tcPr>
            <w:tcW w:w="2368" w:type="dxa"/>
            <w:tcBorders>
              <w:top w:val="outset" w:sz="6" w:space="0" w:color="000000"/>
              <w:left w:val="outset" w:sz="6" w:space="0" w:color="000000"/>
              <w:bottom w:val="outset" w:sz="6" w:space="0" w:color="000000"/>
              <w:right w:val="outset" w:sz="6" w:space="0" w:color="000000"/>
            </w:tcBorders>
            <w:vAlign w:val="center"/>
            <w:hideMark/>
          </w:tcPr>
          <w:p w14:paraId="3CDF4854"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 xml:space="preserve">　　类　别</w:t>
            </w:r>
          </w:p>
        </w:tc>
        <w:tc>
          <w:tcPr>
            <w:tcW w:w="5922" w:type="dxa"/>
            <w:tcBorders>
              <w:top w:val="outset" w:sz="6" w:space="0" w:color="000000"/>
              <w:left w:val="outset" w:sz="6" w:space="0" w:color="000000"/>
              <w:bottom w:val="outset" w:sz="6" w:space="0" w:color="000000"/>
              <w:right w:val="outset" w:sz="6" w:space="0" w:color="000000"/>
            </w:tcBorders>
            <w:vAlign w:val="center"/>
            <w:hideMark/>
          </w:tcPr>
          <w:p w14:paraId="5CE69F65"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 xml:space="preserve">　　适用范围</w:t>
            </w:r>
          </w:p>
        </w:tc>
      </w:tr>
      <w:tr w:rsidR="00291BD8" w:rsidRPr="009F1A0F" w14:paraId="6FD262D3" w14:textId="77777777" w:rsidTr="00291BD8">
        <w:tc>
          <w:tcPr>
            <w:tcW w:w="2368" w:type="dxa"/>
            <w:tcBorders>
              <w:top w:val="outset" w:sz="6" w:space="0" w:color="000000"/>
              <w:left w:val="outset" w:sz="6" w:space="0" w:color="000000"/>
              <w:bottom w:val="outset" w:sz="6" w:space="0" w:color="000000"/>
              <w:right w:val="outset" w:sz="6" w:space="0" w:color="000000"/>
            </w:tcBorders>
            <w:vAlign w:val="center"/>
            <w:hideMark/>
          </w:tcPr>
          <w:p w14:paraId="761D3D0B"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软件研发及开发服务</w:t>
            </w:r>
          </w:p>
        </w:tc>
        <w:tc>
          <w:tcPr>
            <w:tcW w:w="5922" w:type="dxa"/>
            <w:tcBorders>
              <w:top w:val="outset" w:sz="6" w:space="0" w:color="000000"/>
              <w:left w:val="outset" w:sz="6" w:space="0" w:color="000000"/>
              <w:bottom w:val="outset" w:sz="6" w:space="0" w:color="000000"/>
              <w:right w:val="outset" w:sz="6" w:space="0" w:color="000000"/>
            </w:tcBorders>
            <w:vAlign w:val="center"/>
            <w:hideMark/>
          </w:tcPr>
          <w:p w14:paraId="5ABBC070"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291BD8" w:rsidRPr="009F1A0F" w14:paraId="78BEA0DC" w14:textId="77777777" w:rsidTr="00291BD8">
        <w:tc>
          <w:tcPr>
            <w:tcW w:w="2368" w:type="dxa"/>
            <w:tcBorders>
              <w:top w:val="outset" w:sz="6" w:space="0" w:color="000000"/>
              <w:left w:val="outset" w:sz="6" w:space="0" w:color="000000"/>
              <w:bottom w:val="outset" w:sz="6" w:space="0" w:color="000000"/>
              <w:right w:val="outset" w:sz="6" w:space="0" w:color="000000"/>
            </w:tcBorders>
            <w:vAlign w:val="center"/>
            <w:hideMark/>
          </w:tcPr>
          <w:p w14:paraId="75262632"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软件技术服务</w:t>
            </w:r>
          </w:p>
        </w:tc>
        <w:tc>
          <w:tcPr>
            <w:tcW w:w="5922" w:type="dxa"/>
            <w:tcBorders>
              <w:top w:val="outset" w:sz="6" w:space="0" w:color="000000"/>
              <w:left w:val="outset" w:sz="6" w:space="0" w:color="000000"/>
              <w:bottom w:val="outset" w:sz="6" w:space="0" w:color="000000"/>
              <w:right w:val="outset" w:sz="6" w:space="0" w:color="000000"/>
            </w:tcBorders>
            <w:vAlign w:val="center"/>
            <w:hideMark/>
          </w:tcPr>
          <w:p w14:paraId="53943B95"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软件咨询、维护、培训、测试等技术性服务。</w:t>
            </w:r>
          </w:p>
        </w:tc>
      </w:tr>
    </w:tbl>
    <w:p w14:paraId="008C3FEA" w14:textId="77777777" w:rsidR="00291BD8" w:rsidRPr="009F1A0F" w:rsidRDefault="00291BD8" w:rsidP="00291BD8">
      <w:pPr>
        <w:widowControl/>
        <w:shd w:val="clear" w:color="auto" w:fill="FFFFFF"/>
        <w:spacing w:line="540" w:lineRule="atLeast"/>
        <w:jc w:val="left"/>
        <w:rPr>
          <w:rFonts w:ascii="宋体" w:eastAsia="宋体" w:hAnsi="宋体" w:cs="宋体"/>
          <w:color w:val="333333"/>
          <w:kern w:val="0"/>
          <w:sz w:val="24"/>
          <w:szCs w:val="24"/>
        </w:rPr>
      </w:pPr>
      <w:r w:rsidRPr="009F1A0F">
        <w:rPr>
          <w:rFonts w:ascii="宋体" w:eastAsia="宋体" w:hAnsi="宋体" w:cs="宋体" w:hint="eastAsia"/>
          <w:b/>
          <w:bCs/>
          <w:color w:val="333333"/>
          <w:kern w:val="0"/>
          <w:sz w:val="24"/>
          <w:szCs w:val="24"/>
        </w:rPr>
        <w:t>二、技术性业务流程外包服务（BPO）</w:t>
      </w:r>
    </w:p>
    <w:tbl>
      <w:tblPr>
        <w:tblW w:w="0" w:type="auto"/>
        <w:tblCellMar>
          <w:left w:w="0" w:type="dxa"/>
          <w:right w:w="0" w:type="dxa"/>
        </w:tblCellMar>
        <w:tblLook w:val="04A0" w:firstRow="1" w:lastRow="0" w:firstColumn="1" w:lastColumn="0" w:noHBand="0" w:noVBand="1"/>
      </w:tblPr>
      <w:tblGrid>
        <w:gridCol w:w="2377"/>
        <w:gridCol w:w="5945"/>
      </w:tblGrid>
      <w:tr w:rsidR="00291BD8" w:rsidRPr="009F1A0F" w14:paraId="60AE9CA5" w14:textId="77777777" w:rsidTr="00BE7EED">
        <w:tc>
          <w:tcPr>
            <w:tcW w:w="2445" w:type="dxa"/>
            <w:tcBorders>
              <w:top w:val="outset" w:sz="6" w:space="0" w:color="000000"/>
              <w:left w:val="outset" w:sz="6" w:space="0" w:color="000000"/>
              <w:bottom w:val="outset" w:sz="6" w:space="0" w:color="000000"/>
              <w:right w:val="outset" w:sz="6" w:space="0" w:color="000000"/>
            </w:tcBorders>
            <w:vAlign w:val="center"/>
            <w:hideMark/>
          </w:tcPr>
          <w:p w14:paraId="1F7C95BA" w14:textId="77777777" w:rsidR="00291BD8" w:rsidRPr="009F1A0F" w:rsidRDefault="00291BD8" w:rsidP="00BE7EED">
            <w:pPr>
              <w:widowControl/>
              <w:spacing w:line="420" w:lineRule="atLeast"/>
              <w:jc w:val="center"/>
              <w:rPr>
                <w:rFonts w:ascii="微软雅黑" w:eastAsia="微软雅黑" w:hAnsi="微软雅黑" w:cs="宋体"/>
                <w:color w:val="333333"/>
                <w:kern w:val="0"/>
                <w:sz w:val="18"/>
                <w:szCs w:val="18"/>
              </w:rPr>
            </w:pPr>
            <w:r w:rsidRPr="009F1A0F">
              <w:rPr>
                <w:rFonts w:ascii="微软雅黑" w:eastAsia="微软雅黑" w:hAnsi="微软雅黑" w:cs="宋体" w:hint="eastAsia"/>
                <w:b/>
                <w:bCs/>
                <w:color w:val="333333"/>
                <w:kern w:val="0"/>
                <w:sz w:val="18"/>
                <w:szCs w:val="18"/>
              </w:rPr>
              <w:t>类别</w:t>
            </w:r>
          </w:p>
        </w:tc>
        <w:tc>
          <w:tcPr>
            <w:tcW w:w="6120" w:type="dxa"/>
            <w:tcBorders>
              <w:top w:val="outset" w:sz="6" w:space="0" w:color="000000"/>
              <w:left w:val="outset" w:sz="6" w:space="0" w:color="000000"/>
              <w:bottom w:val="outset" w:sz="6" w:space="0" w:color="000000"/>
              <w:right w:val="outset" w:sz="6" w:space="0" w:color="000000"/>
            </w:tcBorders>
            <w:vAlign w:val="center"/>
            <w:hideMark/>
          </w:tcPr>
          <w:p w14:paraId="0988D060" w14:textId="77777777" w:rsidR="00291BD8" w:rsidRPr="009F1A0F" w:rsidRDefault="00291BD8" w:rsidP="00BE7EED">
            <w:pPr>
              <w:widowControl/>
              <w:spacing w:line="420" w:lineRule="atLeast"/>
              <w:jc w:val="center"/>
              <w:rPr>
                <w:rFonts w:ascii="微软雅黑" w:eastAsia="微软雅黑" w:hAnsi="微软雅黑" w:cs="宋体"/>
                <w:color w:val="333333"/>
                <w:kern w:val="0"/>
                <w:sz w:val="18"/>
                <w:szCs w:val="18"/>
              </w:rPr>
            </w:pPr>
            <w:r w:rsidRPr="009F1A0F">
              <w:rPr>
                <w:rFonts w:ascii="微软雅黑" w:eastAsia="微软雅黑" w:hAnsi="微软雅黑" w:cs="宋体" w:hint="eastAsia"/>
                <w:b/>
                <w:bCs/>
                <w:color w:val="333333"/>
                <w:kern w:val="0"/>
                <w:sz w:val="18"/>
                <w:szCs w:val="18"/>
              </w:rPr>
              <w:t>适用范围</w:t>
            </w:r>
          </w:p>
        </w:tc>
      </w:tr>
      <w:tr w:rsidR="00291BD8" w:rsidRPr="009F1A0F" w14:paraId="14A1A90A" w14:textId="77777777" w:rsidTr="00BE7EED">
        <w:tc>
          <w:tcPr>
            <w:tcW w:w="2445" w:type="dxa"/>
            <w:tcBorders>
              <w:top w:val="outset" w:sz="6" w:space="0" w:color="000000"/>
              <w:left w:val="outset" w:sz="6" w:space="0" w:color="000000"/>
              <w:bottom w:val="outset" w:sz="6" w:space="0" w:color="000000"/>
              <w:right w:val="outset" w:sz="6" w:space="0" w:color="000000"/>
            </w:tcBorders>
            <w:vAlign w:val="center"/>
            <w:hideMark/>
          </w:tcPr>
          <w:p w14:paraId="25BC5D1E"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企业业务流程设计服务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14:paraId="464D0ABC"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为客户企业提供内部管理、业务运作等流程设计服务。</w:t>
            </w:r>
          </w:p>
        </w:tc>
      </w:tr>
      <w:tr w:rsidR="00291BD8" w:rsidRPr="009F1A0F" w14:paraId="691D9EB7" w14:textId="77777777" w:rsidTr="00BE7EED">
        <w:tc>
          <w:tcPr>
            <w:tcW w:w="2445" w:type="dxa"/>
            <w:tcBorders>
              <w:top w:val="outset" w:sz="6" w:space="0" w:color="000000"/>
              <w:left w:val="outset" w:sz="6" w:space="0" w:color="000000"/>
              <w:bottom w:val="outset" w:sz="6" w:space="0" w:color="000000"/>
              <w:right w:val="outset" w:sz="6" w:space="0" w:color="000000"/>
            </w:tcBorders>
            <w:vAlign w:val="center"/>
            <w:hideMark/>
          </w:tcPr>
          <w:p w14:paraId="18DE96D6"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企业内部管理服务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14:paraId="2E4D5E0B"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291BD8" w:rsidRPr="009F1A0F" w14:paraId="0B60E585" w14:textId="77777777" w:rsidTr="00BE7EED">
        <w:tc>
          <w:tcPr>
            <w:tcW w:w="2445" w:type="dxa"/>
            <w:tcBorders>
              <w:top w:val="outset" w:sz="6" w:space="0" w:color="000000"/>
              <w:left w:val="outset" w:sz="6" w:space="0" w:color="000000"/>
              <w:bottom w:val="outset" w:sz="6" w:space="0" w:color="000000"/>
              <w:right w:val="outset" w:sz="6" w:space="0" w:color="000000"/>
            </w:tcBorders>
            <w:vAlign w:val="center"/>
            <w:hideMark/>
          </w:tcPr>
          <w:p w14:paraId="305EC0B4"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企业运营服务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14:paraId="3E137449"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为客户企业提供技术研发服务、为企业经营、销售、产品售后服务提供的应</w:t>
            </w:r>
            <w:r w:rsidRPr="009F1A0F">
              <w:rPr>
                <w:rFonts w:ascii="微软雅黑" w:eastAsia="微软雅黑" w:hAnsi="微软雅黑" w:cs="宋体" w:hint="eastAsia"/>
                <w:color w:val="333333"/>
                <w:kern w:val="0"/>
                <w:sz w:val="18"/>
                <w:szCs w:val="18"/>
              </w:rPr>
              <w:lastRenderedPageBreak/>
              <w:t>用客户分析、数据库管理等服务。主要包括金融服务业务、政务与教育业务、制造业务和生命科学、零售和批发与运输业务、卫生保健业务、通讯与公共事业业务、呼叫中心、电子商务平台等。</w:t>
            </w:r>
          </w:p>
        </w:tc>
      </w:tr>
      <w:tr w:rsidR="00291BD8" w:rsidRPr="009F1A0F" w14:paraId="09F0CB79" w14:textId="77777777" w:rsidTr="00BE7EED">
        <w:tc>
          <w:tcPr>
            <w:tcW w:w="2445" w:type="dxa"/>
            <w:tcBorders>
              <w:top w:val="outset" w:sz="6" w:space="0" w:color="000000"/>
              <w:left w:val="outset" w:sz="6" w:space="0" w:color="000000"/>
              <w:bottom w:val="outset" w:sz="6" w:space="0" w:color="000000"/>
              <w:right w:val="outset" w:sz="6" w:space="0" w:color="000000"/>
            </w:tcBorders>
            <w:vAlign w:val="center"/>
            <w:hideMark/>
          </w:tcPr>
          <w:p w14:paraId="1F51E05B"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lastRenderedPageBreak/>
              <w:t>企业供应链管理服务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14:paraId="2318D003"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为客户企业提供采购、物流的整体方案设计及数据库服务。</w:t>
            </w:r>
          </w:p>
        </w:tc>
      </w:tr>
    </w:tbl>
    <w:p w14:paraId="75BAA643" w14:textId="77777777" w:rsidR="00291BD8" w:rsidRPr="009F1A0F" w:rsidRDefault="00291BD8" w:rsidP="00291BD8">
      <w:pPr>
        <w:widowControl/>
        <w:shd w:val="clear" w:color="auto" w:fill="FFFFFF"/>
        <w:spacing w:line="540" w:lineRule="atLeast"/>
        <w:jc w:val="left"/>
        <w:rPr>
          <w:rFonts w:ascii="宋体" w:eastAsia="宋体" w:hAnsi="宋体" w:cs="宋体"/>
          <w:color w:val="333333"/>
          <w:kern w:val="0"/>
          <w:sz w:val="24"/>
          <w:szCs w:val="24"/>
        </w:rPr>
      </w:pPr>
      <w:r w:rsidRPr="009F1A0F">
        <w:rPr>
          <w:rFonts w:ascii="宋体" w:eastAsia="宋体" w:hAnsi="宋体" w:cs="宋体" w:hint="eastAsia"/>
          <w:color w:val="333333"/>
          <w:kern w:val="0"/>
          <w:sz w:val="24"/>
          <w:szCs w:val="24"/>
        </w:rPr>
        <w:t xml:space="preserve">　　</w:t>
      </w:r>
      <w:r w:rsidRPr="009F1A0F">
        <w:rPr>
          <w:rFonts w:ascii="宋体" w:eastAsia="宋体" w:hAnsi="宋体" w:cs="宋体" w:hint="eastAsia"/>
          <w:b/>
          <w:bCs/>
          <w:color w:val="333333"/>
          <w:kern w:val="0"/>
          <w:sz w:val="24"/>
          <w:szCs w:val="24"/>
        </w:rPr>
        <w:t>三、技术性知识流程外包服务（KPO）</w:t>
      </w:r>
    </w:p>
    <w:tbl>
      <w:tblPr>
        <w:tblW w:w="0" w:type="auto"/>
        <w:tblCellMar>
          <w:left w:w="0" w:type="dxa"/>
          <w:right w:w="0" w:type="dxa"/>
        </w:tblCellMar>
        <w:tblLook w:val="04A0" w:firstRow="1" w:lastRow="0" w:firstColumn="1" w:lastColumn="0" w:noHBand="0" w:noVBand="1"/>
      </w:tblPr>
      <w:tblGrid>
        <w:gridCol w:w="8322"/>
      </w:tblGrid>
      <w:tr w:rsidR="00291BD8" w:rsidRPr="009F1A0F" w14:paraId="74307D00" w14:textId="77777777" w:rsidTr="00BE7EED">
        <w:tc>
          <w:tcPr>
            <w:tcW w:w="8565" w:type="dxa"/>
            <w:tcBorders>
              <w:top w:val="outset" w:sz="6" w:space="0" w:color="000000"/>
              <w:left w:val="outset" w:sz="6" w:space="0" w:color="000000"/>
              <w:bottom w:val="outset" w:sz="6" w:space="0" w:color="000000"/>
              <w:right w:val="outset" w:sz="6" w:space="0" w:color="000000"/>
            </w:tcBorders>
            <w:vAlign w:val="center"/>
            <w:hideMark/>
          </w:tcPr>
          <w:p w14:paraId="14895938" w14:textId="77777777" w:rsidR="00291BD8" w:rsidRPr="009F1A0F" w:rsidRDefault="00291BD8" w:rsidP="00BE7EED">
            <w:pPr>
              <w:widowControl/>
              <w:spacing w:line="420" w:lineRule="atLeast"/>
              <w:jc w:val="center"/>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 xml:space="preserve">　　</w:t>
            </w:r>
            <w:r w:rsidRPr="009F1A0F">
              <w:rPr>
                <w:rFonts w:ascii="微软雅黑" w:eastAsia="微软雅黑" w:hAnsi="微软雅黑" w:cs="宋体" w:hint="eastAsia"/>
                <w:b/>
                <w:bCs/>
                <w:color w:val="333333"/>
                <w:kern w:val="0"/>
                <w:sz w:val="18"/>
                <w:szCs w:val="18"/>
              </w:rPr>
              <w:t>适用范围</w:t>
            </w:r>
          </w:p>
        </w:tc>
      </w:tr>
      <w:tr w:rsidR="00291BD8" w:rsidRPr="009F1A0F" w14:paraId="2648604B" w14:textId="77777777" w:rsidTr="00BE7EED">
        <w:tc>
          <w:tcPr>
            <w:tcW w:w="8565" w:type="dxa"/>
            <w:tcBorders>
              <w:top w:val="outset" w:sz="6" w:space="0" w:color="000000"/>
              <w:left w:val="outset" w:sz="6" w:space="0" w:color="000000"/>
              <w:bottom w:val="outset" w:sz="6" w:space="0" w:color="000000"/>
              <w:right w:val="outset" w:sz="6" w:space="0" w:color="000000"/>
            </w:tcBorders>
            <w:vAlign w:val="center"/>
            <w:hideMark/>
          </w:tcPr>
          <w:p w14:paraId="03386A08" w14:textId="77777777" w:rsidR="00291BD8" w:rsidRPr="009F1A0F" w:rsidRDefault="00291BD8" w:rsidP="00BE7EED">
            <w:pPr>
              <w:widowControl/>
              <w:spacing w:line="420" w:lineRule="atLeast"/>
              <w:jc w:val="left"/>
              <w:rPr>
                <w:rFonts w:ascii="微软雅黑" w:eastAsia="微软雅黑" w:hAnsi="微软雅黑" w:cs="宋体"/>
                <w:color w:val="333333"/>
                <w:kern w:val="0"/>
                <w:sz w:val="18"/>
                <w:szCs w:val="18"/>
              </w:rPr>
            </w:pPr>
            <w:r w:rsidRPr="009F1A0F">
              <w:rPr>
                <w:rFonts w:ascii="微软雅黑" w:eastAsia="微软雅黑" w:hAnsi="微软雅黑" w:cs="宋体" w:hint="eastAsia"/>
                <w:color w:val="333333"/>
                <w:kern w:val="0"/>
                <w:sz w:val="18"/>
                <w:szCs w:val="18"/>
              </w:rPr>
              <w:t xml:space="preserve">　　知识产权研究、医药和生物技术研发和测试、产品技术研发、工业设计、分析学和数据挖掘、动漫及网游设计研发、教育课件研发、工程设计等领域。</w:t>
            </w:r>
          </w:p>
        </w:tc>
      </w:tr>
    </w:tbl>
    <w:p w14:paraId="1A6029BD" w14:textId="762DEB35" w:rsidR="00B82AA1" w:rsidRPr="00291BD8" w:rsidRDefault="00B82AA1" w:rsidP="00AE0E17">
      <w:pPr>
        <w:spacing w:beforeLines="50" w:before="156" w:line="480" w:lineRule="atLeast"/>
        <w:jc w:val="left"/>
        <w:rPr>
          <w:rFonts w:asciiTheme="minorEastAsia" w:hAnsiTheme="minorEastAsia"/>
          <w:color w:val="000000" w:themeColor="text1"/>
          <w:sz w:val="24"/>
          <w:szCs w:val="24"/>
        </w:rPr>
      </w:pPr>
    </w:p>
    <w:p w14:paraId="738E3D07" w14:textId="77777777" w:rsidR="0061500B" w:rsidRPr="0061500B" w:rsidRDefault="0061500B" w:rsidP="0061500B">
      <w:pPr>
        <w:widowControl/>
        <w:shd w:val="clear" w:color="auto" w:fill="FFFFFF"/>
        <w:spacing w:line="540" w:lineRule="atLeast"/>
        <w:rPr>
          <w:rFonts w:ascii="宋体" w:eastAsia="宋体" w:hAnsi="宋体" w:cs="宋体"/>
          <w:color w:val="333333"/>
          <w:kern w:val="0"/>
          <w:sz w:val="27"/>
          <w:szCs w:val="27"/>
        </w:rPr>
      </w:pPr>
      <w:r w:rsidRPr="0061500B">
        <w:rPr>
          <w:rFonts w:ascii="宋体" w:eastAsia="宋体" w:hAnsi="宋体" w:cs="宋体" w:hint="eastAsia"/>
          <w:color w:val="333333"/>
          <w:kern w:val="0"/>
          <w:sz w:val="24"/>
          <w:szCs w:val="24"/>
        </w:rPr>
        <w:t>附件：</w:t>
      </w:r>
    </w:p>
    <w:p w14:paraId="32C82869" w14:textId="77777777" w:rsidR="0061500B" w:rsidRPr="0061500B" w:rsidRDefault="0061500B" w:rsidP="0061500B">
      <w:pPr>
        <w:widowControl/>
        <w:shd w:val="clear" w:color="auto" w:fill="FFFFFF"/>
        <w:spacing w:line="540" w:lineRule="atLeast"/>
        <w:jc w:val="center"/>
        <w:rPr>
          <w:rFonts w:ascii="宋体" w:eastAsia="宋体" w:hAnsi="宋体" w:cs="宋体" w:hint="eastAsia"/>
          <w:color w:val="333333"/>
          <w:kern w:val="0"/>
          <w:sz w:val="27"/>
          <w:szCs w:val="27"/>
        </w:rPr>
      </w:pPr>
      <w:r w:rsidRPr="0061500B">
        <w:rPr>
          <w:rFonts w:ascii="宋体" w:eastAsia="宋体" w:hAnsi="宋体" w:cs="宋体" w:hint="eastAsia"/>
          <w:b/>
          <w:bCs/>
          <w:color w:val="333333"/>
          <w:kern w:val="0"/>
          <w:sz w:val="24"/>
          <w:szCs w:val="24"/>
        </w:rPr>
        <w:t>技术先进型服务业务领域范围（服务贸易类）</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193"/>
        <w:gridCol w:w="5129"/>
      </w:tblGrid>
      <w:tr w:rsidR="0061500B" w:rsidRPr="0061500B" w14:paraId="21B72622" w14:textId="77777777" w:rsidTr="0061500B">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C30927"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类　别</w:t>
            </w:r>
          </w:p>
        </w:tc>
        <w:tc>
          <w:tcPr>
            <w:tcW w:w="6120" w:type="dxa"/>
            <w:tcBorders>
              <w:top w:val="outset" w:sz="6" w:space="0" w:color="000000"/>
              <w:left w:val="nil"/>
              <w:bottom w:val="outset" w:sz="6" w:space="0" w:color="000000"/>
              <w:right w:val="outset" w:sz="6" w:space="0" w:color="000000"/>
            </w:tcBorders>
            <w:shd w:val="clear" w:color="auto" w:fill="FFFFFF"/>
            <w:vAlign w:val="center"/>
            <w:hideMark/>
          </w:tcPr>
          <w:p w14:paraId="2C43022C"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适用范围</w:t>
            </w:r>
          </w:p>
        </w:tc>
      </w:tr>
      <w:tr w:rsidR="0061500B" w:rsidRPr="0061500B" w14:paraId="213F1F50"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0A3E9928"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一、计算机和信息服务</w:t>
            </w:r>
          </w:p>
        </w:tc>
        <w:tc>
          <w:tcPr>
            <w:tcW w:w="6120" w:type="dxa"/>
            <w:tcBorders>
              <w:top w:val="nil"/>
              <w:left w:val="nil"/>
              <w:bottom w:val="outset" w:sz="6" w:space="0" w:color="000000"/>
              <w:right w:val="outset" w:sz="6" w:space="0" w:color="000000"/>
            </w:tcBorders>
            <w:shd w:val="clear" w:color="auto" w:fill="FFFFFF"/>
            <w:vAlign w:val="center"/>
            <w:hideMark/>
          </w:tcPr>
          <w:p w14:paraId="1E864CDB" w14:textId="77777777" w:rsidR="0061500B" w:rsidRPr="0061500B" w:rsidRDefault="0061500B" w:rsidP="0061500B">
            <w:pPr>
              <w:widowControl/>
              <w:spacing w:line="360" w:lineRule="atLeast"/>
              <w:rPr>
                <w:rFonts w:ascii="Arial" w:eastAsia="宋体" w:hAnsi="Arial" w:cs="Arial"/>
                <w:color w:val="2E2E2E"/>
                <w:kern w:val="0"/>
                <w:sz w:val="18"/>
                <w:szCs w:val="18"/>
              </w:rPr>
            </w:pPr>
          </w:p>
        </w:tc>
      </w:tr>
      <w:tr w:rsidR="0061500B" w:rsidRPr="0061500B" w14:paraId="28C7B41D"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0DA10AEB"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1.信息系统集成服务</w:t>
            </w:r>
          </w:p>
        </w:tc>
        <w:tc>
          <w:tcPr>
            <w:tcW w:w="6120" w:type="dxa"/>
            <w:tcBorders>
              <w:top w:val="nil"/>
              <w:left w:val="nil"/>
              <w:bottom w:val="outset" w:sz="6" w:space="0" w:color="000000"/>
              <w:right w:val="outset" w:sz="6" w:space="0" w:color="000000"/>
            </w:tcBorders>
            <w:shd w:val="clear" w:color="auto" w:fill="FFFFFF"/>
            <w:vAlign w:val="center"/>
            <w:hideMark/>
          </w:tcPr>
          <w:p w14:paraId="762C9E74"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系统集成咨询服务；系统集成工程服务；提供硬件设备现场组装、软件安装与调试及相关运营维护支撑服务；系统运营维护服务，包括系统运行检测监控、故障定位与排除、性能管理、优化升级等。</w:t>
            </w:r>
          </w:p>
        </w:tc>
      </w:tr>
      <w:tr w:rsidR="0061500B" w:rsidRPr="0061500B" w14:paraId="6AEAB876"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10558CA3"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2.数据服务</w:t>
            </w:r>
          </w:p>
        </w:tc>
        <w:tc>
          <w:tcPr>
            <w:tcW w:w="6120" w:type="dxa"/>
            <w:tcBorders>
              <w:top w:val="nil"/>
              <w:left w:val="nil"/>
              <w:bottom w:val="outset" w:sz="6" w:space="0" w:color="000000"/>
              <w:right w:val="outset" w:sz="6" w:space="0" w:color="000000"/>
            </w:tcBorders>
            <w:shd w:val="clear" w:color="auto" w:fill="FFFFFF"/>
            <w:vAlign w:val="center"/>
            <w:hideMark/>
          </w:tcPr>
          <w:p w14:paraId="3D01035C"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数据存储管理服务，提供数据规划、评估、审计、咨询、清洗、整理、应用服务，数据增值服务，提供其他未分类数据处理服务。</w:t>
            </w:r>
          </w:p>
        </w:tc>
      </w:tr>
      <w:tr w:rsidR="0061500B" w:rsidRPr="0061500B" w14:paraId="2858B20B"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49B3711E"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二、研究开发和技术服务</w:t>
            </w:r>
          </w:p>
        </w:tc>
        <w:tc>
          <w:tcPr>
            <w:tcW w:w="6120" w:type="dxa"/>
            <w:tcBorders>
              <w:top w:val="nil"/>
              <w:left w:val="nil"/>
              <w:bottom w:val="outset" w:sz="6" w:space="0" w:color="000000"/>
              <w:right w:val="outset" w:sz="6" w:space="0" w:color="000000"/>
            </w:tcBorders>
            <w:shd w:val="clear" w:color="auto" w:fill="FFFFFF"/>
            <w:vAlign w:val="center"/>
            <w:hideMark/>
          </w:tcPr>
          <w:p w14:paraId="0407551B" w14:textId="77777777" w:rsidR="0061500B" w:rsidRPr="0061500B" w:rsidRDefault="0061500B" w:rsidP="0061500B">
            <w:pPr>
              <w:widowControl/>
              <w:spacing w:line="360" w:lineRule="atLeast"/>
              <w:rPr>
                <w:rFonts w:ascii="Arial" w:eastAsia="宋体" w:hAnsi="Arial" w:cs="Arial"/>
                <w:color w:val="2E2E2E"/>
                <w:kern w:val="0"/>
                <w:sz w:val="18"/>
                <w:szCs w:val="18"/>
              </w:rPr>
            </w:pPr>
          </w:p>
        </w:tc>
      </w:tr>
      <w:tr w:rsidR="0061500B" w:rsidRPr="0061500B" w14:paraId="72F2A514"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6DB3238A"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3.研究和实验开发服务</w:t>
            </w:r>
          </w:p>
        </w:tc>
        <w:tc>
          <w:tcPr>
            <w:tcW w:w="6120" w:type="dxa"/>
            <w:tcBorders>
              <w:top w:val="nil"/>
              <w:left w:val="nil"/>
              <w:bottom w:val="outset" w:sz="6" w:space="0" w:color="000000"/>
              <w:right w:val="outset" w:sz="6" w:space="0" w:color="000000"/>
            </w:tcBorders>
            <w:shd w:val="clear" w:color="auto" w:fill="FFFFFF"/>
            <w:vAlign w:val="center"/>
            <w:hideMark/>
          </w:tcPr>
          <w:p w14:paraId="0C675348"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物理学、化学、生物学、基因学、工程学、医学、农业科学、环境科学、人类地理科学、经济学和人文科学等领域的研究和实验开发服务。</w:t>
            </w:r>
          </w:p>
        </w:tc>
      </w:tr>
      <w:tr w:rsidR="0061500B" w:rsidRPr="0061500B" w14:paraId="02D8E3FC"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61B3EBBF"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4.工业设计服务</w:t>
            </w:r>
          </w:p>
        </w:tc>
        <w:tc>
          <w:tcPr>
            <w:tcW w:w="6120" w:type="dxa"/>
            <w:tcBorders>
              <w:top w:val="nil"/>
              <w:left w:val="nil"/>
              <w:bottom w:val="outset" w:sz="6" w:space="0" w:color="000000"/>
              <w:right w:val="outset" w:sz="6" w:space="0" w:color="000000"/>
            </w:tcBorders>
            <w:shd w:val="clear" w:color="auto" w:fill="FFFFFF"/>
            <w:vAlign w:val="center"/>
            <w:hideMark/>
          </w:tcPr>
          <w:p w14:paraId="4E67E56A"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对产品的材料、结构、机理、形状、颜色和表面处理的设计与选择；对产品进行的综合设计服务，即产品外观的设计、机械结构和电路设计等服务。</w:t>
            </w:r>
          </w:p>
        </w:tc>
      </w:tr>
      <w:tr w:rsidR="0061500B" w:rsidRPr="0061500B" w14:paraId="0DEF5400"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55AEF12B"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5.知识产权跨境许可与转让</w:t>
            </w:r>
          </w:p>
        </w:tc>
        <w:tc>
          <w:tcPr>
            <w:tcW w:w="6120" w:type="dxa"/>
            <w:tcBorders>
              <w:top w:val="nil"/>
              <w:left w:val="nil"/>
              <w:bottom w:val="outset" w:sz="6" w:space="0" w:color="000000"/>
              <w:right w:val="outset" w:sz="6" w:space="0" w:color="000000"/>
            </w:tcBorders>
            <w:shd w:val="clear" w:color="auto" w:fill="FFFFFF"/>
            <w:vAlign w:val="center"/>
            <w:hideMark/>
          </w:tcPr>
          <w:p w14:paraId="3366E86C"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以专利、版权、商标等为载体的技术贸易。知识产权跨境许可是指授权境外机构有偿使用专利、版权和商标等；知识产权跨境转让是指将专利、版权和商标等知识产权售卖给境外机构。</w:t>
            </w:r>
          </w:p>
        </w:tc>
      </w:tr>
      <w:tr w:rsidR="0061500B" w:rsidRPr="0061500B" w14:paraId="4A79E0E1"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31763288"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三、文化技术服务</w:t>
            </w:r>
          </w:p>
        </w:tc>
        <w:tc>
          <w:tcPr>
            <w:tcW w:w="6120" w:type="dxa"/>
            <w:tcBorders>
              <w:top w:val="nil"/>
              <w:left w:val="nil"/>
              <w:bottom w:val="outset" w:sz="6" w:space="0" w:color="000000"/>
              <w:right w:val="outset" w:sz="6" w:space="0" w:color="000000"/>
            </w:tcBorders>
            <w:shd w:val="clear" w:color="auto" w:fill="FFFFFF"/>
            <w:vAlign w:val="center"/>
            <w:hideMark/>
          </w:tcPr>
          <w:p w14:paraId="1E7D5D88" w14:textId="77777777" w:rsidR="0061500B" w:rsidRPr="0061500B" w:rsidRDefault="0061500B" w:rsidP="0061500B">
            <w:pPr>
              <w:widowControl/>
              <w:spacing w:line="360" w:lineRule="atLeast"/>
              <w:rPr>
                <w:rFonts w:ascii="Arial" w:eastAsia="宋体" w:hAnsi="Arial" w:cs="Arial"/>
                <w:color w:val="2E2E2E"/>
                <w:kern w:val="0"/>
                <w:sz w:val="18"/>
                <w:szCs w:val="18"/>
              </w:rPr>
            </w:pPr>
          </w:p>
        </w:tc>
      </w:tr>
      <w:tr w:rsidR="0061500B" w:rsidRPr="0061500B" w14:paraId="7D19A91F"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40B4F39A"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lastRenderedPageBreak/>
              <w:t xml:space="preserve">　　6.文化产品数字制作及相关服务</w:t>
            </w:r>
          </w:p>
        </w:tc>
        <w:tc>
          <w:tcPr>
            <w:tcW w:w="6120" w:type="dxa"/>
            <w:tcBorders>
              <w:top w:val="nil"/>
              <w:left w:val="nil"/>
              <w:bottom w:val="outset" w:sz="6" w:space="0" w:color="000000"/>
              <w:right w:val="outset" w:sz="6" w:space="0" w:color="000000"/>
            </w:tcBorders>
            <w:shd w:val="clear" w:color="auto" w:fill="FFFFFF"/>
            <w:vAlign w:val="center"/>
            <w:hideMark/>
          </w:tcPr>
          <w:p w14:paraId="78F228F1"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采用数字技术对舞台剧目、音乐、美术、文物、非物质文化遗产、文献资源等文化内容以及各种出版物进行数字化转化和开发，为各种显示终端提供内容，以及采用数字技术传播、经营文化产品等相关服务。</w:t>
            </w:r>
          </w:p>
        </w:tc>
      </w:tr>
      <w:tr w:rsidR="0061500B" w:rsidRPr="0061500B" w14:paraId="0FAC395E"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5C7A08F7"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7.文化产品的对外翻译、配音及制作服务</w:t>
            </w:r>
          </w:p>
        </w:tc>
        <w:tc>
          <w:tcPr>
            <w:tcW w:w="6120" w:type="dxa"/>
            <w:tcBorders>
              <w:top w:val="nil"/>
              <w:left w:val="nil"/>
              <w:bottom w:val="outset" w:sz="6" w:space="0" w:color="000000"/>
              <w:right w:val="outset" w:sz="6" w:space="0" w:color="000000"/>
            </w:tcBorders>
            <w:shd w:val="clear" w:color="auto" w:fill="FFFFFF"/>
            <w:vAlign w:val="center"/>
            <w:hideMark/>
          </w:tcPr>
          <w:p w14:paraId="50B6CB90" w14:textId="77777777" w:rsidR="0061500B" w:rsidRPr="0061500B" w:rsidRDefault="0061500B" w:rsidP="0061500B">
            <w:pPr>
              <w:widowControl/>
              <w:wordWrap w:val="0"/>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将本国文化产品翻译或配音成其他国家语言，将其他国家文化产品翻译或配音成本国语言以及与其相关的制作服务。</w:t>
            </w:r>
          </w:p>
        </w:tc>
      </w:tr>
      <w:tr w:rsidR="0061500B" w:rsidRPr="0061500B" w14:paraId="4C8CA66A"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5D218DC2"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四、中医药医疗服务</w:t>
            </w:r>
          </w:p>
        </w:tc>
        <w:tc>
          <w:tcPr>
            <w:tcW w:w="6120" w:type="dxa"/>
            <w:tcBorders>
              <w:top w:val="nil"/>
              <w:left w:val="nil"/>
              <w:bottom w:val="outset" w:sz="6" w:space="0" w:color="000000"/>
              <w:right w:val="outset" w:sz="6" w:space="0" w:color="000000"/>
            </w:tcBorders>
            <w:shd w:val="clear" w:color="auto" w:fill="FFFFFF"/>
            <w:vAlign w:val="center"/>
            <w:hideMark/>
          </w:tcPr>
          <w:p w14:paraId="6B4837AC" w14:textId="77777777" w:rsidR="0061500B" w:rsidRPr="0061500B" w:rsidRDefault="0061500B" w:rsidP="0061500B">
            <w:pPr>
              <w:widowControl/>
              <w:spacing w:line="360" w:lineRule="atLeast"/>
              <w:rPr>
                <w:rFonts w:ascii="Arial" w:eastAsia="宋体" w:hAnsi="Arial" w:cs="Arial"/>
                <w:color w:val="2E2E2E"/>
                <w:kern w:val="0"/>
                <w:sz w:val="18"/>
                <w:szCs w:val="18"/>
              </w:rPr>
            </w:pPr>
          </w:p>
        </w:tc>
      </w:tr>
      <w:tr w:rsidR="0061500B" w:rsidRPr="0061500B" w14:paraId="6E12E41E" w14:textId="77777777" w:rsidTr="0061500B">
        <w:tc>
          <w:tcPr>
            <w:tcW w:w="3780" w:type="dxa"/>
            <w:tcBorders>
              <w:top w:val="nil"/>
              <w:left w:val="outset" w:sz="6" w:space="0" w:color="000000"/>
              <w:bottom w:val="outset" w:sz="6" w:space="0" w:color="000000"/>
              <w:right w:val="outset" w:sz="6" w:space="0" w:color="000000"/>
            </w:tcBorders>
            <w:shd w:val="clear" w:color="auto" w:fill="FFFFFF"/>
            <w:vAlign w:val="center"/>
            <w:hideMark/>
          </w:tcPr>
          <w:p w14:paraId="4AD8FDC2"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8.中医药医疗保健及相关服务</w:t>
            </w:r>
          </w:p>
        </w:tc>
        <w:tc>
          <w:tcPr>
            <w:tcW w:w="6120" w:type="dxa"/>
            <w:tcBorders>
              <w:top w:val="nil"/>
              <w:left w:val="nil"/>
              <w:bottom w:val="outset" w:sz="6" w:space="0" w:color="000000"/>
              <w:right w:val="outset" w:sz="6" w:space="0" w:color="000000"/>
            </w:tcBorders>
            <w:shd w:val="clear" w:color="auto" w:fill="FFFFFF"/>
            <w:vAlign w:val="center"/>
            <w:hideMark/>
          </w:tcPr>
          <w:p w14:paraId="018BDFBC" w14:textId="77777777" w:rsidR="0061500B" w:rsidRPr="0061500B" w:rsidRDefault="0061500B" w:rsidP="0061500B">
            <w:pPr>
              <w:widowControl/>
              <w:spacing w:line="420" w:lineRule="atLeast"/>
              <w:rPr>
                <w:rFonts w:ascii="Arial" w:eastAsia="宋体" w:hAnsi="Arial" w:cs="Arial"/>
                <w:color w:val="2E2E2E"/>
                <w:kern w:val="0"/>
                <w:sz w:val="18"/>
                <w:szCs w:val="18"/>
              </w:rPr>
            </w:pPr>
            <w:r w:rsidRPr="0061500B">
              <w:rPr>
                <w:rFonts w:ascii="微软雅黑" w:eastAsia="微软雅黑" w:hAnsi="微软雅黑" w:cs="Arial" w:hint="eastAsia"/>
                <w:color w:val="333333"/>
                <w:kern w:val="0"/>
                <w:sz w:val="18"/>
                <w:szCs w:val="18"/>
              </w:rPr>
              <w:t xml:space="preserve">　　与中医药相关的远程医疗保健、教育培训、文化交流等服务。</w:t>
            </w:r>
          </w:p>
        </w:tc>
      </w:tr>
    </w:tbl>
    <w:p w14:paraId="65C65546" w14:textId="77777777" w:rsidR="0061500B" w:rsidRPr="0061500B" w:rsidRDefault="0061500B" w:rsidP="0061500B">
      <w:pPr>
        <w:widowControl/>
        <w:shd w:val="clear" w:color="auto" w:fill="FFFFFF"/>
        <w:rPr>
          <w:rFonts w:ascii="宋体" w:eastAsia="宋体" w:hAnsi="宋体" w:cs="宋体" w:hint="eastAsia"/>
          <w:color w:val="333333"/>
          <w:kern w:val="0"/>
          <w:sz w:val="24"/>
          <w:szCs w:val="24"/>
        </w:rPr>
      </w:pPr>
      <w:r w:rsidRPr="0061500B">
        <w:rPr>
          <w:rFonts w:ascii="宋体" w:eastAsia="宋体" w:hAnsi="宋体" w:cs="宋体" w:hint="eastAsia"/>
          <w:color w:val="333333"/>
          <w:kern w:val="0"/>
          <w:sz w:val="24"/>
          <w:szCs w:val="24"/>
        </w:rPr>
        <w:t> </w:t>
      </w:r>
    </w:p>
    <w:p w14:paraId="2F2A2D6D" w14:textId="79EE5B5B" w:rsidR="00D93BA4" w:rsidRDefault="00D93BA4" w:rsidP="00B82AA1">
      <w:pPr>
        <w:spacing w:beforeLines="50" w:before="156" w:line="480" w:lineRule="atLeast"/>
        <w:jc w:val="left"/>
        <w:rPr>
          <w:rFonts w:asciiTheme="minorEastAsia" w:hAnsiTheme="minorEastAsia"/>
          <w:b/>
          <w:bCs/>
          <w:color w:val="000000" w:themeColor="text1"/>
          <w:kern w:val="44"/>
          <w:sz w:val="24"/>
          <w:szCs w:val="24"/>
        </w:rPr>
      </w:pPr>
      <w:bookmarkStart w:id="6" w:name="_GoBack"/>
      <w:bookmarkEnd w:id="6"/>
    </w:p>
    <w:p w14:paraId="48339C88" w14:textId="77777777" w:rsidR="00B82AA1" w:rsidRPr="00FF4A51" w:rsidRDefault="00B82AA1" w:rsidP="00B82AA1">
      <w:pPr>
        <w:spacing w:beforeLines="50" w:before="156" w:line="480" w:lineRule="atLeast"/>
        <w:jc w:val="left"/>
        <w:rPr>
          <w:rFonts w:asciiTheme="minorEastAsia" w:hAnsiTheme="minorEastAsia"/>
          <w:color w:val="000000" w:themeColor="text1"/>
          <w:sz w:val="24"/>
          <w:szCs w:val="24"/>
        </w:rPr>
      </w:pPr>
    </w:p>
    <w:sectPr w:rsidR="00B82AA1" w:rsidRPr="00FF4A51">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2AC52" w14:textId="77777777" w:rsidR="00012316" w:rsidRDefault="00012316" w:rsidP="008D63C6">
      <w:r>
        <w:separator/>
      </w:r>
    </w:p>
  </w:endnote>
  <w:endnote w:type="continuationSeparator" w:id="0">
    <w:p w14:paraId="7DC9CDE0" w14:textId="77777777" w:rsidR="00012316" w:rsidRDefault="00012316"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7419BB" w:rsidRDefault="007419B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500B">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500B">
              <w:rPr>
                <w:b/>
                <w:bCs/>
                <w:noProof/>
              </w:rPr>
              <w:t>6</w:t>
            </w:r>
            <w:r>
              <w:rPr>
                <w:b/>
                <w:bCs/>
                <w:sz w:val="24"/>
                <w:szCs w:val="24"/>
              </w:rPr>
              <w:fldChar w:fldCharType="end"/>
            </w:r>
          </w:p>
        </w:sdtContent>
      </w:sdt>
    </w:sdtContent>
  </w:sdt>
  <w:p w14:paraId="27157256" w14:textId="77777777" w:rsidR="007419BB" w:rsidRDefault="007419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C3319" w14:textId="77777777" w:rsidR="00012316" w:rsidRDefault="00012316" w:rsidP="008D63C6">
      <w:r>
        <w:separator/>
      </w:r>
    </w:p>
  </w:footnote>
  <w:footnote w:type="continuationSeparator" w:id="0">
    <w:p w14:paraId="0A6BFB2D" w14:textId="77777777" w:rsidR="00012316" w:rsidRDefault="00012316"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2316"/>
    <w:rsid w:val="000144A1"/>
    <w:rsid w:val="00047B96"/>
    <w:rsid w:val="00057177"/>
    <w:rsid w:val="000665B5"/>
    <w:rsid w:val="00067B3F"/>
    <w:rsid w:val="00076DF4"/>
    <w:rsid w:val="000770E1"/>
    <w:rsid w:val="00093648"/>
    <w:rsid w:val="000A1580"/>
    <w:rsid w:val="000A2526"/>
    <w:rsid w:val="000A7A38"/>
    <w:rsid w:val="000B6349"/>
    <w:rsid w:val="000C328F"/>
    <w:rsid w:val="000E06BC"/>
    <w:rsid w:val="000E09D4"/>
    <w:rsid w:val="000E1550"/>
    <w:rsid w:val="000F38B4"/>
    <w:rsid w:val="000F6FDA"/>
    <w:rsid w:val="0010501A"/>
    <w:rsid w:val="00106154"/>
    <w:rsid w:val="001147BF"/>
    <w:rsid w:val="0012077A"/>
    <w:rsid w:val="0012208F"/>
    <w:rsid w:val="00124CCD"/>
    <w:rsid w:val="00133462"/>
    <w:rsid w:val="0013371B"/>
    <w:rsid w:val="00140B0D"/>
    <w:rsid w:val="00143735"/>
    <w:rsid w:val="00153E93"/>
    <w:rsid w:val="00166F85"/>
    <w:rsid w:val="001773B2"/>
    <w:rsid w:val="001825B2"/>
    <w:rsid w:val="00186F69"/>
    <w:rsid w:val="001879D1"/>
    <w:rsid w:val="00191250"/>
    <w:rsid w:val="001A16A2"/>
    <w:rsid w:val="001D0FB8"/>
    <w:rsid w:val="001F3F0A"/>
    <w:rsid w:val="00204AE5"/>
    <w:rsid w:val="00204EA7"/>
    <w:rsid w:val="0023101A"/>
    <w:rsid w:val="00236C8E"/>
    <w:rsid w:val="00264D0E"/>
    <w:rsid w:val="00265081"/>
    <w:rsid w:val="002822B7"/>
    <w:rsid w:val="0028652D"/>
    <w:rsid w:val="00291BD8"/>
    <w:rsid w:val="002B633B"/>
    <w:rsid w:val="002C2AD2"/>
    <w:rsid w:val="002D4CDD"/>
    <w:rsid w:val="002D6D73"/>
    <w:rsid w:val="002E1AF6"/>
    <w:rsid w:val="002F50D4"/>
    <w:rsid w:val="003006A6"/>
    <w:rsid w:val="00315E01"/>
    <w:rsid w:val="003163EC"/>
    <w:rsid w:val="00322E87"/>
    <w:rsid w:val="003409FD"/>
    <w:rsid w:val="003420C2"/>
    <w:rsid w:val="0034249D"/>
    <w:rsid w:val="003749DF"/>
    <w:rsid w:val="003773C5"/>
    <w:rsid w:val="00390245"/>
    <w:rsid w:val="00394538"/>
    <w:rsid w:val="0039593D"/>
    <w:rsid w:val="003A3829"/>
    <w:rsid w:val="003A3D20"/>
    <w:rsid w:val="003C3CD3"/>
    <w:rsid w:val="003C696E"/>
    <w:rsid w:val="003D4A0F"/>
    <w:rsid w:val="003E344A"/>
    <w:rsid w:val="003E7611"/>
    <w:rsid w:val="0040440C"/>
    <w:rsid w:val="00416ED8"/>
    <w:rsid w:val="00421607"/>
    <w:rsid w:val="004271D7"/>
    <w:rsid w:val="00430AEE"/>
    <w:rsid w:val="00436332"/>
    <w:rsid w:val="00462FF2"/>
    <w:rsid w:val="004664FD"/>
    <w:rsid w:val="0047122A"/>
    <w:rsid w:val="004B6E8F"/>
    <w:rsid w:val="004C5779"/>
    <w:rsid w:val="004E128D"/>
    <w:rsid w:val="004E49D2"/>
    <w:rsid w:val="005111C0"/>
    <w:rsid w:val="00523E2F"/>
    <w:rsid w:val="00526DD6"/>
    <w:rsid w:val="005304E2"/>
    <w:rsid w:val="00537AEA"/>
    <w:rsid w:val="005479FB"/>
    <w:rsid w:val="00552C76"/>
    <w:rsid w:val="005536F0"/>
    <w:rsid w:val="00555221"/>
    <w:rsid w:val="005605C7"/>
    <w:rsid w:val="00577B68"/>
    <w:rsid w:val="00586093"/>
    <w:rsid w:val="005A0073"/>
    <w:rsid w:val="005B13D2"/>
    <w:rsid w:val="005D00CA"/>
    <w:rsid w:val="005E47E7"/>
    <w:rsid w:val="00600CCA"/>
    <w:rsid w:val="00603F42"/>
    <w:rsid w:val="00604838"/>
    <w:rsid w:val="00610B28"/>
    <w:rsid w:val="0061500B"/>
    <w:rsid w:val="006233CD"/>
    <w:rsid w:val="00626FAD"/>
    <w:rsid w:val="006309F4"/>
    <w:rsid w:val="0063146C"/>
    <w:rsid w:val="00635C4D"/>
    <w:rsid w:val="00647FAE"/>
    <w:rsid w:val="0066072D"/>
    <w:rsid w:val="0066231C"/>
    <w:rsid w:val="006634AA"/>
    <w:rsid w:val="006640D0"/>
    <w:rsid w:val="00670E0F"/>
    <w:rsid w:val="00672948"/>
    <w:rsid w:val="00677107"/>
    <w:rsid w:val="006775EF"/>
    <w:rsid w:val="006979BE"/>
    <w:rsid w:val="006A20C9"/>
    <w:rsid w:val="006A6936"/>
    <w:rsid w:val="006A75F0"/>
    <w:rsid w:val="006E3156"/>
    <w:rsid w:val="00702666"/>
    <w:rsid w:val="00717051"/>
    <w:rsid w:val="00726CEF"/>
    <w:rsid w:val="007273FC"/>
    <w:rsid w:val="0073415B"/>
    <w:rsid w:val="00740A21"/>
    <w:rsid w:val="007419BB"/>
    <w:rsid w:val="00751B4A"/>
    <w:rsid w:val="007713A7"/>
    <w:rsid w:val="00782523"/>
    <w:rsid w:val="007B52AF"/>
    <w:rsid w:val="007B668E"/>
    <w:rsid w:val="007B6D37"/>
    <w:rsid w:val="007D5FDE"/>
    <w:rsid w:val="007E236E"/>
    <w:rsid w:val="007E52D4"/>
    <w:rsid w:val="00811AD7"/>
    <w:rsid w:val="00821BDC"/>
    <w:rsid w:val="00835123"/>
    <w:rsid w:val="00836465"/>
    <w:rsid w:val="008458CF"/>
    <w:rsid w:val="00846BFB"/>
    <w:rsid w:val="00856019"/>
    <w:rsid w:val="00866D82"/>
    <w:rsid w:val="00867863"/>
    <w:rsid w:val="00890BDB"/>
    <w:rsid w:val="0089595C"/>
    <w:rsid w:val="008A13A6"/>
    <w:rsid w:val="008A6E0E"/>
    <w:rsid w:val="008C4CAF"/>
    <w:rsid w:val="008D63C6"/>
    <w:rsid w:val="008E6AE2"/>
    <w:rsid w:val="008F4E32"/>
    <w:rsid w:val="008F50DF"/>
    <w:rsid w:val="008F5C3A"/>
    <w:rsid w:val="00923712"/>
    <w:rsid w:val="009249DE"/>
    <w:rsid w:val="00927F77"/>
    <w:rsid w:val="009524C2"/>
    <w:rsid w:val="00960390"/>
    <w:rsid w:val="00976904"/>
    <w:rsid w:val="00986C5A"/>
    <w:rsid w:val="00990092"/>
    <w:rsid w:val="009A1F5F"/>
    <w:rsid w:val="009A268C"/>
    <w:rsid w:val="009B437D"/>
    <w:rsid w:val="009C5CF4"/>
    <w:rsid w:val="009D5B3A"/>
    <w:rsid w:val="009E18C9"/>
    <w:rsid w:val="00A06195"/>
    <w:rsid w:val="00A1440A"/>
    <w:rsid w:val="00A27AE2"/>
    <w:rsid w:val="00A42333"/>
    <w:rsid w:val="00A73CD1"/>
    <w:rsid w:val="00A91435"/>
    <w:rsid w:val="00A96738"/>
    <w:rsid w:val="00AA3D33"/>
    <w:rsid w:val="00AA70A7"/>
    <w:rsid w:val="00AC3F64"/>
    <w:rsid w:val="00AC536B"/>
    <w:rsid w:val="00AD0622"/>
    <w:rsid w:val="00AD43E5"/>
    <w:rsid w:val="00AE0E17"/>
    <w:rsid w:val="00AF5778"/>
    <w:rsid w:val="00AF798D"/>
    <w:rsid w:val="00B066DC"/>
    <w:rsid w:val="00B16CF6"/>
    <w:rsid w:val="00B23E50"/>
    <w:rsid w:val="00B33E8A"/>
    <w:rsid w:val="00B82AA1"/>
    <w:rsid w:val="00B86D1F"/>
    <w:rsid w:val="00B93445"/>
    <w:rsid w:val="00BA2DBA"/>
    <w:rsid w:val="00BA4508"/>
    <w:rsid w:val="00BB2667"/>
    <w:rsid w:val="00BC45DB"/>
    <w:rsid w:val="00BC5EB2"/>
    <w:rsid w:val="00BD0510"/>
    <w:rsid w:val="00BE59A8"/>
    <w:rsid w:val="00BE7775"/>
    <w:rsid w:val="00BF3704"/>
    <w:rsid w:val="00C30928"/>
    <w:rsid w:val="00C30CE5"/>
    <w:rsid w:val="00C31DC2"/>
    <w:rsid w:val="00C554EC"/>
    <w:rsid w:val="00C56DB0"/>
    <w:rsid w:val="00C56E20"/>
    <w:rsid w:val="00C83F5C"/>
    <w:rsid w:val="00CA4D89"/>
    <w:rsid w:val="00CB7B83"/>
    <w:rsid w:val="00CC19B5"/>
    <w:rsid w:val="00CC24D7"/>
    <w:rsid w:val="00CD278B"/>
    <w:rsid w:val="00CE17B0"/>
    <w:rsid w:val="00CE7FDB"/>
    <w:rsid w:val="00D116FD"/>
    <w:rsid w:val="00D20165"/>
    <w:rsid w:val="00D206C3"/>
    <w:rsid w:val="00D238CC"/>
    <w:rsid w:val="00D30FE2"/>
    <w:rsid w:val="00D33767"/>
    <w:rsid w:val="00D42F41"/>
    <w:rsid w:val="00D46296"/>
    <w:rsid w:val="00D505A2"/>
    <w:rsid w:val="00D72B80"/>
    <w:rsid w:val="00D84FAD"/>
    <w:rsid w:val="00D93BA4"/>
    <w:rsid w:val="00D946BF"/>
    <w:rsid w:val="00D95D7F"/>
    <w:rsid w:val="00DB24DC"/>
    <w:rsid w:val="00DB2F00"/>
    <w:rsid w:val="00DB40AF"/>
    <w:rsid w:val="00DB566A"/>
    <w:rsid w:val="00DB651F"/>
    <w:rsid w:val="00DC0CBB"/>
    <w:rsid w:val="00DD1743"/>
    <w:rsid w:val="00DD1CA3"/>
    <w:rsid w:val="00DD6871"/>
    <w:rsid w:val="00DE6113"/>
    <w:rsid w:val="00DF2592"/>
    <w:rsid w:val="00DF51FF"/>
    <w:rsid w:val="00E22101"/>
    <w:rsid w:val="00E24C8E"/>
    <w:rsid w:val="00E45626"/>
    <w:rsid w:val="00E54A54"/>
    <w:rsid w:val="00E54CBE"/>
    <w:rsid w:val="00E67710"/>
    <w:rsid w:val="00E76EED"/>
    <w:rsid w:val="00E91751"/>
    <w:rsid w:val="00EA120E"/>
    <w:rsid w:val="00EA1BA1"/>
    <w:rsid w:val="00EB5C70"/>
    <w:rsid w:val="00EE7993"/>
    <w:rsid w:val="00EF1B16"/>
    <w:rsid w:val="00F03A07"/>
    <w:rsid w:val="00F0630D"/>
    <w:rsid w:val="00F11662"/>
    <w:rsid w:val="00F12A62"/>
    <w:rsid w:val="00F24548"/>
    <w:rsid w:val="00F2659C"/>
    <w:rsid w:val="00F51D5A"/>
    <w:rsid w:val="00F53E80"/>
    <w:rsid w:val="00F57C18"/>
    <w:rsid w:val="00F76D8C"/>
    <w:rsid w:val="00F939AF"/>
    <w:rsid w:val="00F94B17"/>
    <w:rsid w:val="00FA3BF6"/>
    <w:rsid w:val="00FB3184"/>
    <w:rsid w:val="00FE0C44"/>
    <w:rsid w:val="00FF055C"/>
    <w:rsid w:val="00FF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459.html" TargetMode="External"/><Relationship Id="rId18" Type="http://schemas.openxmlformats.org/officeDocument/2006/relationships/hyperlink" Target="http://ssfb86.com/index/News/detail/newsid/459.html" TargetMode="External"/><Relationship Id="rId26" Type="http://schemas.openxmlformats.org/officeDocument/2006/relationships/hyperlink" Target="http://ssfb86.com/index/News/detail/newsid/459.html" TargetMode="External"/><Relationship Id="rId3" Type="http://schemas.openxmlformats.org/officeDocument/2006/relationships/styles" Target="styles.xml"/><Relationship Id="rId21" Type="http://schemas.openxmlformats.org/officeDocument/2006/relationships/hyperlink" Target="http://ssfb86.com/index/News/detail/newsid/459.html" TargetMode="External"/><Relationship Id="rId7" Type="http://schemas.openxmlformats.org/officeDocument/2006/relationships/footnotes" Target="footnotes.xml"/><Relationship Id="rId12" Type="http://schemas.openxmlformats.org/officeDocument/2006/relationships/hyperlink" Target="http://ssfb86.com/index/News/detail/newsid/459.html" TargetMode="External"/><Relationship Id="rId17" Type="http://schemas.openxmlformats.org/officeDocument/2006/relationships/hyperlink" Target="http://ssfb86.com/index/News/detail/newsid/459.html" TargetMode="External"/><Relationship Id="rId25" Type="http://schemas.openxmlformats.org/officeDocument/2006/relationships/hyperlink" Target="http://ssfb86.com/index/News/detail/newsid/459.html" TargetMode="External"/><Relationship Id="rId2" Type="http://schemas.openxmlformats.org/officeDocument/2006/relationships/numbering" Target="numbering.xml"/><Relationship Id="rId16" Type="http://schemas.openxmlformats.org/officeDocument/2006/relationships/hyperlink" Target="http://ssfb86.com/index/News/detail/newsid/459.html" TargetMode="External"/><Relationship Id="rId20" Type="http://schemas.openxmlformats.org/officeDocument/2006/relationships/hyperlink" Target="http://ssfb86.com/index/News/detail/newsid/343.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43.html" TargetMode="External"/><Relationship Id="rId24" Type="http://schemas.openxmlformats.org/officeDocument/2006/relationships/hyperlink" Target="http://ssfb86.com/index/News/detail/newsid/459.html" TargetMode="External"/><Relationship Id="rId5" Type="http://schemas.openxmlformats.org/officeDocument/2006/relationships/settings" Target="settings.xml"/><Relationship Id="rId15" Type="http://schemas.openxmlformats.org/officeDocument/2006/relationships/hyperlink" Target="http://ssfb86.com/index/News/detail/newsid/459.html" TargetMode="External"/><Relationship Id="rId23" Type="http://schemas.openxmlformats.org/officeDocument/2006/relationships/hyperlink" Target="http://ssfb86.com/index/News/detail/newsid/459.html" TargetMode="External"/><Relationship Id="rId28" Type="http://schemas.openxmlformats.org/officeDocument/2006/relationships/footer" Target="footer1.xml"/><Relationship Id="rId10" Type="http://schemas.openxmlformats.org/officeDocument/2006/relationships/hyperlink" Target="http://ssfb86.com/index/News/detail/newsid/459.html" TargetMode="External"/><Relationship Id="rId19" Type="http://schemas.openxmlformats.org/officeDocument/2006/relationships/hyperlink" Target="http://ssfb86.com/index/News/detail/newsid/343.html" TargetMode="External"/><Relationship Id="rId4" Type="http://schemas.microsoft.com/office/2007/relationships/stylesWithEffects" Target="stylesWithEffects.xml"/><Relationship Id="rId9" Type="http://schemas.openxmlformats.org/officeDocument/2006/relationships/hyperlink" Target="http://ssfb86.com/index/News/detail/newsid/459.html" TargetMode="External"/><Relationship Id="rId14" Type="http://schemas.openxmlformats.org/officeDocument/2006/relationships/hyperlink" Target="http://ssfb86.com/index/News/detail/newsid/459.html" TargetMode="External"/><Relationship Id="rId22" Type="http://schemas.openxmlformats.org/officeDocument/2006/relationships/hyperlink" Target="http://ssfb86.com/index/News/detail/newsid/459.html" TargetMode="External"/><Relationship Id="rId27" Type="http://schemas.openxmlformats.org/officeDocument/2006/relationships/hyperlink" Target="http://ssfb86.com/index/News/detail/newsid/459.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7974-7286-43B5-A71E-735282EE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2020-07-07T06:47:00Z</dcterms:created>
  <dcterms:modified xsi:type="dcterms:W3CDTF">2020-10-13T06:51:00Z</dcterms:modified>
</cp:coreProperties>
</file>