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99BC9" w14:textId="77777777" w:rsidR="00110F0D" w:rsidRDefault="00110F0D" w:rsidP="00B85160">
      <w:pPr>
        <w:jc w:val="center"/>
        <w:rPr>
          <w:rFonts w:asciiTheme="minorEastAsia" w:hAnsiTheme="minorEastAsia"/>
          <w:sz w:val="44"/>
          <w:szCs w:val="44"/>
        </w:rPr>
      </w:pPr>
    </w:p>
    <w:p w14:paraId="39CF8FEB" w14:textId="74840390" w:rsidR="00F57C18" w:rsidRPr="00B85160"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Pr>
          <w:rFonts w:asciiTheme="minorEastAsia" w:hAnsiTheme="minorEastAsia"/>
          <w:sz w:val="44"/>
          <w:szCs w:val="44"/>
        </w:rPr>
        <w:t>2.1.1.</w:t>
      </w:r>
      <w:r w:rsidR="000E4C51">
        <w:rPr>
          <w:rFonts w:asciiTheme="minorEastAsia" w:hAnsiTheme="minorEastAsia"/>
          <w:sz w:val="44"/>
          <w:szCs w:val="44"/>
        </w:rPr>
        <w:t>2.1.</w:t>
      </w:r>
      <w:r w:rsidR="007976C2">
        <w:rPr>
          <w:rFonts w:asciiTheme="minorEastAsia" w:hAnsiTheme="minorEastAsia"/>
          <w:sz w:val="44"/>
          <w:szCs w:val="44"/>
        </w:rPr>
        <w:t>4</w:t>
      </w:r>
      <w:r w:rsidR="00B85160" w:rsidRPr="00B85160">
        <w:rPr>
          <w:rFonts w:asciiTheme="minorEastAsia" w:hAnsiTheme="minorEastAsia"/>
          <w:sz w:val="44"/>
          <w:szCs w:val="44"/>
        </w:rPr>
        <w:t xml:space="preserve">  </w:t>
      </w:r>
      <w:r w:rsidR="007976C2" w:rsidRPr="007976C2">
        <w:rPr>
          <w:rFonts w:asciiTheme="minorEastAsia" w:hAnsiTheme="minorEastAsia" w:hint="eastAsia"/>
          <w:sz w:val="44"/>
          <w:szCs w:val="44"/>
        </w:rPr>
        <w:t>解除劳动关系、提前退休、内部退养、破产安置</w:t>
      </w:r>
      <w:r w:rsidR="0077704B" w:rsidRPr="00B85160">
        <w:rPr>
          <w:rFonts w:asciiTheme="minorEastAsia" w:hAnsiTheme="minorEastAsia"/>
          <w:sz w:val="44"/>
          <w:szCs w:val="44"/>
        </w:rPr>
        <w:t xml:space="preserve"> </w:t>
      </w:r>
    </w:p>
    <w:p w14:paraId="672E869E" w14:textId="73CC16D9" w:rsidR="002F0CC6" w:rsidRDefault="002F0CC6" w:rsidP="00120ED1">
      <w:pPr>
        <w:spacing w:beforeLines="50" w:before="156" w:line="480" w:lineRule="atLeast"/>
        <w:rPr>
          <w:rFonts w:asciiTheme="minorEastAsia" w:hAnsiTheme="minorEastAsia"/>
          <w:b/>
          <w:bCs/>
          <w:color w:val="000000" w:themeColor="text1"/>
          <w:kern w:val="44"/>
          <w:sz w:val="24"/>
          <w:szCs w:val="24"/>
        </w:rPr>
      </w:pPr>
    </w:p>
    <w:p w14:paraId="1CB602E5" w14:textId="2B7A1849" w:rsidR="00C1636A" w:rsidRPr="00C1636A" w:rsidRDefault="00C1636A" w:rsidP="00C1636A">
      <w:pPr>
        <w:pStyle w:val="1"/>
        <w:spacing w:beforeLines="50" w:before="156" w:after="0" w:line="480" w:lineRule="atLeast"/>
        <w:rPr>
          <w:rFonts w:ascii="宋体" w:eastAsia="宋体" w:hAnsi="宋体"/>
          <w:color w:val="000000" w:themeColor="text1"/>
          <w:sz w:val="24"/>
          <w:szCs w:val="24"/>
        </w:rPr>
      </w:pPr>
      <w:bookmarkStart w:id="0" w:name="_Toc13327094"/>
      <w:r w:rsidRPr="00C1636A">
        <w:rPr>
          <w:rFonts w:ascii="宋体" w:eastAsia="宋体" w:hAnsi="宋体" w:hint="eastAsia"/>
          <w:color w:val="000000" w:themeColor="text1"/>
          <w:sz w:val="24"/>
          <w:szCs w:val="24"/>
        </w:rPr>
        <w:t>一、解除劳动关系</w:t>
      </w:r>
      <w:bookmarkEnd w:id="0"/>
    </w:p>
    <w:p w14:paraId="0D99C138" w14:textId="77777777" w:rsidR="00C1636A" w:rsidRPr="00C1636A" w:rsidRDefault="00C1636A" w:rsidP="00C1636A">
      <w:pPr>
        <w:pStyle w:val="a5"/>
        <w:shd w:val="clear" w:color="auto" w:fill="FFFFFF"/>
        <w:spacing w:beforeLines="50" w:before="156" w:afterLines="50" w:after="156" w:line="480" w:lineRule="atLeast"/>
        <w:ind w:firstLineChars="200" w:firstLine="480"/>
        <w:rPr>
          <w:color w:val="000000" w:themeColor="text1"/>
        </w:rPr>
      </w:pPr>
      <w:r w:rsidRPr="00C1636A">
        <w:rPr>
          <w:rFonts w:hint="eastAsia"/>
          <w:color w:val="000000" w:themeColor="text1"/>
        </w:rPr>
        <w:t>个人与用人单位解除劳动关系取得一次性补偿收入（包括用人单位发放的经济补偿金、生活补助费和其他补助费），在当地上年职工平均工资3倍数额以内的部分，免征个人所得税；超过3倍数额的</w:t>
      </w:r>
      <w:r w:rsidRPr="00C1636A">
        <w:rPr>
          <w:rFonts w:hint="eastAsia"/>
          <w:b/>
          <w:color w:val="000000" w:themeColor="text1"/>
        </w:rPr>
        <w:t>部分</w:t>
      </w:r>
      <w:r w:rsidRPr="00C1636A">
        <w:rPr>
          <w:rFonts w:hint="eastAsia"/>
          <w:color w:val="000000" w:themeColor="text1"/>
        </w:rPr>
        <w:t>，不并入当年综合所得，</w:t>
      </w:r>
      <w:r w:rsidRPr="00C1636A">
        <w:rPr>
          <w:rFonts w:hint="eastAsia"/>
          <w:b/>
          <w:color w:val="000000" w:themeColor="text1"/>
        </w:rPr>
        <w:t>单独</w:t>
      </w:r>
      <w:r w:rsidRPr="00C1636A">
        <w:rPr>
          <w:rFonts w:hint="eastAsia"/>
          <w:color w:val="000000" w:themeColor="text1"/>
        </w:rPr>
        <w:t>适用</w:t>
      </w:r>
      <w:r w:rsidRPr="00C1636A">
        <w:rPr>
          <w:rFonts w:hint="eastAsia"/>
          <w:b/>
          <w:color w:val="000000" w:themeColor="text1"/>
        </w:rPr>
        <w:t>综合</w:t>
      </w:r>
      <w:r w:rsidRPr="00C1636A">
        <w:rPr>
          <w:rFonts w:hint="eastAsia"/>
          <w:color w:val="000000" w:themeColor="text1"/>
        </w:rPr>
        <w:t>所得税率表，计算纳税。</w:t>
      </w:r>
    </w:p>
    <w:p w14:paraId="5E963365" w14:textId="659154AC" w:rsidR="00C1636A" w:rsidRPr="00C1636A" w:rsidRDefault="00C1636A" w:rsidP="00C1636A">
      <w:pPr>
        <w:spacing w:beforeLines="50" w:before="156" w:afterLines="50" w:after="156" w:line="480" w:lineRule="atLeast"/>
        <w:jc w:val="right"/>
        <w:rPr>
          <w:rFonts w:ascii="宋体" w:eastAsia="宋体" w:hAnsi="宋体"/>
          <w:color w:val="000000" w:themeColor="text1"/>
          <w:sz w:val="24"/>
          <w:szCs w:val="24"/>
        </w:rPr>
      </w:pPr>
      <w:r w:rsidRPr="00C1636A">
        <w:rPr>
          <w:rFonts w:ascii="宋体" w:eastAsia="宋体" w:hAnsi="宋体" w:hint="eastAsia"/>
          <w:color w:val="000000" w:themeColor="text1"/>
          <w:sz w:val="24"/>
          <w:szCs w:val="24"/>
        </w:rPr>
        <w:t>（</w:t>
      </w:r>
      <w:hyperlink r:id="rId7" w:history="1">
        <w:r w:rsidRPr="00AC2BBC">
          <w:rPr>
            <w:rStyle w:val="a6"/>
            <w:rFonts w:ascii="宋体" w:eastAsia="宋体" w:hAnsi="宋体" w:hint="eastAsia"/>
            <w:sz w:val="24"/>
            <w:szCs w:val="24"/>
          </w:rPr>
          <w:t>财税〔2018〕164号</w:t>
        </w:r>
      </w:hyperlink>
      <w:r w:rsidRPr="00C1636A">
        <w:rPr>
          <w:rFonts w:ascii="宋体" w:eastAsia="宋体" w:hAnsi="宋体" w:hint="eastAsia"/>
          <w:color w:val="000000" w:themeColor="text1"/>
          <w:sz w:val="24"/>
          <w:szCs w:val="24"/>
        </w:rPr>
        <w:t>第五条第一款）</w:t>
      </w:r>
    </w:p>
    <w:p w14:paraId="433E906B" w14:textId="20B07745" w:rsidR="00C1636A" w:rsidRPr="00C1636A" w:rsidRDefault="00C1636A" w:rsidP="00C1636A">
      <w:pPr>
        <w:pStyle w:val="1"/>
        <w:spacing w:beforeLines="50" w:before="156" w:after="0" w:line="480" w:lineRule="atLeast"/>
        <w:rPr>
          <w:rFonts w:ascii="宋体" w:eastAsia="宋体" w:hAnsi="宋体"/>
          <w:color w:val="000000" w:themeColor="text1"/>
          <w:sz w:val="24"/>
          <w:szCs w:val="24"/>
        </w:rPr>
      </w:pPr>
      <w:bookmarkStart w:id="1" w:name="_Toc13327095"/>
      <w:r w:rsidRPr="00C1636A">
        <w:rPr>
          <w:rFonts w:ascii="宋体" w:eastAsia="宋体" w:hAnsi="宋体" w:hint="eastAsia"/>
          <w:color w:val="000000" w:themeColor="text1"/>
          <w:sz w:val="24"/>
          <w:szCs w:val="24"/>
        </w:rPr>
        <w:t>二、提前退休</w:t>
      </w:r>
      <w:bookmarkEnd w:id="1"/>
    </w:p>
    <w:p w14:paraId="523733D5" w14:textId="77777777" w:rsidR="00C1636A" w:rsidRPr="00C1636A" w:rsidRDefault="00C1636A" w:rsidP="00C1636A">
      <w:pPr>
        <w:widowControl/>
        <w:spacing w:beforeLines="50" w:before="156" w:afterLines="50" w:after="156" w:line="480" w:lineRule="atLeast"/>
        <w:ind w:firstLineChars="200" w:firstLine="480"/>
        <w:jc w:val="left"/>
        <w:rPr>
          <w:rFonts w:ascii="宋体" w:eastAsia="宋体" w:hAnsi="宋体" w:cs="宋体"/>
          <w:color w:val="000000" w:themeColor="text1"/>
          <w:kern w:val="0"/>
          <w:sz w:val="24"/>
          <w:szCs w:val="24"/>
        </w:rPr>
      </w:pPr>
      <w:r w:rsidRPr="00C1636A">
        <w:rPr>
          <w:rFonts w:ascii="宋体" w:eastAsia="宋体" w:hAnsi="宋体" w:cs="宋体" w:hint="eastAsia"/>
          <w:color w:val="000000" w:themeColor="text1"/>
          <w:kern w:val="0"/>
          <w:sz w:val="24"/>
          <w:szCs w:val="24"/>
        </w:rPr>
        <w:t>机关、企事业单位对未达到法定退休年龄</w:t>
      </w:r>
      <w:r w:rsidRPr="00C1636A">
        <w:rPr>
          <w:rStyle w:val="a9"/>
          <w:rFonts w:ascii="宋体" w:eastAsia="宋体" w:hAnsi="宋体" w:cs="宋体"/>
          <w:color w:val="000000" w:themeColor="text1"/>
          <w:kern w:val="0"/>
          <w:sz w:val="24"/>
          <w:szCs w:val="24"/>
        </w:rPr>
        <w:footnoteReference w:id="1"/>
      </w:r>
      <w:r w:rsidRPr="00C1636A">
        <w:rPr>
          <w:rFonts w:ascii="宋体" w:eastAsia="宋体" w:hAnsi="宋体" w:cs="宋体" w:hint="eastAsia"/>
          <w:color w:val="000000" w:themeColor="text1"/>
          <w:kern w:val="0"/>
          <w:sz w:val="24"/>
          <w:szCs w:val="24"/>
        </w:rPr>
        <w:t>、正式办理提前退休手续的个人，按照统一标准向提前退休工作人员支付一次性补贴，不属于免税的离退休工资收入，应按照“工资、薪金所得”项目征收个人所得税。</w:t>
      </w:r>
    </w:p>
    <w:p w14:paraId="2ACC5FDA" w14:textId="02D3890D" w:rsidR="00C1636A" w:rsidRPr="00C1636A" w:rsidRDefault="00C1636A" w:rsidP="00C1636A">
      <w:pPr>
        <w:spacing w:beforeLines="50" w:before="156" w:afterLines="50" w:after="156" w:line="480" w:lineRule="atLeast"/>
        <w:jc w:val="right"/>
        <w:rPr>
          <w:rFonts w:ascii="宋体" w:eastAsia="宋体" w:hAnsi="宋体"/>
          <w:b/>
          <w:bCs/>
          <w:color w:val="000000" w:themeColor="text1"/>
          <w:sz w:val="24"/>
          <w:szCs w:val="24"/>
        </w:rPr>
      </w:pPr>
      <w:r w:rsidRPr="00C1636A">
        <w:rPr>
          <w:rFonts w:ascii="宋体" w:eastAsia="宋体" w:hAnsi="宋体" w:cs="宋体" w:hint="eastAsia"/>
          <w:b/>
          <w:bCs/>
          <w:color w:val="000000" w:themeColor="text1"/>
          <w:kern w:val="0"/>
          <w:sz w:val="24"/>
          <w:szCs w:val="24"/>
        </w:rPr>
        <w:t>（</w:t>
      </w:r>
      <w:hyperlink r:id="rId8" w:history="1">
        <w:r w:rsidRPr="00AC2BBC">
          <w:rPr>
            <w:rStyle w:val="a6"/>
            <w:rFonts w:ascii="宋体" w:eastAsia="宋体" w:hAnsi="宋体"/>
            <w:sz w:val="24"/>
            <w:szCs w:val="24"/>
          </w:rPr>
          <w:t>国家税务总局公告2011年第6号</w:t>
        </w:r>
      </w:hyperlink>
      <w:r w:rsidRPr="00C1636A">
        <w:rPr>
          <w:rFonts w:ascii="宋体" w:eastAsia="宋体" w:hAnsi="宋体" w:hint="eastAsia"/>
          <w:b/>
          <w:bCs/>
          <w:color w:val="000000" w:themeColor="text1"/>
          <w:sz w:val="24"/>
          <w:szCs w:val="24"/>
        </w:rPr>
        <w:t>第一条）</w:t>
      </w:r>
    </w:p>
    <w:p w14:paraId="7D85F021" w14:textId="77777777" w:rsidR="00C1636A" w:rsidRPr="00C1636A" w:rsidRDefault="00C1636A" w:rsidP="00C1636A">
      <w:pPr>
        <w:widowControl/>
        <w:spacing w:beforeLines="50" w:before="156" w:afterLines="50" w:after="156" w:line="480" w:lineRule="atLeast"/>
        <w:ind w:firstLineChars="200" w:firstLine="480"/>
        <w:jc w:val="left"/>
        <w:rPr>
          <w:rFonts w:ascii="宋体" w:eastAsia="宋体" w:hAnsi="宋体" w:cs="宋体"/>
          <w:color w:val="000000" w:themeColor="text1"/>
          <w:kern w:val="0"/>
          <w:sz w:val="24"/>
          <w:szCs w:val="24"/>
        </w:rPr>
      </w:pPr>
      <w:r w:rsidRPr="00C1636A">
        <w:rPr>
          <w:rFonts w:ascii="宋体" w:eastAsia="宋体" w:hAnsi="宋体" w:cs="宋体" w:hint="eastAsia"/>
          <w:color w:val="000000" w:themeColor="text1"/>
          <w:kern w:val="0"/>
          <w:sz w:val="24"/>
          <w:szCs w:val="24"/>
        </w:rPr>
        <w:t>应按照办理提前退休手续至法定离退休年龄之间实际年度数平均分摊，确定适用税率和速算扣除数，单独适用综合所得税率表，计算纳税。计算公式：</w:t>
      </w:r>
    </w:p>
    <w:p w14:paraId="165A1C33" w14:textId="77777777" w:rsidR="00C1636A" w:rsidRPr="00C1636A" w:rsidRDefault="00C1636A" w:rsidP="00C1636A">
      <w:pPr>
        <w:widowControl/>
        <w:spacing w:beforeLines="50" w:before="156" w:afterLines="50" w:after="156" w:line="480" w:lineRule="atLeast"/>
        <w:ind w:firstLineChars="200" w:firstLine="480"/>
        <w:jc w:val="left"/>
        <w:rPr>
          <w:rFonts w:ascii="宋体" w:eastAsia="宋体" w:hAnsi="宋体" w:cs="宋体"/>
          <w:color w:val="000000" w:themeColor="text1"/>
          <w:kern w:val="0"/>
          <w:sz w:val="24"/>
          <w:szCs w:val="24"/>
        </w:rPr>
      </w:pPr>
      <w:r w:rsidRPr="00C1636A">
        <w:rPr>
          <w:rFonts w:ascii="宋体" w:eastAsia="宋体" w:hAnsi="宋体" w:cs="宋体" w:hint="eastAsia"/>
          <w:color w:val="000000" w:themeColor="text1"/>
          <w:kern w:val="0"/>
          <w:sz w:val="24"/>
          <w:szCs w:val="24"/>
        </w:rPr>
        <w:t>应纳税额={〔（一次性补贴收入÷办理提前退休手续至法定退休年龄的实际年度数）－</w:t>
      </w:r>
      <w:r w:rsidRPr="00C1636A">
        <w:rPr>
          <w:rFonts w:ascii="宋体" w:eastAsia="宋体" w:hAnsi="宋体" w:cs="宋体" w:hint="eastAsia"/>
          <w:b/>
          <w:bCs/>
          <w:color w:val="000000" w:themeColor="text1"/>
          <w:kern w:val="0"/>
          <w:sz w:val="24"/>
          <w:szCs w:val="24"/>
        </w:rPr>
        <w:t>费用扣除标准</w:t>
      </w:r>
      <w:r w:rsidRPr="00C1636A">
        <w:rPr>
          <w:rFonts w:ascii="宋体" w:eastAsia="宋体" w:hAnsi="宋体" w:cs="宋体" w:hint="eastAsia"/>
          <w:color w:val="000000" w:themeColor="text1"/>
          <w:kern w:val="0"/>
          <w:sz w:val="24"/>
          <w:szCs w:val="24"/>
        </w:rPr>
        <w:t>〕×适用税率－速算扣除数}×办理提前退休手续至法定退休年龄的实际年度数</w:t>
      </w:r>
    </w:p>
    <w:p w14:paraId="19F88DE5" w14:textId="56F17FEF" w:rsidR="00C1636A" w:rsidRPr="00C1636A" w:rsidRDefault="00C1636A" w:rsidP="00C1636A">
      <w:pPr>
        <w:spacing w:beforeLines="50" w:before="156" w:afterLines="50" w:after="156" w:line="480" w:lineRule="atLeast"/>
        <w:jc w:val="right"/>
        <w:rPr>
          <w:rFonts w:ascii="宋体" w:eastAsia="宋体" w:hAnsi="宋体"/>
          <w:color w:val="000000" w:themeColor="text1"/>
          <w:sz w:val="24"/>
          <w:szCs w:val="24"/>
        </w:rPr>
      </w:pPr>
      <w:r w:rsidRPr="00C1636A">
        <w:rPr>
          <w:rFonts w:ascii="宋体" w:eastAsia="宋体" w:hAnsi="宋体" w:hint="eastAsia"/>
          <w:color w:val="000000" w:themeColor="text1"/>
          <w:sz w:val="24"/>
          <w:szCs w:val="24"/>
        </w:rPr>
        <w:lastRenderedPageBreak/>
        <w:t>（</w:t>
      </w:r>
      <w:hyperlink r:id="rId9" w:history="1">
        <w:r w:rsidR="00AC2BBC" w:rsidRPr="00AC2BBC">
          <w:rPr>
            <w:rStyle w:val="a6"/>
            <w:rFonts w:ascii="宋体" w:eastAsia="宋体" w:hAnsi="宋体" w:hint="eastAsia"/>
            <w:sz w:val="24"/>
            <w:szCs w:val="24"/>
          </w:rPr>
          <w:t>财税〔2018〕164号</w:t>
        </w:r>
      </w:hyperlink>
      <w:r w:rsidRPr="00C1636A">
        <w:rPr>
          <w:rFonts w:ascii="宋体" w:eastAsia="宋体" w:hAnsi="宋体" w:hint="eastAsia"/>
          <w:color w:val="000000" w:themeColor="text1"/>
          <w:sz w:val="24"/>
          <w:szCs w:val="24"/>
        </w:rPr>
        <w:t>第五条第二款）</w:t>
      </w:r>
    </w:p>
    <w:p w14:paraId="6F685AF6" w14:textId="340084CA" w:rsidR="00C1636A" w:rsidRPr="00C1636A" w:rsidRDefault="00C1636A" w:rsidP="00C1636A">
      <w:pPr>
        <w:pStyle w:val="1"/>
        <w:spacing w:beforeLines="50" w:before="156" w:after="0" w:line="480" w:lineRule="atLeast"/>
        <w:rPr>
          <w:rFonts w:ascii="宋体" w:eastAsia="宋体" w:hAnsi="宋体"/>
          <w:color w:val="000000" w:themeColor="text1"/>
          <w:sz w:val="24"/>
          <w:szCs w:val="24"/>
        </w:rPr>
      </w:pPr>
      <w:bookmarkStart w:id="2" w:name="_Toc13327096"/>
      <w:r w:rsidRPr="00C1636A">
        <w:rPr>
          <w:rFonts w:ascii="宋体" w:eastAsia="宋体" w:hAnsi="宋体" w:hint="eastAsia"/>
          <w:color w:val="000000" w:themeColor="text1"/>
          <w:sz w:val="24"/>
          <w:szCs w:val="24"/>
        </w:rPr>
        <w:t>三、内部退养</w:t>
      </w:r>
      <w:bookmarkEnd w:id="2"/>
    </w:p>
    <w:p w14:paraId="1176883B" w14:textId="2A3916A1" w:rsidR="00C1636A" w:rsidRPr="00C1636A" w:rsidRDefault="00C1636A" w:rsidP="00C1636A">
      <w:pPr>
        <w:pStyle w:val="2"/>
        <w:spacing w:beforeLines="50" w:before="156" w:after="0" w:line="480" w:lineRule="atLeast"/>
        <w:rPr>
          <w:rFonts w:ascii="宋体" w:eastAsia="宋体" w:hAnsi="宋体"/>
          <w:color w:val="000000" w:themeColor="text1"/>
          <w:sz w:val="24"/>
          <w:szCs w:val="24"/>
        </w:rPr>
      </w:pPr>
      <w:r w:rsidRPr="00C1636A">
        <w:rPr>
          <w:rFonts w:ascii="宋体" w:eastAsia="宋体" w:hAnsi="宋体" w:hint="eastAsia"/>
          <w:color w:val="000000" w:themeColor="text1"/>
          <w:sz w:val="24"/>
          <w:szCs w:val="24"/>
        </w:rPr>
        <w:t>（一）一次性补贴收入</w:t>
      </w:r>
    </w:p>
    <w:p w14:paraId="0B54F277" w14:textId="26C815E9" w:rsidR="00C1636A" w:rsidRPr="00C1636A" w:rsidRDefault="00C1636A" w:rsidP="00C1636A">
      <w:pPr>
        <w:pStyle w:val="a5"/>
        <w:shd w:val="clear" w:color="auto" w:fill="FFFFFF"/>
        <w:spacing w:beforeLines="50" w:before="156" w:afterLines="50" w:after="156" w:line="480" w:lineRule="atLeast"/>
        <w:ind w:firstLineChars="200" w:firstLine="480"/>
        <w:rPr>
          <w:color w:val="000000" w:themeColor="text1"/>
        </w:rPr>
      </w:pPr>
      <w:r w:rsidRPr="00C1636A">
        <w:rPr>
          <w:rFonts w:hint="eastAsia"/>
          <w:color w:val="000000" w:themeColor="text1"/>
        </w:rPr>
        <w:t>个人办理内部退养手续而取得的一次性补贴收入，按照</w:t>
      </w:r>
      <w:r w:rsidR="00AC2BBC" w:rsidRPr="00AC2BBC">
        <w:rPr>
          <w:rFonts w:asciiTheme="minorHAnsi" w:eastAsiaTheme="minorEastAsia" w:hAnsiTheme="minorHAnsi" w:cstheme="minorBidi" w:hint="eastAsia"/>
          <w:color w:val="000000"/>
          <w:kern w:val="2"/>
          <w:shd w:val="clear" w:color="auto" w:fill="FFFFFF"/>
        </w:rPr>
        <w:t>《国家税务总局关于个人所得税有关政策问题的通知》（</w:t>
      </w:r>
      <w:hyperlink r:id="rId10" w:tgtFrame="_self" w:history="1">
        <w:r w:rsidR="00AC2BBC" w:rsidRPr="00AC2BBC">
          <w:rPr>
            <w:rFonts w:asciiTheme="minorHAnsi" w:eastAsiaTheme="minorEastAsia" w:hAnsiTheme="minorHAnsi" w:cstheme="minorBidi" w:hint="eastAsia"/>
            <w:color w:val="000000"/>
            <w:kern w:val="2"/>
            <w:u w:val="single"/>
            <w:shd w:val="clear" w:color="auto" w:fill="FFFFFF"/>
          </w:rPr>
          <w:t>国税发〔</w:t>
        </w:r>
        <w:r w:rsidR="00AC2BBC" w:rsidRPr="00AC2BBC">
          <w:rPr>
            <w:rFonts w:asciiTheme="minorHAnsi" w:eastAsiaTheme="minorEastAsia" w:hAnsiTheme="minorHAnsi" w:cstheme="minorBidi" w:hint="eastAsia"/>
            <w:color w:val="000000"/>
            <w:kern w:val="2"/>
            <w:u w:val="single"/>
            <w:shd w:val="clear" w:color="auto" w:fill="FFFFFF"/>
          </w:rPr>
          <w:t>1999</w:t>
        </w:r>
        <w:r w:rsidR="00AC2BBC" w:rsidRPr="00AC2BBC">
          <w:rPr>
            <w:rFonts w:asciiTheme="minorHAnsi" w:eastAsiaTheme="minorEastAsia" w:hAnsiTheme="minorHAnsi" w:cstheme="minorBidi" w:hint="eastAsia"/>
            <w:color w:val="000000"/>
            <w:kern w:val="2"/>
            <w:u w:val="single"/>
            <w:shd w:val="clear" w:color="auto" w:fill="FFFFFF"/>
          </w:rPr>
          <w:t>〕</w:t>
        </w:r>
        <w:r w:rsidR="00AC2BBC" w:rsidRPr="00AC2BBC">
          <w:rPr>
            <w:rFonts w:asciiTheme="minorHAnsi" w:eastAsiaTheme="minorEastAsia" w:hAnsiTheme="minorHAnsi" w:cstheme="minorBidi" w:hint="eastAsia"/>
            <w:color w:val="000000"/>
            <w:kern w:val="2"/>
            <w:u w:val="single"/>
            <w:shd w:val="clear" w:color="auto" w:fill="FFFFFF"/>
          </w:rPr>
          <w:t>58</w:t>
        </w:r>
        <w:r w:rsidR="00AC2BBC" w:rsidRPr="00AC2BBC">
          <w:rPr>
            <w:rFonts w:asciiTheme="minorHAnsi" w:eastAsiaTheme="minorEastAsia" w:hAnsiTheme="minorHAnsi" w:cstheme="minorBidi" w:hint="eastAsia"/>
            <w:color w:val="000000"/>
            <w:kern w:val="2"/>
            <w:u w:val="single"/>
            <w:shd w:val="clear" w:color="auto" w:fill="FFFFFF"/>
          </w:rPr>
          <w:t>号</w:t>
        </w:r>
      </w:hyperlink>
      <w:r w:rsidR="00AC2BBC" w:rsidRPr="00AC2BBC">
        <w:rPr>
          <w:rFonts w:asciiTheme="minorHAnsi" w:eastAsiaTheme="minorEastAsia" w:hAnsiTheme="minorHAnsi" w:cstheme="minorBidi" w:hint="eastAsia"/>
          <w:color w:val="000000"/>
          <w:kern w:val="2"/>
          <w:shd w:val="clear" w:color="auto" w:fill="FFFFFF"/>
        </w:rPr>
        <w:t>）</w:t>
      </w:r>
      <w:r w:rsidRPr="00AC2BBC">
        <w:rPr>
          <w:rFonts w:hint="eastAsia"/>
          <w:color w:val="000000" w:themeColor="text1"/>
        </w:rPr>
        <w:t>规定计</w:t>
      </w:r>
      <w:r w:rsidRPr="00C1636A">
        <w:rPr>
          <w:rFonts w:hint="eastAsia"/>
          <w:color w:val="000000" w:themeColor="text1"/>
        </w:rPr>
        <w:t>算纳税。</w:t>
      </w:r>
    </w:p>
    <w:p w14:paraId="54E66717" w14:textId="526D4B25" w:rsidR="00C1636A" w:rsidRPr="00C1636A" w:rsidRDefault="00C1636A" w:rsidP="00C1636A">
      <w:pPr>
        <w:spacing w:beforeLines="50" w:before="156" w:afterLines="50" w:after="156" w:line="480" w:lineRule="atLeast"/>
        <w:jc w:val="right"/>
        <w:rPr>
          <w:rFonts w:ascii="宋体" w:eastAsia="宋体" w:hAnsi="宋体"/>
          <w:color w:val="000000" w:themeColor="text1"/>
          <w:sz w:val="24"/>
          <w:szCs w:val="24"/>
        </w:rPr>
      </w:pPr>
      <w:r w:rsidRPr="00C1636A">
        <w:rPr>
          <w:rFonts w:ascii="宋体" w:eastAsia="宋体" w:hAnsi="宋体" w:hint="eastAsia"/>
          <w:color w:val="000000" w:themeColor="text1"/>
          <w:sz w:val="24"/>
          <w:szCs w:val="24"/>
        </w:rPr>
        <w:t>（</w:t>
      </w:r>
      <w:hyperlink r:id="rId11" w:history="1">
        <w:r w:rsidR="00AC2BBC" w:rsidRPr="00AC2BBC">
          <w:rPr>
            <w:rStyle w:val="a6"/>
            <w:rFonts w:ascii="宋体" w:eastAsia="宋体" w:hAnsi="宋体" w:hint="eastAsia"/>
            <w:sz w:val="24"/>
            <w:szCs w:val="24"/>
          </w:rPr>
          <w:t>财税〔2018〕164号</w:t>
        </w:r>
      </w:hyperlink>
      <w:r w:rsidRPr="00C1636A">
        <w:rPr>
          <w:rFonts w:ascii="宋体" w:eastAsia="宋体" w:hAnsi="宋体" w:hint="eastAsia"/>
          <w:color w:val="000000" w:themeColor="text1"/>
          <w:sz w:val="24"/>
          <w:szCs w:val="24"/>
        </w:rPr>
        <w:t>第五条第三款）</w:t>
      </w:r>
    </w:p>
    <w:p w14:paraId="260DCF79" w14:textId="77777777" w:rsidR="00C1636A" w:rsidRPr="00C1636A" w:rsidRDefault="00C1636A" w:rsidP="00C1636A">
      <w:pPr>
        <w:widowControl/>
        <w:shd w:val="clear" w:color="auto" w:fill="FFFFFF"/>
        <w:spacing w:beforeLines="50" w:before="156" w:afterLines="50" w:after="156" w:line="480" w:lineRule="atLeast"/>
        <w:ind w:firstLineChars="200" w:firstLine="480"/>
        <w:jc w:val="left"/>
        <w:rPr>
          <w:rFonts w:ascii="宋体" w:eastAsia="宋体" w:hAnsi="宋体" w:cs="宋体"/>
          <w:color w:val="000000" w:themeColor="text1"/>
          <w:kern w:val="0"/>
          <w:sz w:val="24"/>
          <w:szCs w:val="24"/>
        </w:rPr>
      </w:pPr>
      <w:r w:rsidRPr="00C1636A">
        <w:rPr>
          <w:rFonts w:ascii="宋体" w:eastAsia="宋体" w:hAnsi="宋体" w:cs="宋体" w:hint="eastAsia"/>
          <w:color w:val="000000" w:themeColor="text1"/>
          <w:kern w:val="0"/>
          <w:sz w:val="24"/>
          <w:szCs w:val="24"/>
        </w:rPr>
        <w:t>个人在办理内部退养手续后从原任职单位取得的一次性收人，应按办理内部退养手续后至法定离退休年龄之间的所属月份进行平均，并与领取当月的“工资、薪金”所得合并后减除当月费用扣除标准，以余额为基数确定适用税率，再将当月工资、薪金加上取得的一次性收人，减去费用扣除标准，按适用税率计征个人所得税。</w:t>
      </w:r>
    </w:p>
    <w:p w14:paraId="7ADD20EE" w14:textId="5D453BAD" w:rsidR="00C1636A" w:rsidRPr="00C1636A" w:rsidRDefault="00C1636A" w:rsidP="00C1636A">
      <w:pPr>
        <w:widowControl/>
        <w:spacing w:beforeLines="50" w:before="156" w:afterLines="50" w:after="156" w:line="480" w:lineRule="atLeast"/>
        <w:ind w:firstLineChars="200" w:firstLine="480"/>
        <w:jc w:val="right"/>
        <w:rPr>
          <w:rFonts w:ascii="宋体" w:eastAsia="宋体" w:hAnsi="宋体"/>
          <w:color w:val="000000" w:themeColor="text1"/>
          <w:sz w:val="24"/>
          <w:szCs w:val="24"/>
          <w:shd w:val="clear" w:color="auto" w:fill="FFFFFF"/>
        </w:rPr>
      </w:pPr>
      <w:r w:rsidRPr="00C1636A">
        <w:rPr>
          <w:rFonts w:ascii="宋体" w:eastAsia="宋体" w:hAnsi="宋体" w:hint="eastAsia"/>
          <w:color w:val="000000" w:themeColor="text1"/>
          <w:sz w:val="24"/>
          <w:szCs w:val="24"/>
          <w:shd w:val="clear" w:color="auto" w:fill="FFFFFF"/>
        </w:rPr>
        <w:t>(</w:t>
      </w:r>
      <w:hyperlink r:id="rId12" w:history="1">
        <w:r w:rsidRPr="00AC2BBC">
          <w:rPr>
            <w:rStyle w:val="a6"/>
            <w:rFonts w:ascii="宋体" w:eastAsia="宋体" w:hAnsi="宋体" w:hint="eastAsia"/>
            <w:sz w:val="24"/>
            <w:szCs w:val="24"/>
            <w:shd w:val="clear" w:color="auto" w:fill="FFFFFF"/>
          </w:rPr>
          <w:t>国税发[1999]58号</w:t>
        </w:r>
      </w:hyperlink>
      <w:r w:rsidRPr="00C1636A">
        <w:rPr>
          <w:rFonts w:ascii="宋体" w:eastAsia="宋体" w:hAnsi="宋体" w:hint="eastAsia"/>
          <w:color w:val="000000" w:themeColor="text1"/>
          <w:sz w:val="24"/>
          <w:szCs w:val="24"/>
          <w:shd w:val="clear" w:color="auto" w:fill="FFFFFF"/>
        </w:rPr>
        <w:t>第一条第二款)</w:t>
      </w:r>
    </w:p>
    <w:p w14:paraId="104551B6" w14:textId="7B36BA11" w:rsidR="00C1636A" w:rsidRPr="00C1636A" w:rsidRDefault="00C1636A" w:rsidP="00C1636A">
      <w:pPr>
        <w:pStyle w:val="2"/>
        <w:spacing w:beforeLines="50" w:before="156" w:after="0" w:line="480" w:lineRule="atLeast"/>
        <w:rPr>
          <w:rFonts w:ascii="宋体" w:eastAsia="宋体" w:hAnsi="宋体"/>
          <w:color w:val="000000" w:themeColor="text1"/>
          <w:sz w:val="24"/>
          <w:szCs w:val="24"/>
        </w:rPr>
      </w:pPr>
      <w:r w:rsidRPr="00C1636A">
        <w:rPr>
          <w:rFonts w:ascii="宋体" w:eastAsia="宋体" w:hAnsi="宋体" w:hint="eastAsia"/>
          <w:color w:val="000000" w:themeColor="text1"/>
          <w:sz w:val="24"/>
          <w:szCs w:val="24"/>
        </w:rPr>
        <w:t>（二）退养后从原单位的工资收入</w:t>
      </w:r>
    </w:p>
    <w:p w14:paraId="4E5C6159" w14:textId="77777777" w:rsidR="00C1636A" w:rsidRPr="00C1636A" w:rsidRDefault="00C1636A" w:rsidP="00C1636A">
      <w:pPr>
        <w:widowControl/>
        <w:shd w:val="clear" w:color="auto" w:fill="FFFFFF"/>
        <w:spacing w:beforeLines="50" w:before="156" w:afterLines="50" w:after="156" w:line="480" w:lineRule="atLeast"/>
        <w:ind w:firstLineChars="200" w:firstLine="480"/>
        <w:jc w:val="left"/>
        <w:rPr>
          <w:rFonts w:ascii="宋体" w:eastAsia="宋体" w:hAnsi="宋体" w:cs="宋体"/>
          <w:color w:val="000000" w:themeColor="text1"/>
          <w:kern w:val="0"/>
          <w:sz w:val="24"/>
          <w:szCs w:val="24"/>
        </w:rPr>
      </w:pPr>
      <w:r w:rsidRPr="00C1636A">
        <w:rPr>
          <w:rFonts w:ascii="宋体" w:eastAsia="宋体" w:hAnsi="宋体" w:cs="宋体" w:hint="eastAsia"/>
          <w:color w:val="000000" w:themeColor="text1"/>
          <w:kern w:val="0"/>
          <w:sz w:val="24"/>
          <w:szCs w:val="24"/>
        </w:rPr>
        <w:t>实行内部退养的个人在其办理内部退养手续后至法定离退休年龄之间从原任职单位取得的工资、薪金，</w:t>
      </w:r>
      <w:r w:rsidRPr="00C1636A">
        <w:rPr>
          <w:rFonts w:ascii="宋体" w:eastAsia="宋体" w:hAnsi="宋体" w:cs="宋体" w:hint="eastAsia"/>
          <w:b/>
          <w:color w:val="000000" w:themeColor="text1"/>
          <w:kern w:val="0"/>
          <w:sz w:val="24"/>
          <w:szCs w:val="24"/>
        </w:rPr>
        <w:t>不属于离退休工资</w:t>
      </w:r>
      <w:r w:rsidRPr="00C1636A">
        <w:rPr>
          <w:rFonts w:ascii="宋体" w:eastAsia="宋体" w:hAnsi="宋体" w:cs="宋体" w:hint="eastAsia"/>
          <w:color w:val="000000" w:themeColor="text1"/>
          <w:kern w:val="0"/>
          <w:sz w:val="24"/>
          <w:szCs w:val="24"/>
        </w:rPr>
        <w:t>，应按“工资、薪金所得”项目计征个人所得税。</w:t>
      </w:r>
    </w:p>
    <w:p w14:paraId="70465DDE" w14:textId="5F92E28B" w:rsidR="00C1636A" w:rsidRPr="00C1636A" w:rsidRDefault="00C1636A" w:rsidP="00C1636A">
      <w:pPr>
        <w:widowControl/>
        <w:spacing w:beforeLines="50" w:before="156" w:afterLines="50" w:after="156" w:line="480" w:lineRule="atLeast"/>
        <w:ind w:firstLineChars="200" w:firstLine="480"/>
        <w:jc w:val="right"/>
        <w:rPr>
          <w:rFonts w:ascii="宋体" w:eastAsia="宋体" w:hAnsi="宋体"/>
          <w:color w:val="000000" w:themeColor="text1"/>
          <w:sz w:val="24"/>
          <w:szCs w:val="24"/>
          <w:shd w:val="clear" w:color="auto" w:fill="FFFFFF"/>
        </w:rPr>
      </w:pPr>
      <w:r w:rsidRPr="00C1636A">
        <w:rPr>
          <w:rFonts w:ascii="宋体" w:eastAsia="宋体" w:hAnsi="宋体" w:hint="eastAsia"/>
          <w:color w:val="000000" w:themeColor="text1"/>
          <w:sz w:val="24"/>
          <w:szCs w:val="24"/>
          <w:shd w:val="clear" w:color="auto" w:fill="FFFFFF"/>
        </w:rPr>
        <w:t>(</w:t>
      </w:r>
      <w:hyperlink r:id="rId13" w:history="1">
        <w:r w:rsidR="00AC2BBC" w:rsidRPr="00AC2BBC">
          <w:rPr>
            <w:rStyle w:val="a6"/>
            <w:rFonts w:ascii="宋体" w:eastAsia="宋体" w:hAnsi="宋体" w:hint="eastAsia"/>
            <w:sz w:val="24"/>
            <w:szCs w:val="24"/>
            <w:shd w:val="clear" w:color="auto" w:fill="FFFFFF"/>
          </w:rPr>
          <w:t>国税发[1999]58号</w:t>
        </w:r>
      </w:hyperlink>
      <w:r w:rsidRPr="00C1636A">
        <w:rPr>
          <w:rFonts w:ascii="宋体" w:eastAsia="宋体" w:hAnsi="宋体" w:hint="eastAsia"/>
          <w:color w:val="000000" w:themeColor="text1"/>
          <w:sz w:val="24"/>
          <w:szCs w:val="24"/>
          <w:shd w:val="clear" w:color="auto" w:fill="FFFFFF"/>
        </w:rPr>
        <w:t>第一条第一款)</w:t>
      </w:r>
    </w:p>
    <w:p w14:paraId="568C0E60" w14:textId="2566DD0B" w:rsidR="00C1636A" w:rsidRPr="00C1636A" w:rsidRDefault="00C1636A" w:rsidP="00C1636A">
      <w:pPr>
        <w:pStyle w:val="1"/>
        <w:spacing w:beforeLines="50" w:before="156" w:after="0" w:line="480" w:lineRule="atLeast"/>
        <w:rPr>
          <w:rFonts w:ascii="宋体" w:eastAsia="宋体" w:hAnsi="宋体"/>
          <w:color w:val="000000" w:themeColor="text1"/>
          <w:sz w:val="24"/>
          <w:szCs w:val="24"/>
        </w:rPr>
      </w:pPr>
      <w:bookmarkStart w:id="3" w:name="_Toc13327097"/>
      <w:r w:rsidRPr="00C1636A">
        <w:rPr>
          <w:rFonts w:ascii="宋体" w:eastAsia="宋体" w:hAnsi="宋体" w:hint="eastAsia"/>
          <w:color w:val="000000" w:themeColor="text1"/>
          <w:sz w:val="24"/>
          <w:szCs w:val="24"/>
        </w:rPr>
        <w:t>四、破产安置费收入</w:t>
      </w:r>
      <w:bookmarkEnd w:id="3"/>
    </w:p>
    <w:p w14:paraId="5610551C" w14:textId="77777777" w:rsidR="00C1636A" w:rsidRPr="00C1636A" w:rsidRDefault="00C1636A" w:rsidP="00C1636A">
      <w:pPr>
        <w:widowControl/>
        <w:shd w:val="clear" w:color="auto" w:fill="FFFFFF"/>
        <w:spacing w:beforeLines="50" w:before="156" w:afterLines="50" w:after="156" w:line="480" w:lineRule="atLeast"/>
        <w:ind w:firstLineChars="200" w:firstLine="480"/>
        <w:jc w:val="left"/>
        <w:rPr>
          <w:rFonts w:ascii="宋体" w:eastAsia="宋体" w:hAnsi="宋体" w:cs="宋体"/>
          <w:color w:val="000000" w:themeColor="text1"/>
          <w:kern w:val="0"/>
          <w:sz w:val="24"/>
          <w:szCs w:val="24"/>
        </w:rPr>
      </w:pPr>
      <w:r w:rsidRPr="00C1636A">
        <w:rPr>
          <w:rFonts w:ascii="宋体" w:eastAsia="宋体" w:hAnsi="宋体" w:cs="宋体" w:hint="eastAsia"/>
          <w:color w:val="000000" w:themeColor="text1"/>
          <w:kern w:val="0"/>
          <w:sz w:val="24"/>
          <w:szCs w:val="24"/>
        </w:rPr>
        <w:t>企业依照国家有关法律规定宣告破产，企业职工从该破产企业取得的一次性安置费收入，免征个人所得税。</w:t>
      </w:r>
    </w:p>
    <w:p w14:paraId="4B9E0403" w14:textId="7168FD46" w:rsidR="00C1636A" w:rsidRPr="00C1636A" w:rsidRDefault="00C1636A" w:rsidP="00C1636A">
      <w:pPr>
        <w:widowControl/>
        <w:shd w:val="clear" w:color="auto" w:fill="FFFFFF"/>
        <w:spacing w:beforeLines="50" w:before="156" w:afterLines="50" w:after="156" w:line="480" w:lineRule="atLeast"/>
        <w:ind w:firstLineChars="200" w:firstLine="480"/>
        <w:jc w:val="right"/>
        <w:rPr>
          <w:rFonts w:ascii="宋体" w:eastAsia="宋体" w:hAnsi="宋体" w:cs="宋体"/>
          <w:color w:val="000000" w:themeColor="text1"/>
          <w:kern w:val="0"/>
          <w:sz w:val="24"/>
          <w:szCs w:val="24"/>
        </w:rPr>
      </w:pPr>
      <w:r w:rsidRPr="00C1636A">
        <w:rPr>
          <w:rFonts w:ascii="宋体" w:eastAsia="宋体" w:hAnsi="宋体" w:hint="eastAsia"/>
          <w:color w:val="000000" w:themeColor="text1"/>
          <w:sz w:val="24"/>
          <w:szCs w:val="24"/>
        </w:rPr>
        <w:t>（</w:t>
      </w:r>
      <w:hyperlink r:id="rId14" w:history="1">
        <w:r w:rsidRPr="00AC2BBC">
          <w:rPr>
            <w:rStyle w:val="a6"/>
            <w:rFonts w:ascii="宋体" w:eastAsia="宋体" w:hAnsi="宋体" w:hint="eastAsia"/>
            <w:sz w:val="24"/>
            <w:szCs w:val="24"/>
            <w:shd w:val="clear" w:color="auto" w:fill="FFFFFF"/>
          </w:rPr>
          <w:t>财税[2001]157号</w:t>
        </w:r>
      </w:hyperlink>
      <w:r w:rsidRPr="00C1636A">
        <w:rPr>
          <w:rFonts w:ascii="宋体" w:eastAsia="宋体" w:hAnsi="宋体" w:hint="eastAsia"/>
          <w:color w:val="000000" w:themeColor="text1"/>
          <w:sz w:val="24"/>
          <w:szCs w:val="24"/>
          <w:shd w:val="clear" w:color="auto" w:fill="FFFFFF"/>
        </w:rPr>
        <w:t>第三条</w:t>
      </w:r>
      <w:r w:rsidRPr="00C1636A">
        <w:rPr>
          <w:rFonts w:ascii="宋体" w:eastAsia="宋体" w:hAnsi="宋体" w:hint="eastAsia"/>
          <w:color w:val="000000" w:themeColor="text1"/>
          <w:sz w:val="24"/>
          <w:szCs w:val="24"/>
        </w:rPr>
        <w:t>）</w:t>
      </w:r>
    </w:p>
    <w:p w14:paraId="080CD610" w14:textId="77777777" w:rsidR="00C1636A" w:rsidRPr="00C1636A" w:rsidRDefault="00C1636A" w:rsidP="00C1636A">
      <w:pPr>
        <w:pStyle w:val="1"/>
        <w:spacing w:beforeLines="50" w:before="156" w:after="0" w:line="480" w:lineRule="atLeast"/>
        <w:rPr>
          <w:rFonts w:ascii="宋体" w:eastAsia="宋体" w:hAnsi="宋体"/>
          <w:color w:val="000000" w:themeColor="text1"/>
          <w:sz w:val="24"/>
          <w:szCs w:val="24"/>
        </w:rPr>
      </w:pPr>
      <w:r w:rsidRPr="00C1636A">
        <w:rPr>
          <w:rFonts w:ascii="宋体" w:eastAsia="宋体" w:hAnsi="宋体" w:hint="eastAsia"/>
          <w:color w:val="000000" w:themeColor="text1"/>
          <w:sz w:val="24"/>
          <w:szCs w:val="24"/>
        </w:rPr>
        <w:t>附注：领取一次性补偿时实际缴纳的三险一金</w:t>
      </w:r>
    </w:p>
    <w:p w14:paraId="6F7CD7A9" w14:textId="77777777" w:rsidR="00C1636A" w:rsidRPr="00C1636A" w:rsidRDefault="00C1636A" w:rsidP="00C1636A">
      <w:pPr>
        <w:spacing w:beforeLines="50" w:before="156" w:afterLines="50" w:after="156" w:line="480" w:lineRule="atLeast"/>
        <w:ind w:firstLineChars="200" w:firstLine="480"/>
        <w:jc w:val="left"/>
        <w:rPr>
          <w:rFonts w:ascii="宋体" w:eastAsia="宋体" w:hAnsi="宋体" w:cs="宋体"/>
          <w:color w:val="000000" w:themeColor="text1"/>
          <w:kern w:val="0"/>
          <w:sz w:val="24"/>
          <w:szCs w:val="24"/>
        </w:rPr>
      </w:pPr>
      <w:r w:rsidRPr="00C1636A">
        <w:rPr>
          <w:rFonts w:ascii="宋体" w:eastAsia="宋体" w:hAnsi="宋体" w:cs="宋体" w:hint="eastAsia"/>
          <w:color w:val="000000" w:themeColor="text1"/>
          <w:kern w:val="0"/>
          <w:sz w:val="24"/>
          <w:szCs w:val="24"/>
        </w:rPr>
        <w:t>个人领取一次性补偿收入时按照国家和地方政府规定的比例实际缴纳的住房公积金、医疗保险费、基本养老保险费、失业保险费，可以在计征其一次性补</w:t>
      </w:r>
      <w:r w:rsidRPr="00C1636A">
        <w:rPr>
          <w:rFonts w:ascii="宋体" w:eastAsia="宋体" w:hAnsi="宋体" w:cs="宋体" w:hint="eastAsia"/>
          <w:color w:val="000000" w:themeColor="text1"/>
          <w:kern w:val="0"/>
          <w:sz w:val="24"/>
          <w:szCs w:val="24"/>
        </w:rPr>
        <w:lastRenderedPageBreak/>
        <w:t>偿收入的个人所得税时予以扣除。</w:t>
      </w:r>
    </w:p>
    <w:p w14:paraId="236A62E9" w14:textId="0D81B8AB" w:rsidR="00C1636A" w:rsidRPr="00C1636A" w:rsidRDefault="00C1636A" w:rsidP="00C1636A">
      <w:pPr>
        <w:spacing w:beforeLines="50" w:before="156" w:afterLines="50" w:after="156" w:line="480" w:lineRule="atLeast"/>
        <w:ind w:firstLineChars="200" w:firstLine="480"/>
        <w:jc w:val="right"/>
        <w:rPr>
          <w:rFonts w:ascii="宋体" w:eastAsia="宋体" w:hAnsi="宋体"/>
          <w:color w:val="000000" w:themeColor="text1"/>
          <w:sz w:val="24"/>
          <w:szCs w:val="24"/>
        </w:rPr>
      </w:pPr>
      <w:r w:rsidRPr="00C1636A">
        <w:rPr>
          <w:rFonts w:ascii="宋体" w:eastAsia="宋体" w:hAnsi="宋体" w:hint="eastAsia"/>
          <w:color w:val="000000" w:themeColor="text1"/>
          <w:sz w:val="24"/>
          <w:szCs w:val="24"/>
        </w:rPr>
        <w:t>（</w:t>
      </w:r>
      <w:hyperlink r:id="rId15" w:history="1">
        <w:r w:rsidR="00AC2BBC" w:rsidRPr="00AC2BBC">
          <w:rPr>
            <w:rStyle w:val="a6"/>
            <w:rFonts w:ascii="宋体" w:eastAsia="宋体" w:hAnsi="宋体" w:hint="eastAsia"/>
            <w:sz w:val="24"/>
            <w:szCs w:val="24"/>
            <w:shd w:val="clear" w:color="auto" w:fill="FFFFFF"/>
          </w:rPr>
          <w:t>财税[2001]157号</w:t>
        </w:r>
      </w:hyperlink>
      <w:bookmarkStart w:id="4" w:name="_GoBack"/>
      <w:bookmarkEnd w:id="4"/>
      <w:r w:rsidRPr="00C1636A">
        <w:rPr>
          <w:rFonts w:ascii="宋体" w:eastAsia="宋体" w:hAnsi="宋体" w:hint="eastAsia"/>
          <w:color w:val="000000" w:themeColor="text1"/>
          <w:sz w:val="24"/>
          <w:szCs w:val="24"/>
          <w:shd w:val="clear" w:color="auto" w:fill="FFFFFF"/>
        </w:rPr>
        <w:t>第二条</w:t>
      </w:r>
      <w:r w:rsidRPr="00C1636A">
        <w:rPr>
          <w:rFonts w:ascii="宋体" w:eastAsia="宋体" w:hAnsi="宋体" w:hint="eastAsia"/>
          <w:color w:val="000000" w:themeColor="text1"/>
          <w:sz w:val="24"/>
          <w:szCs w:val="24"/>
        </w:rPr>
        <w:t>）</w:t>
      </w:r>
    </w:p>
    <w:p w14:paraId="77958461" w14:textId="77777777" w:rsidR="007976C2" w:rsidRPr="004D6197" w:rsidRDefault="007976C2" w:rsidP="00120ED1">
      <w:pPr>
        <w:spacing w:beforeLines="50" w:before="156" w:line="480" w:lineRule="atLeast"/>
        <w:rPr>
          <w:rFonts w:asciiTheme="minorEastAsia" w:hAnsiTheme="minorEastAsia"/>
          <w:color w:val="000000" w:themeColor="text1"/>
          <w:sz w:val="24"/>
          <w:szCs w:val="24"/>
        </w:rPr>
      </w:pPr>
    </w:p>
    <w:sectPr w:rsidR="007976C2" w:rsidRPr="004D6197">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1E860" w14:textId="77777777" w:rsidR="00835285" w:rsidRDefault="00835285" w:rsidP="00B85160">
      <w:r>
        <w:separator/>
      </w:r>
    </w:p>
  </w:endnote>
  <w:endnote w:type="continuationSeparator" w:id="0">
    <w:p w14:paraId="092977A5" w14:textId="77777777" w:rsidR="00835285" w:rsidRDefault="00835285"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C2BB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C2BBC">
              <w:rPr>
                <w:b/>
                <w:bCs/>
                <w:noProof/>
              </w:rPr>
              <w:t>3</w:t>
            </w:r>
            <w:r>
              <w:rPr>
                <w:b/>
                <w:bCs/>
                <w:sz w:val="24"/>
                <w:szCs w:val="24"/>
              </w:rPr>
              <w:fldChar w:fldCharType="end"/>
            </w:r>
          </w:p>
        </w:sdtContent>
      </w:sdt>
    </w:sdtContent>
  </w:sdt>
  <w:p w14:paraId="7B7E0200" w14:textId="77777777" w:rsidR="00AC031C" w:rsidRDefault="00AC0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6ADF4" w14:textId="77777777" w:rsidR="00835285" w:rsidRDefault="00835285" w:rsidP="00B85160">
      <w:r>
        <w:separator/>
      </w:r>
    </w:p>
  </w:footnote>
  <w:footnote w:type="continuationSeparator" w:id="0">
    <w:p w14:paraId="22E92DC5" w14:textId="77777777" w:rsidR="00835285" w:rsidRDefault="00835285" w:rsidP="00B85160">
      <w:r>
        <w:continuationSeparator/>
      </w:r>
    </w:p>
  </w:footnote>
  <w:footnote w:id="1">
    <w:p w14:paraId="43614981" w14:textId="77777777" w:rsidR="00C1636A" w:rsidRPr="007126CC" w:rsidRDefault="00C1636A" w:rsidP="00C1636A">
      <w:pPr>
        <w:pStyle w:val="a5"/>
        <w:shd w:val="clear" w:color="auto" w:fill="FFFFFF"/>
        <w:ind w:firstLine="480"/>
        <w:rPr>
          <w:rFonts w:ascii="Tahoma" w:hAnsi="Tahoma" w:cs="Tahoma"/>
          <w:color w:val="333333"/>
          <w:sz w:val="21"/>
          <w:szCs w:val="21"/>
        </w:rPr>
      </w:pPr>
      <w:r>
        <w:rPr>
          <w:rStyle w:val="a9"/>
        </w:rPr>
        <w:footnoteRef/>
      </w:r>
      <w:r>
        <w:t xml:space="preserve"> </w:t>
      </w:r>
      <w:r w:rsidRPr="007126CC">
        <w:rPr>
          <w:rFonts w:ascii="Tahoma" w:hAnsi="Tahoma" w:cs="Tahoma"/>
          <w:color w:val="333333"/>
          <w:sz w:val="21"/>
          <w:szCs w:val="21"/>
        </w:rPr>
        <w:t>(</w:t>
      </w:r>
      <w:r w:rsidRPr="007126CC">
        <w:rPr>
          <w:rFonts w:ascii="Tahoma" w:hAnsi="Tahoma" w:cs="Tahoma"/>
          <w:color w:val="333333"/>
          <w:sz w:val="21"/>
          <w:szCs w:val="21"/>
        </w:rPr>
        <w:t>一</w:t>
      </w:r>
      <w:r w:rsidRPr="007126CC">
        <w:rPr>
          <w:rFonts w:ascii="Tahoma" w:hAnsi="Tahoma" w:cs="Tahoma"/>
          <w:color w:val="333333"/>
          <w:sz w:val="21"/>
          <w:szCs w:val="21"/>
        </w:rPr>
        <w:t>)</w:t>
      </w:r>
      <w:r w:rsidRPr="007126CC">
        <w:rPr>
          <w:rFonts w:ascii="Tahoma" w:hAnsi="Tahoma" w:cs="Tahoma"/>
          <w:color w:val="333333"/>
          <w:sz w:val="21"/>
          <w:szCs w:val="21"/>
        </w:rPr>
        <w:t>男年满六十周岁，女年满五十周岁，并且累计工龄满十年的</w:t>
      </w:r>
      <w:r w:rsidRPr="007126CC">
        <w:rPr>
          <w:rFonts w:ascii="Tahoma" w:hAnsi="Tahoma" w:cs="Tahoma"/>
          <w:color w:val="333333"/>
          <w:sz w:val="21"/>
          <w:szCs w:val="21"/>
        </w:rPr>
        <w:t>;</w:t>
      </w:r>
    </w:p>
    <w:p w14:paraId="064DB0EF" w14:textId="77777777" w:rsidR="00C1636A" w:rsidRPr="007126CC" w:rsidRDefault="00C1636A" w:rsidP="00C1636A">
      <w:pPr>
        <w:widowControl/>
        <w:shd w:val="clear" w:color="auto" w:fill="FFFFFF"/>
        <w:ind w:firstLine="480"/>
        <w:jc w:val="left"/>
        <w:rPr>
          <w:rFonts w:ascii="Tahoma" w:eastAsia="宋体" w:hAnsi="Tahoma" w:cs="Tahoma"/>
          <w:color w:val="333333"/>
          <w:kern w:val="0"/>
          <w:szCs w:val="21"/>
        </w:rPr>
      </w:pPr>
      <w:r w:rsidRPr="007126CC">
        <w:rPr>
          <w:rFonts w:ascii="Tahoma" w:eastAsia="宋体" w:hAnsi="Tahoma" w:cs="Tahoma"/>
          <w:color w:val="333333"/>
          <w:kern w:val="0"/>
          <w:szCs w:val="21"/>
        </w:rPr>
        <w:t>(</w:t>
      </w:r>
      <w:r w:rsidRPr="007126CC">
        <w:rPr>
          <w:rFonts w:ascii="Tahoma" w:eastAsia="宋体" w:hAnsi="Tahoma" w:cs="Tahoma"/>
          <w:color w:val="333333"/>
          <w:kern w:val="0"/>
          <w:szCs w:val="21"/>
        </w:rPr>
        <w:t>二</w:t>
      </w:r>
      <w:r w:rsidRPr="007126CC">
        <w:rPr>
          <w:rFonts w:ascii="Tahoma" w:eastAsia="宋体" w:hAnsi="Tahoma" w:cs="Tahoma"/>
          <w:color w:val="333333"/>
          <w:kern w:val="0"/>
          <w:szCs w:val="21"/>
        </w:rPr>
        <w:t>)</w:t>
      </w:r>
      <w:r w:rsidRPr="007126CC">
        <w:rPr>
          <w:rFonts w:ascii="Tahoma" w:eastAsia="宋体" w:hAnsi="Tahoma" w:cs="Tahoma"/>
          <w:color w:val="333333"/>
          <w:kern w:val="0"/>
          <w:szCs w:val="21"/>
        </w:rPr>
        <w:t>男年满五十五周岁、女年满四十五周岁，累计工龄满十年的，从事井下、高空、高温、特别繁重体力劳动或其他有害身体健康的工作</w:t>
      </w:r>
      <w:r w:rsidRPr="007126CC">
        <w:rPr>
          <w:rFonts w:ascii="Tahoma" w:eastAsia="宋体" w:hAnsi="Tahoma" w:cs="Tahoma"/>
          <w:color w:val="333333"/>
          <w:kern w:val="0"/>
          <w:szCs w:val="21"/>
        </w:rPr>
        <w:t>;</w:t>
      </w:r>
    </w:p>
    <w:p w14:paraId="6D8976D8" w14:textId="77777777" w:rsidR="00C1636A" w:rsidRPr="007126CC" w:rsidRDefault="00C1636A" w:rsidP="00C1636A">
      <w:pPr>
        <w:widowControl/>
        <w:shd w:val="clear" w:color="auto" w:fill="FFFFFF"/>
        <w:ind w:firstLine="480"/>
        <w:jc w:val="left"/>
        <w:rPr>
          <w:rFonts w:ascii="Tahoma" w:eastAsia="宋体" w:hAnsi="Tahoma" w:cs="Tahoma"/>
          <w:color w:val="333333"/>
          <w:kern w:val="0"/>
          <w:szCs w:val="21"/>
        </w:rPr>
      </w:pPr>
      <w:r w:rsidRPr="007126CC">
        <w:rPr>
          <w:rFonts w:ascii="Tahoma" w:eastAsia="宋体" w:hAnsi="Tahoma" w:cs="Tahoma"/>
          <w:color w:val="333333"/>
          <w:kern w:val="0"/>
          <w:szCs w:val="21"/>
        </w:rPr>
        <w:t>(</w:t>
      </w:r>
      <w:r w:rsidRPr="007126CC">
        <w:rPr>
          <w:rFonts w:ascii="Tahoma" w:eastAsia="宋体" w:hAnsi="Tahoma" w:cs="Tahoma"/>
          <w:color w:val="333333"/>
          <w:kern w:val="0"/>
          <w:szCs w:val="21"/>
        </w:rPr>
        <w:t>三</w:t>
      </w:r>
      <w:r w:rsidRPr="007126CC">
        <w:rPr>
          <w:rFonts w:ascii="Tahoma" w:eastAsia="宋体" w:hAnsi="Tahoma" w:cs="Tahoma"/>
          <w:color w:val="333333"/>
          <w:kern w:val="0"/>
          <w:szCs w:val="21"/>
        </w:rPr>
        <w:t>)</w:t>
      </w:r>
      <w:r w:rsidRPr="007126CC">
        <w:rPr>
          <w:rFonts w:ascii="Tahoma" w:eastAsia="宋体" w:hAnsi="Tahoma" w:cs="Tahoma"/>
          <w:color w:val="333333"/>
          <w:kern w:val="0"/>
          <w:szCs w:val="21"/>
        </w:rPr>
        <w:t>男年满五十周岁，女年满四十五周岁，累计工龄满十年，由医院证明，并经劳动鉴定委员会确认，完全丧失劳动能力的应当准予退休。</w:t>
      </w:r>
    </w:p>
    <w:p w14:paraId="4DA13B3F" w14:textId="77777777" w:rsidR="00C1636A" w:rsidRDefault="00835285" w:rsidP="00C1636A">
      <w:pPr>
        <w:pStyle w:val="a8"/>
      </w:pPr>
      <w:hyperlink r:id="rId1" w:history="1">
        <w:r w:rsidR="00C1636A" w:rsidRPr="00046190">
          <w:rPr>
            <w:rStyle w:val="a6"/>
          </w:rPr>
          <w:t>https://www.66law.cn/special/txnl/</w:t>
        </w:r>
      </w:hyperlink>
    </w:p>
    <w:p w14:paraId="3D6AC69D" w14:textId="77777777" w:rsidR="00C1636A" w:rsidRPr="007126CC" w:rsidRDefault="00C1636A" w:rsidP="00C1636A">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A3"/>
    <w:rsid w:val="000A2188"/>
    <w:rsid w:val="000D7506"/>
    <w:rsid w:val="000E4C51"/>
    <w:rsid w:val="000E645A"/>
    <w:rsid w:val="00110F0D"/>
    <w:rsid w:val="00120ED1"/>
    <w:rsid w:val="00157D91"/>
    <w:rsid w:val="0025698A"/>
    <w:rsid w:val="00271F70"/>
    <w:rsid w:val="00282F42"/>
    <w:rsid w:val="002F0CC6"/>
    <w:rsid w:val="00343AC6"/>
    <w:rsid w:val="00344585"/>
    <w:rsid w:val="00352E22"/>
    <w:rsid w:val="00374D70"/>
    <w:rsid w:val="004A7018"/>
    <w:rsid w:val="004C7AB4"/>
    <w:rsid w:val="004D6197"/>
    <w:rsid w:val="004D7508"/>
    <w:rsid w:val="004E1BD1"/>
    <w:rsid w:val="004E47C7"/>
    <w:rsid w:val="00556F6B"/>
    <w:rsid w:val="00581328"/>
    <w:rsid w:val="005869CB"/>
    <w:rsid w:val="005C4A0E"/>
    <w:rsid w:val="005F4A03"/>
    <w:rsid w:val="006D504C"/>
    <w:rsid w:val="007447CC"/>
    <w:rsid w:val="0077704B"/>
    <w:rsid w:val="0078767E"/>
    <w:rsid w:val="007976C2"/>
    <w:rsid w:val="007C45C0"/>
    <w:rsid w:val="007E6FBA"/>
    <w:rsid w:val="007F7A95"/>
    <w:rsid w:val="00835285"/>
    <w:rsid w:val="008A464A"/>
    <w:rsid w:val="008C46A5"/>
    <w:rsid w:val="0092066B"/>
    <w:rsid w:val="009504F8"/>
    <w:rsid w:val="009B0AB0"/>
    <w:rsid w:val="009B2C6B"/>
    <w:rsid w:val="00AC031C"/>
    <w:rsid w:val="00AC2BBC"/>
    <w:rsid w:val="00AD7224"/>
    <w:rsid w:val="00B37647"/>
    <w:rsid w:val="00B85160"/>
    <w:rsid w:val="00BB29AA"/>
    <w:rsid w:val="00BC5741"/>
    <w:rsid w:val="00BD35B5"/>
    <w:rsid w:val="00C1636A"/>
    <w:rsid w:val="00C17D36"/>
    <w:rsid w:val="00C56CE6"/>
    <w:rsid w:val="00CD65F8"/>
    <w:rsid w:val="00CF26B3"/>
    <w:rsid w:val="00D06CA3"/>
    <w:rsid w:val="00DA45AD"/>
    <w:rsid w:val="00DB7F97"/>
    <w:rsid w:val="00E6345F"/>
    <w:rsid w:val="00E72303"/>
    <w:rsid w:val="00F061E2"/>
    <w:rsid w:val="00F57C18"/>
    <w:rsid w:val="00F6394A"/>
    <w:rsid w:val="00F8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 w:type="paragraph" w:styleId="a8">
    <w:name w:val="footnote text"/>
    <w:basedOn w:val="a"/>
    <w:link w:val="Char1"/>
    <w:uiPriority w:val="99"/>
    <w:semiHidden/>
    <w:unhideWhenUsed/>
    <w:rsid w:val="00C1636A"/>
    <w:pPr>
      <w:snapToGrid w:val="0"/>
      <w:jc w:val="left"/>
    </w:pPr>
    <w:rPr>
      <w:sz w:val="18"/>
      <w:szCs w:val="18"/>
    </w:rPr>
  </w:style>
  <w:style w:type="character" w:customStyle="1" w:styleId="Char1">
    <w:name w:val="脚注文本 Char"/>
    <w:basedOn w:val="a0"/>
    <w:link w:val="a8"/>
    <w:uiPriority w:val="99"/>
    <w:semiHidden/>
    <w:rsid w:val="00C1636A"/>
    <w:rPr>
      <w:sz w:val="18"/>
      <w:szCs w:val="18"/>
    </w:rPr>
  </w:style>
  <w:style w:type="character" w:styleId="a9">
    <w:name w:val="footnote reference"/>
    <w:basedOn w:val="a0"/>
    <w:uiPriority w:val="99"/>
    <w:semiHidden/>
    <w:unhideWhenUsed/>
    <w:rsid w:val="00C163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 w:type="paragraph" w:styleId="a8">
    <w:name w:val="footnote text"/>
    <w:basedOn w:val="a"/>
    <w:link w:val="Char1"/>
    <w:uiPriority w:val="99"/>
    <w:semiHidden/>
    <w:unhideWhenUsed/>
    <w:rsid w:val="00C1636A"/>
    <w:pPr>
      <w:snapToGrid w:val="0"/>
      <w:jc w:val="left"/>
    </w:pPr>
    <w:rPr>
      <w:sz w:val="18"/>
      <w:szCs w:val="18"/>
    </w:rPr>
  </w:style>
  <w:style w:type="character" w:customStyle="1" w:styleId="Char1">
    <w:name w:val="脚注文本 Char"/>
    <w:basedOn w:val="a0"/>
    <w:link w:val="a8"/>
    <w:uiPriority w:val="99"/>
    <w:semiHidden/>
    <w:rsid w:val="00C1636A"/>
    <w:rPr>
      <w:sz w:val="18"/>
      <w:szCs w:val="18"/>
    </w:rPr>
  </w:style>
  <w:style w:type="character" w:styleId="a9">
    <w:name w:val="footnote reference"/>
    <w:basedOn w:val="a0"/>
    <w:uiPriority w:val="99"/>
    <w:semiHidden/>
    <w:unhideWhenUsed/>
    <w:rsid w:val="00C16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811.html" TargetMode="External"/><Relationship Id="rId13" Type="http://schemas.openxmlformats.org/officeDocument/2006/relationships/hyperlink" Target="http://ssfb86.com/index/News/detail/newsid/468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fb86.com/index/News/detail/newsid/229.html" TargetMode="External"/><Relationship Id="rId12" Type="http://schemas.openxmlformats.org/officeDocument/2006/relationships/hyperlink" Target="http://ssfb86.com/index/News/detail/newsid/4680.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229.html" TargetMode="External"/><Relationship Id="rId5" Type="http://schemas.openxmlformats.org/officeDocument/2006/relationships/footnotes" Target="footnotes.xml"/><Relationship Id="rId15" Type="http://schemas.openxmlformats.org/officeDocument/2006/relationships/hyperlink" Target="http://ssfb86.com/index/News/detail/newsid/4207.html" TargetMode="External"/><Relationship Id="rId10" Type="http://schemas.openxmlformats.org/officeDocument/2006/relationships/hyperlink" Target="http://ssfb86.com/index/News/detail/newsid/4680.html" TargetMode="External"/><Relationship Id="rId4" Type="http://schemas.openxmlformats.org/officeDocument/2006/relationships/webSettings" Target="webSettings.xml"/><Relationship Id="rId9" Type="http://schemas.openxmlformats.org/officeDocument/2006/relationships/hyperlink" Target="http://ssfb86.com/index/News/detail/newsid/229.html" TargetMode="External"/><Relationship Id="rId14" Type="http://schemas.openxmlformats.org/officeDocument/2006/relationships/hyperlink" Target="http://ssfb86.com/index/News/detail/newsid/420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66law.cn/special/txn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2020-07-13T11:39:00Z</dcterms:created>
  <dcterms:modified xsi:type="dcterms:W3CDTF">2020-10-16T12:10:00Z</dcterms:modified>
</cp:coreProperties>
</file>