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23F4F261"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4</w:t>
      </w:r>
      <w:r w:rsidR="006F62C8">
        <w:rPr>
          <w:rFonts w:asciiTheme="minorEastAsia" w:hAnsiTheme="minorEastAsia"/>
          <w:color w:val="000000" w:themeColor="text1"/>
          <w:sz w:val="44"/>
          <w:szCs w:val="44"/>
        </w:rPr>
        <w:t>.</w:t>
      </w:r>
      <w:r w:rsidR="00DF6112">
        <w:rPr>
          <w:rFonts w:asciiTheme="minorEastAsia" w:hAnsiTheme="minorEastAsia" w:hint="eastAsia"/>
          <w:color w:val="000000" w:themeColor="text1"/>
          <w:sz w:val="44"/>
          <w:szCs w:val="44"/>
        </w:rPr>
        <w:t>4</w:t>
      </w:r>
      <w:r w:rsidR="0000242B">
        <w:rPr>
          <w:rFonts w:asciiTheme="minorEastAsia" w:hAnsiTheme="minorEastAsia"/>
          <w:color w:val="000000" w:themeColor="text1"/>
          <w:sz w:val="44"/>
          <w:szCs w:val="44"/>
        </w:rPr>
        <w:t>.</w:t>
      </w:r>
      <w:r w:rsidR="00154D8D">
        <w:rPr>
          <w:rFonts w:asciiTheme="minorEastAsia" w:hAnsiTheme="minorEastAsia" w:hint="eastAsia"/>
          <w:color w:val="000000" w:themeColor="text1"/>
          <w:sz w:val="44"/>
          <w:szCs w:val="44"/>
        </w:rPr>
        <w:t>3.</w:t>
      </w:r>
      <w:r w:rsidR="000E5CB3">
        <w:rPr>
          <w:rFonts w:asciiTheme="minorEastAsia" w:hAnsiTheme="minorEastAsia" w:hint="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0E5CB3" w:rsidRPr="000E5CB3">
        <w:rPr>
          <w:rFonts w:asciiTheme="minorEastAsia" w:hAnsiTheme="minorEastAsia" w:hint="eastAsia"/>
          <w:color w:val="000000" w:themeColor="text1"/>
          <w:sz w:val="44"/>
          <w:szCs w:val="44"/>
        </w:rPr>
        <w:t>工作要求</w:t>
      </w:r>
    </w:p>
    <w:p w14:paraId="1EA14B52" w14:textId="059DE596" w:rsidR="00C5423F" w:rsidRDefault="00C5423F" w:rsidP="007C5213">
      <w:pPr>
        <w:pStyle w:val="a6"/>
        <w:shd w:val="clear" w:color="auto" w:fill="FFFFFF"/>
        <w:spacing w:beforeLines="50" w:before="156" w:beforeAutospacing="0" w:after="0" w:afterAutospacing="0" w:line="480" w:lineRule="atLeast"/>
        <w:ind w:firstLine="480"/>
        <w:rPr>
          <w:rFonts w:asciiTheme="minorEastAsia" w:eastAsiaTheme="minorEastAsia" w:hAnsiTheme="minorEastAsia" w:cstheme="minorBidi"/>
          <w:b/>
          <w:bCs/>
          <w:color w:val="000000" w:themeColor="text1"/>
          <w:kern w:val="44"/>
        </w:rPr>
      </w:pPr>
    </w:p>
    <w:p w14:paraId="16D329A3"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自应用房地产评估技术加强存量房交易税收征管工作（以下简称存量房评估工作）开展以来，各地税务机关高度重视，积极推动工作进展，健全工作机制，强化审核把关，降低了存量房交易“阴阳合同”引发的税收风险，提升了税收征管的质量和效率。但是，随着存量房评估工作的全面推开，在征管过程中又出现了一些新情况新问题，需要从制度和技术等方面加以完善和解决。为进一步加强存量房交易税收征管，现就有关要求通知如下：</w:t>
      </w:r>
    </w:p>
    <w:p w14:paraId="3DF117F9" w14:textId="77777777" w:rsidR="000E5CB3" w:rsidRPr="000E5CB3" w:rsidRDefault="000E5CB3" w:rsidP="000E5CB3">
      <w:pPr>
        <w:pStyle w:val="1"/>
        <w:spacing w:before="50" w:after="0" w:line="480" w:lineRule="atLeast"/>
        <w:rPr>
          <w:rFonts w:asciiTheme="minorEastAsia" w:hAnsiTheme="minorEastAsia"/>
          <w:color w:val="000000" w:themeColor="text1"/>
          <w:sz w:val="24"/>
          <w:szCs w:val="24"/>
        </w:rPr>
      </w:pPr>
      <w:r w:rsidRPr="000E5CB3">
        <w:rPr>
          <w:rFonts w:asciiTheme="minorEastAsia" w:hAnsiTheme="minorEastAsia" w:hint="eastAsia"/>
          <w:color w:val="000000" w:themeColor="text1"/>
          <w:sz w:val="24"/>
          <w:szCs w:val="24"/>
        </w:rPr>
        <w:t>一、完善评估机制，提升存量房评估工作水平</w:t>
      </w:r>
    </w:p>
    <w:p w14:paraId="6531896A"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存量房评估工作的持续稳定运行，是一个长期的、不断完善的过程。各地要在实现全面推广的基础上，不断健全工作制度，完善技术标准，着力提升存量房评估工作水平。</w:t>
      </w:r>
    </w:p>
    <w:p w14:paraId="38719F2B" w14:textId="77777777"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（一）健全评估工作制度</w:t>
      </w:r>
    </w:p>
    <w:p w14:paraId="79F41187"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建立健全数据管理制度，评估技术标准专家会审制度，评估结果检验制度，确保税源基础数据完整与准确，技术标准符合当地实际情况，评估结果准确并具有公信力。要完善评估争议解决机制，妥善处理涉税争议，保证存量房评估工作持续稳定运行。</w:t>
      </w:r>
    </w:p>
    <w:p w14:paraId="2351713D" w14:textId="53735A47" w:rsidR="000E5CB3" w:rsidRPr="000E5CB3" w:rsidRDefault="000E5CB3" w:rsidP="000E5CB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17052417"/>
      <w:r w:rsidRPr="000E5CB3">
        <w:rPr>
          <w:rFonts w:asciiTheme="minorEastAsia" w:hAnsiTheme="minorEastAsia" w:hint="eastAsia"/>
          <w:color w:val="000000" w:themeColor="text1"/>
          <w:sz w:val="24"/>
          <w:szCs w:val="24"/>
          <w:shd w:val="clear" w:color="auto" w:fill="FFFFFF"/>
        </w:rPr>
        <w:t>（</w:t>
      </w:r>
      <w:hyperlink r:id="rId9" w:history="1">
        <w:r w:rsidRPr="005671F0">
          <w:rPr>
            <w:rStyle w:val="a5"/>
            <w:rFonts w:asciiTheme="minorEastAsia" w:hAnsiTheme="minorEastAsia" w:hint="eastAsia"/>
            <w:sz w:val="24"/>
            <w:szCs w:val="24"/>
            <w:shd w:val="clear" w:color="auto" w:fill="FFFFFF"/>
          </w:rPr>
          <w:t>税总发[2013]129号</w:t>
        </w:r>
      </w:hyperlink>
      <w:r w:rsidRPr="000E5CB3">
        <w:rPr>
          <w:rFonts w:asciiTheme="minorEastAsia" w:hAnsiTheme="minorEastAsia" w:hint="eastAsia"/>
          <w:color w:val="000000" w:themeColor="text1"/>
          <w:sz w:val="24"/>
          <w:szCs w:val="24"/>
          <w:shd w:val="clear" w:color="auto" w:fill="FFFFFF"/>
        </w:rPr>
        <w:t>第一条第一款）</w:t>
      </w:r>
    </w:p>
    <w:bookmarkEnd w:id="0"/>
    <w:p w14:paraId="0671FB1E" w14:textId="77777777"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（二）完善评估技术标准</w:t>
      </w:r>
    </w:p>
    <w:p w14:paraId="5DBB6C16"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根据市场变化情况，完善评估技术标准,保证评估结果符合市场实际情况。要采取多种方式监测房地产市场价格情况，根据市场变化情况，及时修正评估模型（当本地房地产价格指数连续3个月环比变动幅度累计超过5%时，应对评估模型进行调整）；要分析本地评估分区情况，原分区较粗或情况发生变化的，要重新调整分区，以保证同一分区内房地产具有较强的同质性和评估结果的准确性。</w:t>
      </w:r>
    </w:p>
    <w:p w14:paraId="7A2E7F0D" w14:textId="1667299D" w:rsidR="000E5CB3" w:rsidRPr="000E5CB3" w:rsidRDefault="000E5CB3" w:rsidP="000E5CB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E5CB3">
        <w:rPr>
          <w:rFonts w:asciiTheme="minorEastAsia" w:hAnsiTheme="minorEastAsia" w:hint="eastAsia"/>
          <w:color w:val="000000" w:themeColor="text1"/>
          <w:sz w:val="24"/>
          <w:szCs w:val="24"/>
          <w:shd w:val="clear" w:color="auto" w:fill="FFFFFF"/>
        </w:rPr>
        <w:lastRenderedPageBreak/>
        <w:t>（</w:t>
      </w:r>
      <w:hyperlink r:id="rId10" w:history="1">
        <w:r w:rsidR="005671F0" w:rsidRPr="005671F0">
          <w:rPr>
            <w:rStyle w:val="a5"/>
            <w:rFonts w:asciiTheme="minorEastAsia" w:hAnsiTheme="minorEastAsia" w:hint="eastAsia"/>
            <w:sz w:val="24"/>
            <w:szCs w:val="24"/>
            <w:shd w:val="clear" w:color="auto" w:fill="FFFFFF"/>
          </w:rPr>
          <w:t>税总发[2013]129号</w:t>
        </w:r>
      </w:hyperlink>
      <w:r w:rsidRPr="000E5CB3">
        <w:rPr>
          <w:rFonts w:asciiTheme="minorEastAsia" w:hAnsiTheme="minorEastAsia" w:hint="eastAsia"/>
          <w:color w:val="000000" w:themeColor="text1"/>
          <w:sz w:val="24"/>
          <w:szCs w:val="24"/>
          <w:shd w:val="clear" w:color="auto" w:fill="FFFFFF"/>
        </w:rPr>
        <w:t>第一条第二款）</w:t>
      </w:r>
    </w:p>
    <w:p w14:paraId="64CD079D" w14:textId="77777777"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（三）严格评估值管理</w:t>
      </w:r>
    </w:p>
    <w:p w14:paraId="28A9EF79"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严格评估结果管理，明确管理权限。除征管工作需要外，严禁以任何理由、任何方式向纳税人及其代理人公开或透露存量房评估值。要逐步缩小评估值与市场价格之间的差距，在条件允许时应取消下浮比例。自2015年1月1日起，各地下浮比例不得超过10%。</w:t>
      </w:r>
    </w:p>
    <w:p w14:paraId="1A54BBD8" w14:textId="64002F92" w:rsidR="000E5CB3" w:rsidRPr="000E5CB3" w:rsidRDefault="000E5CB3" w:rsidP="000E5CB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E5CB3">
        <w:rPr>
          <w:rFonts w:asciiTheme="minorEastAsia" w:hAnsiTheme="minorEastAsia" w:hint="eastAsia"/>
          <w:color w:val="000000" w:themeColor="text1"/>
          <w:sz w:val="24"/>
          <w:szCs w:val="24"/>
          <w:shd w:val="clear" w:color="auto" w:fill="FFFFFF"/>
        </w:rPr>
        <w:t>（</w:t>
      </w:r>
      <w:hyperlink r:id="rId11" w:history="1">
        <w:r w:rsidR="005671F0" w:rsidRPr="005671F0">
          <w:rPr>
            <w:rStyle w:val="a5"/>
            <w:rFonts w:asciiTheme="minorEastAsia" w:hAnsiTheme="minorEastAsia" w:hint="eastAsia"/>
            <w:sz w:val="24"/>
            <w:szCs w:val="24"/>
            <w:shd w:val="clear" w:color="auto" w:fill="FFFFFF"/>
          </w:rPr>
          <w:t>税总发[2013]129号</w:t>
        </w:r>
      </w:hyperlink>
      <w:r w:rsidRPr="000E5CB3">
        <w:rPr>
          <w:rFonts w:asciiTheme="minorEastAsia" w:hAnsiTheme="minorEastAsia" w:hint="eastAsia"/>
          <w:color w:val="000000" w:themeColor="text1"/>
          <w:sz w:val="24"/>
          <w:szCs w:val="24"/>
          <w:shd w:val="clear" w:color="auto" w:fill="FFFFFF"/>
        </w:rPr>
        <w:t>第一条第三款）</w:t>
      </w:r>
    </w:p>
    <w:p w14:paraId="3FB6FA80" w14:textId="77777777" w:rsidR="000E5CB3" w:rsidRPr="000E5CB3" w:rsidRDefault="000E5CB3" w:rsidP="000E5CB3">
      <w:pPr>
        <w:pStyle w:val="1"/>
        <w:spacing w:before="50" w:after="0" w:line="480" w:lineRule="atLeast"/>
        <w:rPr>
          <w:rFonts w:asciiTheme="minorEastAsia" w:hAnsiTheme="minorEastAsia"/>
          <w:color w:val="000000" w:themeColor="text1"/>
          <w:sz w:val="24"/>
          <w:szCs w:val="24"/>
        </w:rPr>
      </w:pPr>
      <w:r w:rsidRPr="000E5CB3">
        <w:rPr>
          <w:rFonts w:asciiTheme="minorEastAsia" w:hAnsiTheme="minorEastAsia" w:hint="eastAsia"/>
          <w:color w:val="000000" w:themeColor="text1"/>
          <w:sz w:val="24"/>
          <w:szCs w:val="24"/>
        </w:rPr>
        <w:t>二、加强内部管理，防范存量房交易税收征管风险</w:t>
      </w:r>
    </w:p>
    <w:p w14:paraId="69B4E0B5" w14:textId="4C4E5DEF"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要按照</w:t>
      </w:r>
      <w:r w:rsidR="005671F0" w:rsidRPr="005671F0">
        <w:rPr>
          <w:rFonts w:hint="eastAsia"/>
          <w:color w:val="333333"/>
          <w:sz w:val="24"/>
          <w:szCs w:val="24"/>
          <w:shd w:val="clear" w:color="auto" w:fill="FFFFFF"/>
        </w:rPr>
        <w:t>《国家税务总局关于印发〈房地产税收一体化管理业务规程〉的通知》（</w:t>
      </w:r>
      <w:hyperlink r:id="rId12" w:tgtFrame="_self" w:history="1">
        <w:r w:rsidR="005671F0" w:rsidRPr="005671F0">
          <w:rPr>
            <w:rFonts w:hint="eastAsia"/>
            <w:color w:val="4788D7"/>
            <w:sz w:val="24"/>
            <w:szCs w:val="24"/>
            <w:u w:val="single"/>
            <w:shd w:val="clear" w:color="auto" w:fill="FFFFFF"/>
          </w:rPr>
          <w:t>国税发</w:t>
        </w:r>
        <w:r w:rsidR="005671F0" w:rsidRPr="005671F0">
          <w:rPr>
            <w:rFonts w:hint="eastAsia"/>
            <w:color w:val="4788D7"/>
            <w:sz w:val="24"/>
            <w:szCs w:val="24"/>
            <w:u w:val="single"/>
            <w:shd w:val="clear" w:color="auto" w:fill="FFFFFF"/>
          </w:rPr>
          <w:t>[2007]114</w:t>
        </w:r>
        <w:r w:rsidR="005671F0" w:rsidRPr="005671F0">
          <w:rPr>
            <w:rFonts w:hint="eastAsia"/>
            <w:color w:val="4788D7"/>
            <w:sz w:val="24"/>
            <w:szCs w:val="24"/>
            <w:u w:val="single"/>
            <w:shd w:val="clear" w:color="auto" w:fill="FFFFFF"/>
          </w:rPr>
          <w:t>号</w:t>
        </w:r>
      </w:hyperlink>
      <w:r w:rsidR="005671F0" w:rsidRPr="005671F0">
        <w:rPr>
          <w:rFonts w:hint="eastAsia"/>
          <w:color w:val="333333"/>
          <w:sz w:val="24"/>
          <w:szCs w:val="24"/>
          <w:shd w:val="clear" w:color="auto" w:fill="FFFFFF"/>
        </w:rPr>
        <w:t>）</w:t>
      </w:r>
      <w:r w:rsidRPr="000E5CB3">
        <w:rPr>
          <w:rFonts w:asciiTheme="minorEastAsia" w:hAnsiTheme="minorEastAsia" w:cs="宋体" w:hint="eastAsia"/>
          <w:color w:val="000000" w:themeColor="text1"/>
          <w:kern w:val="0"/>
          <w:sz w:val="24"/>
          <w:szCs w:val="24"/>
        </w:rPr>
        <w:t>的要求，优化存量房交易税收征管流程，完善岗责体系，对工作中遇到的新情况新问题，及时研究解决办法，进一步强化存量房交易税收征管工作。</w:t>
      </w:r>
    </w:p>
    <w:p w14:paraId="5B1D6249" w14:textId="77777777"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（一）查找征管风险点</w:t>
      </w:r>
    </w:p>
    <w:p w14:paraId="11505EE4"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组织人员全面评估存量房税收征管流程，查找征管风险点，提出优化的途径和办法。对于多数纳税人申报的交易价格低于评估值或与评估值基本相等的，要认真分析产生的原因；对存在虚假申报风险的，要及时采取措施加以防范。在具备条件的地区，要将税收征管模块嵌入住建部门和国土部门的办证流程当中，实现税务机关办税流程和住建部门、国土部门办证流程的无缝衔接，通过信息化手段落实“先税后证”制度。</w:t>
      </w:r>
    </w:p>
    <w:p w14:paraId="53551889" w14:textId="5B36893F" w:rsidR="000E5CB3" w:rsidRPr="000E5CB3" w:rsidRDefault="000E5CB3" w:rsidP="000E5CB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E5CB3">
        <w:rPr>
          <w:rFonts w:asciiTheme="minorEastAsia" w:hAnsiTheme="minorEastAsia" w:hint="eastAsia"/>
          <w:color w:val="000000" w:themeColor="text1"/>
          <w:sz w:val="24"/>
          <w:szCs w:val="24"/>
          <w:shd w:val="clear" w:color="auto" w:fill="FFFFFF"/>
        </w:rPr>
        <w:t>（</w:t>
      </w:r>
      <w:hyperlink r:id="rId13" w:history="1">
        <w:r w:rsidR="005671F0" w:rsidRPr="005671F0">
          <w:rPr>
            <w:rStyle w:val="a5"/>
            <w:rFonts w:asciiTheme="minorEastAsia" w:hAnsiTheme="minorEastAsia" w:hint="eastAsia"/>
            <w:sz w:val="24"/>
            <w:szCs w:val="24"/>
            <w:shd w:val="clear" w:color="auto" w:fill="FFFFFF"/>
          </w:rPr>
          <w:t>税总发[2013]129号</w:t>
        </w:r>
      </w:hyperlink>
      <w:r w:rsidRPr="000E5CB3">
        <w:rPr>
          <w:rFonts w:asciiTheme="minorEastAsia" w:hAnsiTheme="minorEastAsia" w:hint="eastAsia"/>
          <w:color w:val="000000" w:themeColor="text1"/>
          <w:sz w:val="24"/>
          <w:szCs w:val="24"/>
          <w:shd w:val="clear" w:color="auto" w:fill="FFFFFF"/>
        </w:rPr>
        <w:t>第二条第一款）</w:t>
      </w:r>
    </w:p>
    <w:p w14:paraId="029B1318" w14:textId="77777777"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（二）完善岗责体系</w:t>
      </w:r>
    </w:p>
    <w:p w14:paraId="12383299"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按照既方便纳税人，又强化内部管理的原则，实行一个窗口受理、不同岗位分工负责的方式，加强存量房交易税收管理。要根据征管流程，相应设立申报受理、评估比对、税款征收、争议处理等岗位，明确岗位职责，实施岗位交流，建立监督制约和责任追究制度，避免和防范失职渎职等违法违纪行为的发生。</w:t>
      </w:r>
    </w:p>
    <w:p w14:paraId="10F9D7E0" w14:textId="5C1F829E" w:rsidR="000E5CB3" w:rsidRPr="000E5CB3" w:rsidRDefault="000E5CB3" w:rsidP="000E5CB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E5CB3">
        <w:rPr>
          <w:rFonts w:asciiTheme="minorEastAsia" w:hAnsiTheme="minorEastAsia" w:hint="eastAsia"/>
          <w:color w:val="000000" w:themeColor="text1"/>
          <w:sz w:val="24"/>
          <w:szCs w:val="24"/>
          <w:shd w:val="clear" w:color="auto" w:fill="FFFFFF"/>
        </w:rPr>
        <w:t>（</w:t>
      </w:r>
      <w:hyperlink r:id="rId14" w:history="1">
        <w:r w:rsidR="005671F0" w:rsidRPr="005671F0">
          <w:rPr>
            <w:rStyle w:val="a5"/>
            <w:rFonts w:asciiTheme="minorEastAsia" w:hAnsiTheme="minorEastAsia" w:hint="eastAsia"/>
            <w:sz w:val="24"/>
            <w:szCs w:val="24"/>
            <w:shd w:val="clear" w:color="auto" w:fill="FFFFFF"/>
          </w:rPr>
          <w:t>税总发[2013]129号</w:t>
        </w:r>
      </w:hyperlink>
      <w:r w:rsidRPr="000E5CB3">
        <w:rPr>
          <w:rFonts w:asciiTheme="minorEastAsia" w:hAnsiTheme="minorEastAsia" w:hint="eastAsia"/>
          <w:color w:val="000000" w:themeColor="text1"/>
          <w:sz w:val="24"/>
          <w:szCs w:val="24"/>
          <w:shd w:val="clear" w:color="auto" w:fill="FFFFFF"/>
        </w:rPr>
        <w:t>第二条第二款）</w:t>
      </w:r>
    </w:p>
    <w:p w14:paraId="5BDB7102" w14:textId="77777777"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lastRenderedPageBreak/>
        <w:t>（三）密切部门协作</w:t>
      </w:r>
    </w:p>
    <w:p w14:paraId="0C8B4241"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主动与当地住建、国土等部门进行沟通协商，进一步完善部门协作机制，实现信息联网与数据共享，使产权信息、完税信息等相关信息能够在部门间进行实时查询和比对，共同加强存量房交易税收的征收管理。要与当地住建部门、工商管理部门密切配合，加强对房地产中介机构的管理，整顿和规范房地产中介市场秩序。对于在存量房税收征管中发现的涉嫌违法违纪的房地产中介机构和经纪人名单，及时向住建部门和工商部门通报，并将其列入不诚信名单，在其代理办税时予以严格审核。</w:t>
      </w:r>
    </w:p>
    <w:p w14:paraId="55797A00" w14:textId="79724EF3" w:rsidR="000E5CB3" w:rsidRPr="000E5CB3" w:rsidRDefault="000E5CB3" w:rsidP="000E5CB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E5CB3">
        <w:rPr>
          <w:rFonts w:asciiTheme="minorEastAsia" w:hAnsiTheme="minorEastAsia" w:hint="eastAsia"/>
          <w:color w:val="000000" w:themeColor="text1"/>
          <w:sz w:val="24"/>
          <w:szCs w:val="24"/>
          <w:shd w:val="clear" w:color="auto" w:fill="FFFFFF"/>
        </w:rPr>
        <w:t>（</w:t>
      </w:r>
      <w:hyperlink r:id="rId15" w:history="1">
        <w:r w:rsidR="005671F0" w:rsidRPr="005671F0">
          <w:rPr>
            <w:rStyle w:val="a5"/>
            <w:rFonts w:asciiTheme="minorEastAsia" w:hAnsiTheme="minorEastAsia" w:hint="eastAsia"/>
            <w:sz w:val="24"/>
            <w:szCs w:val="24"/>
            <w:shd w:val="clear" w:color="auto" w:fill="FFFFFF"/>
          </w:rPr>
          <w:t>税总发[2013]129号</w:t>
        </w:r>
      </w:hyperlink>
      <w:r w:rsidRPr="000E5CB3">
        <w:rPr>
          <w:rFonts w:asciiTheme="minorEastAsia" w:hAnsiTheme="minorEastAsia" w:hint="eastAsia"/>
          <w:color w:val="000000" w:themeColor="text1"/>
          <w:sz w:val="24"/>
          <w:szCs w:val="24"/>
          <w:shd w:val="clear" w:color="auto" w:fill="FFFFFF"/>
        </w:rPr>
        <w:t>第二条第三款）</w:t>
      </w:r>
    </w:p>
    <w:p w14:paraId="304A294B" w14:textId="77777777" w:rsidR="000E5CB3" w:rsidRPr="000E5CB3" w:rsidRDefault="000E5CB3" w:rsidP="000E5CB3">
      <w:pPr>
        <w:pStyle w:val="1"/>
        <w:spacing w:before="50" w:after="0" w:line="480" w:lineRule="atLeast"/>
        <w:rPr>
          <w:rFonts w:asciiTheme="minorEastAsia" w:hAnsiTheme="minorEastAsia"/>
          <w:color w:val="000000" w:themeColor="text1"/>
          <w:sz w:val="24"/>
          <w:szCs w:val="24"/>
        </w:rPr>
      </w:pPr>
      <w:r w:rsidRPr="000E5CB3">
        <w:rPr>
          <w:rFonts w:asciiTheme="minorEastAsia" w:hAnsiTheme="minorEastAsia" w:hint="eastAsia"/>
          <w:color w:val="000000" w:themeColor="text1"/>
          <w:sz w:val="24"/>
          <w:szCs w:val="24"/>
        </w:rPr>
        <w:t>三、加强考核和宣传，营造依法纳税社会环境</w:t>
      </w:r>
    </w:p>
    <w:p w14:paraId="281EED2D"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要跟踪了解存量房交易税收征管工作开展情况。上级地方税务机关要加强对下级地方税务机关的指导和考核。要加强对纳税人的宣传和引导，形成依法诚信纳税的良好社会氛围。</w:t>
      </w:r>
    </w:p>
    <w:p w14:paraId="457DA366" w14:textId="77777777"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（一）加强对下级地方税务机关的指导和考核</w:t>
      </w:r>
    </w:p>
    <w:p w14:paraId="7FF267E7"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根据本地存量房交易税收征管工作开展情况，定期组织开展风险排查工作。要进一步加强对风险防控机制的检查指导及对一线征管人员的廉政教育。上级地方税务机关要将存量房评估工作列入对下级地方税务机关的绩效考核工作重点内容，从完善机制、健全制度、细化评估分区、修正评估模型、严格评估值管理等方面建立绩效考核指标，加强监管，提高工作效能。</w:t>
      </w:r>
    </w:p>
    <w:p w14:paraId="1188FFAF" w14:textId="40CB0FF3" w:rsidR="000E5CB3" w:rsidRPr="000E5CB3" w:rsidRDefault="000E5CB3" w:rsidP="000E5CB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E5CB3">
        <w:rPr>
          <w:rFonts w:asciiTheme="minorEastAsia" w:hAnsiTheme="minorEastAsia" w:hint="eastAsia"/>
          <w:color w:val="000000" w:themeColor="text1"/>
          <w:sz w:val="24"/>
          <w:szCs w:val="24"/>
          <w:shd w:val="clear" w:color="auto" w:fill="FFFFFF"/>
        </w:rPr>
        <w:t>（</w:t>
      </w:r>
      <w:hyperlink r:id="rId16" w:history="1">
        <w:r w:rsidR="005671F0" w:rsidRPr="005671F0">
          <w:rPr>
            <w:rStyle w:val="a5"/>
            <w:rFonts w:asciiTheme="minorEastAsia" w:hAnsiTheme="minorEastAsia" w:hint="eastAsia"/>
            <w:sz w:val="24"/>
            <w:szCs w:val="24"/>
            <w:shd w:val="clear" w:color="auto" w:fill="FFFFFF"/>
          </w:rPr>
          <w:t>税总发[2013]129号</w:t>
        </w:r>
      </w:hyperlink>
      <w:r w:rsidRPr="000E5CB3">
        <w:rPr>
          <w:rFonts w:asciiTheme="minorEastAsia" w:hAnsiTheme="minorEastAsia" w:hint="eastAsia"/>
          <w:color w:val="000000" w:themeColor="text1"/>
          <w:sz w:val="24"/>
          <w:szCs w:val="24"/>
          <w:shd w:val="clear" w:color="auto" w:fill="FFFFFF"/>
        </w:rPr>
        <w:t>第三条第一款）</w:t>
      </w:r>
    </w:p>
    <w:p w14:paraId="4FC58C4E" w14:textId="77777777"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（二）加强对纳税人的宣传和引导</w:t>
      </w:r>
    </w:p>
    <w:p w14:paraId="68A45ADC" w14:textId="77777777" w:rsidR="000E5CB3" w:rsidRPr="000E5CB3" w:rsidRDefault="000E5CB3" w:rsidP="000E5C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5CB3">
        <w:rPr>
          <w:rFonts w:asciiTheme="minorEastAsia" w:hAnsiTheme="minorEastAsia" w:cs="宋体" w:hint="eastAsia"/>
          <w:color w:val="000000" w:themeColor="text1"/>
          <w:kern w:val="0"/>
          <w:sz w:val="24"/>
          <w:szCs w:val="24"/>
        </w:rPr>
        <w:t>要加大对存量房交易税收政策和征管措施的宣传力度，通过在公共场所张贴公告、在媒体刊登解读等形式，向纳税人进行广泛宣传，使纳税人了解相关工作的法律依据和现实意义，以及虚假申报交易价格将带来的风险和应承担的法律责任，引导纳税人依法诚信纳税。</w:t>
      </w:r>
    </w:p>
    <w:p w14:paraId="043E918D" w14:textId="4722F579" w:rsidR="000E5CB3" w:rsidRPr="000E5CB3" w:rsidRDefault="000E5CB3" w:rsidP="000E5CB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E5CB3">
        <w:rPr>
          <w:rFonts w:asciiTheme="minorEastAsia" w:hAnsiTheme="minorEastAsia" w:hint="eastAsia"/>
          <w:color w:val="000000" w:themeColor="text1"/>
          <w:sz w:val="24"/>
          <w:szCs w:val="24"/>
          <w:shd w:val="clear" w:color="auto" w:fill="FFFFFF"/>
        </w:rPr>
        <w:t>（</w:t>
      </w:r>
      <w:hyperlink r:id="rId17" w:history="1">
        <w:r w:rsidR="005671F0" w:rsidRPr="005671F0">
          <w:rPr>
            <w:rStyle w:val="a5"/>
            <w:rFonts w:asciiTheme="minorEastAsia" w:hAnsiTheme="minorEastAsia" w:hint="eastAsia"/>
            <w:sz w:val="24"/>
            <w:szCs w:val="24"/>
            <w:shd w:val="clear" w:color="auto" w:fill="FFFFFF"/>
          </w:rPr>
          <w:t>税总发[2013]129号</w:t>
        </w:r>
      </w:hyperlink>
      <w:r w:rsidRPr="000E5CB3">
        <w:rPr>
          <w:rFonts w:asciiTheme="minorEastAsia" w:hAnsiTheme="minorEastAsia" w:hint="eastAsia"/>
          <w:color w:val="000000" w:themeColor="text1"/>
          <w:sz w:val="24"/>
          <w:szCs w:val="24"/>
          <w:shd w:val="clear" w:color="auto" w:fill="FFFFFF"/>
        </w:rPr>
        <w:t>第三条第二款）</w:t>
      </w:r>
    </w:p>
    <w:p w14:paraId="690BFB3C" w14:textId="03BC3FD1" w:rsidR="000E5CB3" w:rsidRPr="000E5CB3" w:rsidRDefault="000E5CB3" w:rsidP="000E5CB3">
      <w:pPr>
        <w:pStyle w:val="1"/>
        <w:spacing w:before="50" w:after="0" w:line="480" w:lineRule="atLeast"/>
        <w:rPr>
          <w:rFonts w:asciiTheme="minorEastAsia" w:hAnsiTheme="minorEastAsia"/>
          <w:color w:val="000000" w:themeColor="text1"/>
          <w:sz w:val="24"/>
          <w:szCs w:val="24"/>
        </w:rPr>
      </w:pPr>
      <w:r w:rsidRPr="000E5CB3">
        <w:rPr>
          <w:rFonts w:asciiTheme="minorEastAsia" w:hAnsiTheme="minorEastAsia" w:hint="eastAsia"/>
          <w:color w:val="000000" w:themeColor="text1"/>
          <w:sz w:val="24"/>
          <w:szCs w:val="24"/>
        </w:rPr>
        <w:lastRenderedPageBreak/>
        <w:t>附注：房地产交易税收服务和管理</w:t>
      </w:r>
    </w:p>
    <w:p w14:paraId="0BB22D4D"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房地产交易税收服务和管理工作涉及税种多，管理事项复杂，服务对象众多且以自然人为主体，税务机关纳税服务水平、管理工作质效直接影响公众的纳税体验和个人切身利益，直接关系政府形象。在各级税务机关的共同努力下，房地产交易税收服务和管理工作不断得到加强和改进，但在服务方面还存在办税不够便捷、行为不够规范的问题，在管理方面还存在制度不够健全、内控机制不够完善的问题，亟需采取措施切实加以解决。为此，现就进一步做好房地产交易税收服务和管理工作的有关事项通知如下：</w:t>
      </w:r>
    </w:p>
    <w:p w14:paraId="4D80AA27" w14:textId="44450EA2"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（一）提高思想认识，加强组织领导</w:t>
      </w:r>
    </w:p>
    <w:p w14:paraId="5C0C896F"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各地税务机关要进一步充分认识房地产交易税收服务和管理工作的重要性，切实加强组织领导，将优化服务、规范管理作为一项重点工作，主要领导亲自过问，分管领导负起责任，在抓常、抓细、抓长上下功夫。</w:t>
      </w:r>
    </w:p>
    <w:p w14:paraId="68015D69" w14:textId="495573A1"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 w:name="_Hlk16954155"/>
      <w:r w:rsidRPr="000E5CB3">
        <w:rPr>
          <w:rFonts w:asciiTheme="minorEastAsia" w:eastAsiaTheme="minorEastAsia" w:hAnsiTheme="minorEastAsia" w:hint="eastAsia"/>
          <w:color w:val="000000" w:themeColor="text1"/>
          <w:shd w:val="clear" w:color="auto" w:fill="FFFFFF"/>
        </w:rPr>
        <w:t>（</w:t>
      </w:r>
      <w:hyperlink r:id="rId18" w:history="1">
        <w:r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第一条第一款）</w:t>
      </w:r>
    </w:p>
    <w:bookmarkEnd w:id="1"/>
    <w:p w14:paraId="1769692D"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进一步加强制度建设，全面梳理房地产交易税收服务和管理存在的问题，以问题为导向制定和完善相关制度规定，切实抓好制度落实。要高度重视纳税人意见和社会舆情，通过建立相关制度、明确相关责任来促使妥善处理问题、及时化解矛盾。要对办税服务场所可能发生的办税人员激增等突发情况提前制定应急预案，确保及时疏导、秩序不乱。</w:t>
      </w:r>
    </w:p>
    <w:p w14:paraId="41F4A9A1" w14:textId="601945F7"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19"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第一条第二款）</w:t>
      </w:r>
    </w:p>
    <w:p w14:paraId="621C6DDD"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进一步加强房地产交易税收服务和管理干部队伍建设。要重视基层征管单位力量的配备，把政治素质高、业务能力强的优秀管理人才充实到征管一线。要加强业务知识培训，提高房地产交易税收管理人员的服务意识和能力，特别是提高他们处理复杂涉税事项的能力。要大力加强廉政和纪律教育，强化廉洁意识和纪律意识，提升反腐倡廉和遵守各项规章制度的自觉性，自觉抵制各种利益诱惑。要加强日常监督检查，及时发现并解决问题，注重抓早抓小，防患于未然。对以权谋私、违反廉洁从政规定的税务干部，必须严肃处理，绝不姑息。</w:t>
      </w:r>
    </w:p>
    <w:p w14:paraId="77AF9218" w14:textId="1BB8F549"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lastRenderedPageBreak/>
        <w:t>（</w:t>
      </w:r>
      <w:hyperlink r:id="rId20"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第一条第三款）</w:t>
      </w:r>
    </w:p>
    <w:p w14:paraId="2584A89E" w14:textId="7F0454CA"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（二）加强信息整合，优化便民服务</w:t>
      </w:r>
    </w:p>
    <w:p w14:paraId="6D457FA6"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要按照简政放权、放管结合、优化服务、协同推进的要求，对房地产交易税收优化管理流程，整合内外部信息，让纳税人享受更快捷、更便利、更规范的服务，提升纳税人获得感、满意度和税收遵从度。</w:t>
      </w:r>
    </w:p>
    <w:p w14:paraId="1E3F03BC" w14:textId="1128BB68"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21"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第二条第一款）</w:t>
      </w:r>
    </w:p>
    <w:p w14:paraId="727F0382"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在税务总局制定的相关税收业务规范基础上，区别管理事项的复杂程度、风险高低，合理优化管理流程，科学设置岗位，使各环节、各岗位间顺畅衔接。有条件的地区，要探索预约办税、电子移动终端告知办税服务事项等方式，减少纳税人在办税服务窗口排队等候时间。</w:t>
      </w:r>
    </w:p>
    <w:p w14:paraId="0DB6859F" w14:textId="3898DE00"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22"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第二条第二款）</w:t>
      </w:r>
    </w:p>
    <w:p w14:paraId="2E30CDC0"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要及</w:t>
      </w:r>
      <w:r w:rsidRPr="000E5CB3">
        <w:rPr>
          <w:rFonts w:asciiTheme="minorEastAsia" w:eastAsiaTheme="minorEastAsia" w:hAnsiTheme="minorEastAsia" w:hint="eastAsia"/>
          <w:b/>
          <w:color w:val="000000" w:themeColor="text1"/>
        </w:rPr>
        <w:t>时整理、归集房地产交易税收管理中获取的交易、开票、完税等相关信息，形成前后衔接、信息完整、动态更新的数据链</w:t>
      </w:r>
      <w:r w:rsidRPr="000E5CB3">
        <w:rPr>
          <w:rFonts w:asciiTheme="minorEastAsia" w:eastAsiaTheme="minorEastAsia" w:hAnsiTheme="minorEastAsia" w:hint="eastAsia"/>
          <w:color w:val="000000" w:themeColor="text1"/>
        </w:rPr>
        <w:t>，并在此基础上建立房地产交易税收数据库，整合利用这些数据，最大限度减少纳税人填报信息和提供资料的数量。要进一步推进部门间信息共享，积极争取地方党委、政府支持，力争在2016年底前与房地产管理部门建立信息实时共享机制。</w:t>
      </w:r>
    </w:p>
    <w:p w14:paraId="2151FFF1" w14:textId="6D7421C8"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23"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第二条第三款）</w:t>
      </w:r>
    </w:p>
    <w:p w14:paraId="61D47513"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w:t>
      </w:r>
      <w:r w:rsidRPr="000E5CB3">
        <w:rPr>
          <w:rFonts w:asciiTheme="minorEastAsia" w:eastAsiaTheme="minorEastAsia" w:hAnsiTheme="minorEastAsia" w:hint="eastAsia"/>
          <w:b/>
          <w:color w:val="000000" w:themeColor="text1"/>
        </w:rPr>
        <w:t>健全存量房评估工作机制</w:t>
      </w:r>
      <w:r w:rsidRPr="000E5CB3">
        <w:rPr>
          <w:rFonts w:asciiTheme="minorEastAsia" w:eastAsiaTheme="minorEastAsia" w:hAnsiTheme="minorEastAsia" w:hint="eastAsia"/>
          <w:color w:val="000000" w:themeColor="text1"/>
        </w:rPr>
        <w:t>，进一步规范数据采集标准，做好评估价格的动态维护与及时更新工作。规范和完善存量房评估争议处理机制，对</w:t>
      </w:r>
      <w:r w:rsidRPr="000E5CB3">
        <w:rPr>
          <w:rFonts w:asciiTheme="minorEastAsia" w:eastAsiaTheme="minorEastAsia" w:hAnsiTheme="minorEastAsia" w:hint="eastAsia"/>
          <w:b/>
          <w:color w:val="000000" w:themeColor="text1"/>
        </w:rPr>
        <w:t>纳税人提出异议的，要及时妥善处理</w:t>
      </w:r>
      <w:r w:rsidRPr="000E5CB3">
        <w:rPr>
          <w:rFonts w:asciiTheme="minorEastAsia" w:eastAsiaTheme="minorEastAsia" w:hAnsiTheme="minorEastAsia" w:hint="eastAsia"/>
          <w:color w:val="000000" w:themeColor="text1"/>
        </w:rPr>
        <w:t>，保障纳税人合法权益，促进税收公平。要探索将非住房纳入评估管理。</w:t>
      </w:r>
    </w:p>
    <w:p w14:paraId="2E9C4068" w14:textId="2DDCA26E"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24"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第二条第四款）</w:t>
      </w:r>
    </w:p>
    <w:p w14:paraId="3B5F9BD7" w14:textId="4F2CBD89"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（三）健全内控机制，强化规范管理</w:t>
      </w:r>
    </w:p>
    <w:p w14:paraId="5DEA5A93"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要按照防范内部风险的要求，在优化纳税服务的同时，健全内控机制，促进房地产交易税收管理工作规范运行。</w:t>
      </w:r>
    </w:p>
    <w:p w14:paraId="02A1A095" w14:textId="1403FBD7"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lastRenderedPageBreak/>
        <w:t>（</w:t>
      </w:r>
      <w:hyperlink r:id="rId25"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第三条第一款）</w:t>
      </w:r>
    </w:p>
    <w:p w14:paraId="0D9A2C2E"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要建立房地产交易税收管理流程中各岗位间的制约机制，明确岗位职责和操作规范，细化工作内容和要求，实行痕迹化管理。要</w:t>
      </w:r>
      <w:r w:rsidRPr="000E5CB3">
        <w:rPr>
          <w:rFonts w:asciiTheme="minorEastAsia" w:eastAsiaTheme="minorEastAsia" w:hAnsiTheme="minorEastAsia" w:hint="eastAsia"/>
          <w:b/>
          <w:color w:val="000000" w:themeColor="text1"/>
        </w:rPr>
        <w:t>杜绝岗位账号共用现象</w:t>
      </w:r>
      <w:r w:rsidRPr="000E5CB3">
        <w:rPr>
          <w:rFonts w:asciiTheme="minorEastAsia" w:eastAsiaTheme="minorEastAsia" w:hAnsiTheme="minorEastAsia" w:hint="eastAsia"/>
          <w:color w:val="000000" w:themeColor="text1"/>
        </w:rPr>
        <w:t>，</w:t>
      </w:r>
      <w:r w:rsidRPr="000E5CB3">
        <w:rPr>
          <w:rFonts w:asciiTheme="minorEastAsia" w:eastAsiaTheme="minorEastAsia" w:hAnsiTheme="minorEastAsia" w:hint="eastAsia"/>
          <w:b/>
          <w:color w:val="000000" w:themeColor="text1"/>
        </w:rPr>
        <w:t>关键环节由正式在编人员担任</w:t>
      </w:r>
      <w:r w:rsidRPr="000E5CB3">
        <w:rPr>
          <w:rFonts w:asciiTheme="minorEastAsia" w:eastAsiaTheme="minorEastAsia" w:hAnsiTheme="minorEastAsia" w:hint="eastAsia"/>
          <w:color w:val="000000" w:themeColor="text1"/>
        </w:rPr>
        <w:t>，定期进行岗位轮换，减少因一人多岗、一人长期专岗等权力过于集中引发的税收风险。要建立重大事项集体审议制度，</w:t>
      </w:r>
      <w:r w:rsidRPr="000E5CB3">
        <w:rPr>
          <w:rFonts w:asciiTheme="minorEastAsia" w:eastAsiaTheme="minorEastAsia" w:hAnsiTheme="minorEastAsia" w:hint="eastAsia"/>
          <w:b/>
          <w:color w:val="000000" w:themeColor="text1"/>
        </w:rPr>
        <w:t>房地产交易税收的重大事项由集体审议决定</w:t>
      </w:r>
      <w:r w:rsidRPr="000E5CB3">
        <w:rPr>
          <w:rFonts w:asciiTheme="minorEastAsia" w:eastAsiaTheme="minorEastAsia" w:hAnsiTheme="minorEastAsia" w:hint="eastAsia"/>
          <w:color w:val="000000" w:themeColor="text1"/>
        </w:rPr>
        <w:t>，不能个人说了算。</w:t>
      </w:r>
    </w:p>
    <w:p w14:paraId="6E9D8F17" w14:textId="5A687DEE"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26"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第三条第二款）</w:t>
      </w:r>
    </w:p>
    <w:p w14:paraId="2D8766E8"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要充分发挥信息技术在内控机制中的作用，推动将部门信息共享与协税把关等功能内嵌于房地产交易税收征管系统与产权登记信息系统中，建立联合控管、相互制约的工作机制，减少人为干扰，防止暗箱操作。</w:t>
      </w:r>
    </w:p>
    <w:p w14:paraId="3E83AE5E" w14:textId="12DCF210"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27"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第三条第三款）</w:t>
      </w:r>
    </w:p>
    <w:p w14:paraId="5CC52F0D"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要建立健全档案管理制度，明确房地产交易税收档案管理要求、归档时限等。有条件的地区要建立电子影像档案，方便管理和查询。</w:t>
      </w:r>
    </w:p>
    <w:p w14:paraId="13AAFCF0" w14:textId="76866B6A"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28"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第三条第四款）</w:t>
      </w:r>
    </w:p>
    <w:p w14:paraId="21B6364A"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要建立健全考核监督机制，通过设定合理、可量化并易于操作的考核标准，强化对房地产交易税收服务和管理的过程控制和结果评价，充分发挥考核监督的激励与约束作用。</w:t>
      </w:r>
    </w:p>
    <w:p w14:paraId="664D8A13" w14:textId="60A6EA42"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29"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第三条第五款）</w:t>
      </w:r>
    </w:p>
    <w:p w14:paraId="47B6E8E6" w14:textId="6B14E7D2" w:rsidR="000E5CB3" w:rsidRPr="000E5CB3" w:rsidRDefault="000E5CB3" w:rsidP="000E5CB3">
      <w:pPr>
        <w:pStyle w:val="2"/>
        <w:spacing w:before="50" w:after="0" w:line="480" w:lineRule="atLeast"/>
        <w:rPr>
          <w:rFonts w:asciiTheme="minorEastAsia" w:eastAsiaTheme="minorEastAsia" w:hAnsiTheme="minorEastAsia"/>
          <w:color w:val="000000" w:themeColor="text1"/>
          <w:sz w:val="24"/>
          <w:szCs w:val="24"/>
        </w:rPr>
      </w:pPr>
      <w:r w:rsidRPr="000E5CB3">
        <w:rPr>
          <w:rFonts w:asciiTheme="minorEastAsia" w:eastAsiaTheme="minorEastAsia" w:hAnsiTheme="minorEastAsia" w:hint="eastAsia"/>
          <w:color w:val="000000" w:themeColor="text1"/>
          <w:sz w:val="24"/>
          <w:szCs w:val="24"/>
        </w:rPr>
        <w:t>（四）开展内部检查，狠抓督导落实</w:t>
      </w:r>
    </w:p>
    <w:p w14:paraId="4F118BE8"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各地地方税务机关要在2016年4月30日前全面开展房地产交易税收服务和管理工作的内部检查。</w:t>
      </w:r>
    </w:p>
    <w:p w14:paraId="6F3120A4" w14:textId="08604EAD"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30"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第四条第一款）</w:t>
      </w:r>
    </w:p>
    <w:p w14:paraId="4ABE19DB"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省税务机关要成立检查工作领导小组，制定工作方案，明确检查内容、标准、要求和时限，并赴基层开展督导、抽查工作。</w:t>
      </w:r>
    </w:p>
    <w:p w14:paraId="79F2BE26" w14:textId="13C11811"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31"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第四条第二款）</w:t>
      </w:r>
    </w:p>
    <w:p w14:paraId="70759E9B"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lastRenderedPageBreak/>
        <w:t>市县税务机关要组织业务骨干深入房地产交易税收管理基层单位，认真检查房地产交易税收管理的流程是否合理、岗位职责是否明确、制度规定是否落实、内控机制是否健全，并对基层单位的检查工作进行验收。</w:t>
      </w:r>
    </w:p>
    <w:p w14:paraId="6B52823D" w14:textId="2F7CAF63"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32"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第四条第三款）</w:t>
      </w:r>
    </w:p>
    <w:p w14:paraId="575B4795"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基层征管单位要逐一梳理排查房地产交易税收服务和管理各流程、各环节、各岗位的问题，重点检查部门间信息共享机制是否落实，便民服务措施是否到位，是否存在纳税人排长队、超时等候现象，房地产交易税收受理、复核、开票以及票证和档案管理等各环节是否按规定操作，有无违规办理减免税（不征税）、违规开具税收票证问题，“先税后证”“以票控税”“存量房评估”等工作是否按要求落实，档案管理是否规范、归档资料是否齐全等。</w:t>
      </w:r>
    </w:p>
    <w:p w14:paraId="63D60ED8" w14:textId="7804A23A"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33"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第四条第四款）</w:t>
      </w:r>
    </w:p>
    <w:p w14:paraId="26046E01"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对检查中发现的问题，各地税务机关要认真分析原因，全面查找管理漏洞，立即进行整改，完善相关制度规定。各省地方税务局要在2016年5月20日前将检查工作开展情况、发现问题及整改情况报送税务总局（财产行为税司）。</w:t>
      </w:r>
    </w:p>
    <w:p w14:paraId="12FCE7AB" w14:textId="302286AD"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34" w:history="1">
        <w:r w:rsidR="005671F0" w:rsidRPr="005671F0">
          <w:rPr>
            <w:rStyle w:val="a5"/>
            <w:rFonts w:asciiTheme="minorEastAsia" w:eastAsiaTheme="minorEastAsia" w:hAnsiTheme="minorEastAsia" w:hint="eastAsia"/>
            <w:shd w:val="clear" w:color="auto" w:fill="FFFFFF"/>
          </w:rPr>
          <w:t>税总发〔2016〕21号</w:t>
        </w:r>
      </w:hyperlink>
      <w:r w:rsidRPr="000E5CB3">
        <w:rPr>
          <w:rFonts w:asciiTheme="minorEastAsia" w:eastAsiaTheme="minorEastAsia" w:hAnsiTheme="minorEastAsia" w:hint="eastAsia"/>
          <w:color w:val="000000" w:themeColor="text1"/>
          <w:shd w:val="clear" w:color="auto" w:fill="FFFFFF"/>
        </w:rPr>
        <w:t>第四条第五款）</w:t>
      </w:r>
    </w:p>
    <w:p w14:paraId="0B5053A8" w14:textId="77777777" w:rsidR="000E5CB3" w:rsidRPr="000E5CB3" w:rsidRDefault="000E5CB3" w:rsidP="000E5CB3">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5CB3">
        <w:rPr>
          <w:rFonts w:asciiTheme="minorEastAsia" w:eastAsiaTheme="minorEastAsia" w:hAnsiTheme="minorEastAsia" w:hint="eastAsia"/>
          <w:color w:val="000000" w:themeColor="text1"/>
        </w:rPr>
        <w:t>各地要在内部检查的基础上，建立健全常态化的跟踪问效机制。对基层税务机关的创新做法和有效实践要认真加以总结推广，对各项制度落实过程中存在的问题要及时研究解决，对落实不力的地区要限时督促整改，确保各项制度落实到位。</w:t>
      </w:r>
    </w:p>
    <w:p w14:paraId="23A600EA" w14:textId="36144CC1" w:rsidR="000E5CB3" w:rsidRPr="000E5CB3" w:rsidRDefault="000E5CB3" w:rsidP="000E5CB3">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5CB3">
        <w:rPr>
          <w:rFonts w:asciiTheme="minorEastAsia" w:eastAsiaTheme="minorEastAsia" w:hAnsiTheme="minorEastAsia" w:hint="eastAsia"/>
          <w:color w:val="000000" w:themeColor="text1"/>
          <w:shd w:val="clear" w:color="auto" w:fill="FFFFFF"/>
        </w:rPr>
        <w:t>（</w:t>
      </w:r>
      <w:hyperlink r:id="rId35" w:history="1">
        <w:r w:rsidR="005671F0" w:rsidRPr="005671F0">
          <w:rPr>
            <w:rStyle w:val="a5"/>
            <w:rFonts w:asciiTheme="minorEastAsia" w:eastAsiaTheme="minorEastAsia" w:hAnsiTheme="minorEastAsia" w:hint="eastAsia"/>
            <w:shd w:val="clear" w:color="auto" w:fill="FFFFFF"/>
          </w:rPr>
          <w:t>税总发〔2016〕21号</w:t>
        </w:r>
      </w:hyperlink>
      <w:bookmarkStart w:id="2" w:name="_GoBack"/>
      <w:bookmarkEnd w:id="2"/>
      <w:r w:rsidRPr="000E5CB3">
        <w:rPr>
          <w:rFonts w:asciiTheme="minorEastAsia" w:eastAsiaTheme="minorEastAsia" w:hAnsiTheme="minorEastAsia" w:hint="eastAsia"/>
          <w:color w:val="000000" w:themeColor="text1"/>
          <w:shd w:val="clear" w:color="auto" w:fill="FFFFFF"/>
        </w:rPr>
        <w:t>第四条第六款）</w:t>
      </w:r>
    </w:p>
    <w:p w14:paraId="327DE348" w14:textId="77777777" w:rsidR="000E5CB3" w:rsidRPr="00963033" w:rsidRDefault="000E5CB3" w:rsidP="000E5CB3">
      <w:pPr>
        <w:widowControl/>
        <w:shd w:val="clear" w:color="auto" w:fill="FFFFFF"/>
        <w:spacing w:beforeLines="50" w:before="156" w:afterLines="50" w:after="156" w:line="540" w:lineRule="atLeast"/>
        <w:ind w:firstLineChars="200" w:firstLine="480"/>
        <w:jc w:val="left"/>
        <w:rPr>
          <w:rFonts w:ascii="宋体" w:eastAsia="宋体" w:hAnsi="宋体" w:cs="宋体"/>
          <w:color w:val="333333"/>
          <w:kern w:val="0"/>
          <w:sz w:val="24"/>
          <w:szCs w:val="24"/>
        </w:rPr>
      </w:pPr>
    </w:p>
    <w:p w14:paraId="5F302871" w14:textId="77777777" w:rsidR="00154D8D" w:rsidRDefault="00154D8D"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p w14:paraId="18D052C3" w14:textId="77777777" w:rsidR="000E5CB3" w:rsidRPr="0076793E" w:rsidRDefault="000E5CB3"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sectPr w:rsidR="000E5CB3" w:rsidRPr="0076793E">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BB28F" w14:textId="77777777" w:rsidR="000D37B8" w:rsidRDefault="000D37B8" w:rsidP="005908E2">
      <w:r>
        <w:separator/>
      </w:r>
    </w:p>
  </w:endnote>
  <w:endnote w:type="continuationSeparator" w:id="0">
    <w:p w14:paraId="4988A92C" w14:textId="77777777" w:rsidR="000D37B8" w:rsidRDefault="000D37B8"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EB1A88" w:rsidRDefault="00EB1A8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71F0">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71F0">
              <w:rPr>
                <w:b/>
                <w:bCs/>
                <w:noProof/>
              </w:rPr>
              <w:t>7</w:t>
            </w:r>
            <w:r>
              <w:rPr>
                <w:b/>
                <w:bCs/>
                <w:sz w:val="24"/>
                <w:szCs w:val="24"/>
              </w:rPr>
              <w:fldChar w:fldCharType="end"/>
            </w:r>
          </w:p>
        </w:sdtContent>
      </w:sdt>
    </w:sdtContent>
  </w:sdt>
  <w:p w14:paraId="7DD1E703" w14:textId="77777777" w:rsidR="00EB1A88" w:rsidRDefault="00EB1A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0FEF" w14:textId="77777777" w:rsidR="000D37B8" w:rsidRDefault="000D37B8" w:rsidP="005908E2">
      <w:r>
        <w:separator/>
      </w:r>
    </w:p>
  </w:footnote>
  <w:footnote w:type="continuationSeparator" w:id="0">
    <w:p w14:paraId="7A3F32BF" w14:textId="77777777" w:rsidR="000D37B8" w:rsidRDefault="000D37B8"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2969"/>
    <w:rsid w:val="00032F8C"/>
    <w:rsid w:val="0003421B"/>
    <w:rsid w:val="0003732E"/>
    <w:rsid w:val="00042155"/>
    <w:rsid w:val="00044CC2"/>
    <w:rsid w:val="00054B12"/>
    <w:rsid w:val="00067D29"/>
    <w:rsid w:val="00075153"/>
    <w:rsid w:val="00081555"/>
    <w:rsid w:val="00081D70"/>
    <w:rsid w:val="00094EB7"/>
    <w:rsid w:val="000A33D0"/>
    <w:rsid w:val="000A3AA2"/>
    <w:rsid w:val="000A520E"/>
    <w:rsid w:val="000B4604"/>
    <w:rsid w:val="000D155C"/>
    <w:rsid w:val="000D26F7"/>
    <w:rsid w:val="000D37B8"/>
    <w:rsid w:val="000E5CB3"/>
    <w:rsid w:val="000E6068"/>
    <w:rsid w:val="000F0308"/>
    <w:rsid w:val="000F0A5F"/>
    <w:rsid w:val="000F38D4"/>
    <w:rsid w:val="00103CFD"/>
    <w:rsid w:val="0011250C"/>
    <w:rsid w:val="001307EA"/>
    <w:rsid w:val="00146B64"/>
    <w:rsid w:val="00152BEC"/>
    <w:rsid w:val="00154D8D"/>
    <w:rsid w:val="00170248"/>
    <w:rsid w:val="0017727E"/>
    <w:rsid w:val="00177948"/>
    <w:rsid w:val="00181799"/>
    <w:rsid w:val="0018239E"/>
    <w:rsid w:val="001923D9"/>
    <w:rsid w:val="001B4825"/>
    <w:rsid w:val="001F33E6"/>
    <w:rsid w:val="001F39CF"/>
    <w:rsid w:val="0021733A"/>
    <w:rsid w:val="00221D6F"/>
    <w:rsid w:val="00237FC9"/>
    <w:rsid w:val="0024317C"/>
    <w:rsid w:val="002477A7"/>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B0368"/>
    <w:rsid w:val="003E0B7E"/>
    <w:rsid w:val="003E2ABF"/>
    <w:rsid w:val="003E2D07"/>
    <w:rsid w:val="003E3D3E"/>
    <w:rsid w:val="003F589A"/>
    <w:rsid w:val="0042736C"/>
    <w:rsid w:val="00435080"/>
    <w:rsid w:val="00454CFE"/>
    <w:rsid w:val="00457ED7"/>
    <w:rsid w:val="00461BBB"/>
    <w:rsid w:val="0046763C"/>
    <w:rsid w:val="00473E5F"/>
    <w:rsid w:val="00484E3E"/>
    <w:rsid w:val="00490250"/>
    <w:rsid w:val="004B1931"/>
    <w:rsid w:val="004B4BB4"/>
    <w:rsid w:val="004C320B"/>
    <w:rsid w:val="004D014C"/>
    <w:rsid w:val="004E000E"/>
    <w:rsid w:val="004E0240"/>
    <w:rsid w:val="004F47FA"/>
    <w:rsid w:val="004F5AA8"/>
    <w:rsid w:val="005020AD"/>
    <w:rsid w:val="00511BCB"/>
    <w:rsid w:val="00535D50"/>
    <w:rsid w:val="00537AD7"/>
    <w:rsid w:val="0054342A"/>
    <w:rsid w:val="0054381E"/>
    <w:rsid w:val="00563E6D"/>
    <w:rsid w:val="00565987"/>
    <w:rsid w:val="005671F0"/>
    <w:rsid w:val="0058104B"/>
    <w:rsid w:val="0059069D"/>
    <w:rsid w:val="005908E2"/>
    <w:rsid w:val="005E00D7"/>
    <w:rsid w:val="005F477E"/>
    <w:rsid w:val="00612746"/>
    <w:rsid w:val="0063682B"/>
    <w:rsid w:val="00642C67"/>
    <w:rsid w:val="00644256"/>
    <w:rsid w:val="00650393"/>
    <w:rsid w:val="00653379"/>
    <w:rsid w:val="006562F0"/>
    <w:rsid w:val="006603A7"/>
    <w:rsid w:val="006608F6"/>
    <w:rsid w:val="0066143D"/>
    <w:rsid w:val="00664917"/>
    <w:rsid w:val="006805B1"/>
    <w:rsid w:val="006947D2"/>
    <w:rsid w:val="006C3BBB"/>
    <w:rsid w:val="006C3CE7"/>
    <w:rsid w:val="006D12A5"/>
    <w:rsid w:val="006D2BCA"/>
    <w:rsid w:val="006F62C8"/>
    <w:rsid w:val="00702001"/>
    <w:rsid w:val="00707486"/>
    <w:rsid w:val="007106B3"/>
    <w:rsid w:val="00717BCD"/>
    <w:rsid w:val="00717BE8"/>
    <w:rsid w:val="0072317D"/>
    <w:rsid w:val="007279C1"/>
    <w:rsid w:val="00735FCA"/>
    <w:rsid w:val="00745189"/>
    <w:rsid w:val="007649D4"/>
    <w:rsid w:val="0076793E"/>
    <w:rsid w:val="0078606C"/>
    <w:rsid w:val="007978CB"/>
    <w:rsid w:val="007A5C0A"/>
    <w:rsid w:val="007C158E"/>
    <w:rsid w:val="007C40D4"/>
    <w:rsid w:val="007C5213"/>
    <w:rsid w:val="007D4DE1"/>
    <w:rsid w:val="00802A13"/>
    <w:rsid w:val="008175E4"/>
    <w:rsid w:val="0082174A"/>
    <w:rsid w:val="00823915"/>
    <w:rsid w:val="008263A0"/>
    <w:rsid w:val="008403A0"/>
    <w:rsid w:val="00845A9D"/>
    <w:rsid w:val="00851B6C"/>
    <w:rsid w:val="00871788"/>
    <w:rsid w:val="008777CA"/>
    <w:rsid w:val="00884837"/>
    <w:rsid w:val="00886134"/>
    <w:rsid w:val="008B4F9B"/>
    <w:rsid w:val="009061F7"/>
    <w:rsid w:val="009121CE"/>
    <w:rsid w:val="00920B18"/>
    <w:rsid w:val="009467A0"/>
    <w:rsid w:val="00946CA9"/>
    <w:rsid w:val="0095436E"/>
    <w:rsid w:val="00963B08"/>
    <w:rsid w:val="0098307B"/>
    <w:rsid w:val="009A2312"/>
    <w:rsid w:val="009B140D"/>
    <w:rsid w:val="009C57AE"/>
    <w:rsid w:val="009D749A"/>
    <w:rsid w:val="009F3534"/>
    <w:rsid w:val="00A070EB"/>
    <w:rsid w:val="00A076E4"/>
    <w:rsid w:val="00A13178"/>
    <w:rsid w:val="00A13FFB"/>
    <w:rsid w:val="00A442E1"/>
    <w:rsid w:val="00A575F1"/>
    <w:rsid w:val="00A66603"/>
    <w:rsid w:val="00A74713"/>
    <w:rsid w:val="00A94E76"/>
    <w:rsid w:val="00A97C22"/>
    <w:rsid w:val="00AC3FB1"/>
    <w:rsid w:val="00AC47FA"/>
    <w:rsid w:val="00AD66DA"/>
    <w:rsid w:val="00AD6F22"/>
    <w:rsid w:val="00AD7E52"/>
    <w:rsid w:val="00AE2FD3"/>
    <w:rsid w:val="00B01357"/>
    <w:rsid w:val="00B16AB4"/>
    <w:rsid w:val="00B20E69"/>
    <w:rsid w:val="00B2741C"/>
    <w:rsid w:val="00B35DE9"/>
    <w:rsid w:val="00B57002"/>
    <w:rsid w:val="00B5716C"/>
    <w:rsid w:val="00B87AA5"/>
    <w:rsid w:val="00B91EC8"/>
    <w:rsid w:val="00BA45A1"/>
    <w:rsid w:val="00BC124F"/>
    <w:rsid w:val="00BC7C17"/>
    <w:rsid w:val="00BD0B17"/>
    <w:rsid w:val="00BD7ACA"/>
    <w:rsid w:val="00BF17D2"/>
    <w:rsid w:val="00C22508"/>
    <w:rsid w:val="00C23E55"/>
    <w:rsid w:val="00C2656D"/>
    <w:rsid w:val="00C317EE"/>
    <w:rsid w:val="00C46728"/>
    <w:rsid w:val="00C470E0"/>
    <w:rsid w:val="00C53F79"/>
    <w:rsid w:val="00C5423F"/>
    <w:rsid w:val="00C54C60"/>
    <w:rsid w:val="00C61BCF"/>
    <w:rsid w:val="00C6217C"/>
    <w:rsid w:val="00C66494"/>
    <w:rsid w:val="00C83A8E"/>
    <w:rsid w:val="00C86756"/>
    <w:rsid w:val="00CA0DA9"/>
    <w:rsid w:val="00CA7202"/>
    <w:rsid w:val="00CC29A4"/>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6D84"/>
    <w:rsid w:val="00DE7FE0"/>
    <w:rsid w:val="00DF4380"/>
    <w:rsid w:val="00DF6112"/>
    <w:rsid w:val="00DF7F1D"/>
    <w:rsid w:val="00E02096"/>
    <w:rsid w:val="00E05BEC"/>
    <w:rsid w:val="00E068A0"/>
    <w:rsid w:val="00E06AA8"/>
    <w:rsid w:val="00E1242D"/>
    <w:rsid w:val="00E20B16"/>
    <w:rsid w:val="00E23F08"/>
    <w:rsid w:val="00E24562"/>
    <w:rsid w:val="00E43974"/>
    <w:rsid w:val="00E47E9C"/>
    <w:rsid w:val="00E57568"/>
    <w:rsid w:val="00E6278E"/>
    <w:rsid w:val="00E66434"/>
    <w:rsid w:val="00E700F9"/>
    <w:rsid w:val="00E71F17"/>
    <w:rsid w:val="00E7673A"/>
    <w:rsid w:val="00E85A62"/>
    <w:rsid w:val="00E97E46"/>
    <w:rsid w:val="00EB1A88"/>
    <w:rsid w:val="00EB3844"/>
    <w:rsid w:val="00EE2EA5"/>
    <w:rsid w:val="00EF0EE2"/>
    <w:rsid w:val="00F0101F"/>
    <w:rsid w:val="00F2789A"/>
    <w:rsid w:val="00F44F2C"/>
    <w:rsid w:val="00F467A0"/>
    <w:rsid w:val="00F56E6F"/>
    <w:rsid w:val="00F57C18"/>
    <w:rsid w:val="00F703C0"/>
    <w:rsid w:val="00F8386A"/>
    <w:rsid w:val="00FA1516"/>
    <w:rsid w:val="00FB2B3B"/>
    <w:rsid w:val="00FB456D"/>
    <w:rsid w:val="00FB68F6"/>
    <w:rsid w:val="00FC4995"/>
    <w:rsid w:val="00FC5CEA"/>
    <w:rsid w:val="00FC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305.html" TargetMode="External"/><Relationship Id="rId18" Type="http://schemas.openxmlformats.org/officeDocument/2006/relationships/hyperlink" Target="http://ssfb86.com/index/News/detail/newsid/820.html" TargetMode="External"/><Relationship Id="rId26" Type="http://schemas.openxmlformats.org/officeDocument/2006/relationships/hyperlink" Target="http://ssfb86.com/index/News/detail/newsid/820.html" TargetMode="External"/><Relationship Id="rId3" Type="http://schemas.openxmlformats.org/officeDocument/2006/relationships/styles" Target="styles.xml"/><Relationship Id="rId21" Type="http://schemas.openxmlformats.org/officeDocument/2006/relationships/hyperlink" Target="http://ssfb86.com/index/News/detail/newsid/820.html" TargetMode="External"/><Relationship Id="rId34" Type="http://schemas.openxmlformats.org/officeDocument/2006/relationships/hyperlink" Target="http://ssfb86.com/index/News/detail/newsid/820.html" TargetMode="External"/><Relationship Id="rId7" Type="http://schemas.openxmlformats.org/officeDocument/2006/relationships/footnotes" Target="footnotes.xml"/><Relationship Id="rId12" Type="http://schemas.openxmlformats.org/officeDocument/2006/relationships/hyperlink" Target="http://ssfb86.com/index/News/detail/newsid/2585.html" TargetMode="External"/><Relationship Id="rId17" Type="http://schemas.openxmlformats.org/officeDocument/2006/relationships/hyperlink" Target="http://ssfb86.com/index/News/detail/newsid/1305.html" TargetMode="External"/><Relationship Id="rId25" Type="http://schemas.openxmlformats.org/officeDocument/2006/relationships/hyperlink" Target="http://ssfb86.com/index/News/detail/newsid/820.html" TargetMode="External"/><Relationship Id="rId33" Type="http://schemas.openxmlformats.org/officeDocument/2006/relationships/hyperlink" Target="http://ssfb86.com/index/News/detail/newsid/820.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fb86.com/index/News/detail/newsid/1305.html" TargetMode="External"/><Relationship Id="rId20" Type="http://schemas.openxmlformats.org/officeDocument/2006/relationships/hyperlink" Target="http://ssfb86.com/index/News/detail/newsid/820.html" TargetMode="External"/><Relationship Id="rId29" Type="http://schemas.openxmlformats.org/officeDocument/2006/relationships/hyperlink" Target="http://ssfb86.com/index/News/detail/newsid/82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1305.html" TargetMode="External"/><Relationship Id="rId24" Type="http://schemas.openxmlformats.org/officeDocument/2006/relationships/hyperlink" Target="http://ssfb86.com/index/News/detail/newsid/820.html" TargetMode="External"/><Relationship Id="rId32" Type="http://schemas.openxmlformats.org/officeDocument/2006/relationships/hyperlink" Target="http://ssfb86.com/index/News/detail/newsid/820.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fb86.com/index/News/detail/newsid/1305.html" TargetMode="External"/><Relationship Id="rId23" Type="http://schemas.openxmlformats.org/officeDocument/2006/relationships/hyperlink" Target="http://ssfb86.com/index/News/detail/newsid/820.html" TargetMode="External"/><Relationship Id="rId28" Type="http://schemas.openxmlformats.org/officeDocument/2006/relationships/hyperlink" Target="http://ssfb86.com/index/News/detail/newsid/820.html" TargetMode="External"/><Relationship Id="rId36" Type="http://schemas.openxmlformats.org/officeDocument/2006/relationships/footer" Target="footer1.xml"/><Relationship Id="rId10" Type="http://schemas.openxmlformats.org/officeDocument/2006/relationships/hyperlink" Target="http://ssfb86.com/index/News/detail/newsid/1305.html" TargetMode="External"/><Relationship Id="rId19" Type="http://schemas.openxmlformats.org/officeDocument/2006/relationships/hyperlink" Target="http://ssfb86.com/index/News/detail/newsid/820.html" TargetMode="External"/><Relationship Id="rId31" Type="http://schemas.openxmlformats.org/officeDocument/2006/relationships/hyperlink" Target="http://ssfb86.com/index/News/detail/newsid/820.html" TargetMode="External"/><Relationship Id="rId4" Type="http://schemas.microsoft.com/office/2007/relationships/stylesWithEffects" Target="stylesWithEffects.xml"/><Relationship Id="rId9" Type="http://schemas.openxmlformats.org/officeDocument/2006/relationships/hyperlink" Target="http://ssfb86.com/index/News/detail/newsid/1305.html" TargetMode="External"/><Relationship Id="rId14" Type="http://schemas.openxmlformats.org/officeDocument/2006/relationships/hyperlink" Target="http://ssfb86.com/index/News/detail/newsid/1305.html" TargetMode="External"/><Relationship Id="rId22" Type="http://schemas.openxmlformats.org/officeDocument/2006/relationships/hyperlink" Target="http://ssfb86.com/index/News/detail/newsid/820.html" TargetMode="External"/><Relationship Id="rId27" Type="http://schemas.openxmlformats.org/officeDocument/2006/relationships/hyperlink" Target="http://ssfb86.com/index/News/detail/newsid/820.html" TargetMode="External"/><Relationship Id="rId30" Type="http://schemas.openxmlformats.org/officeDocument/2006/relationships/hyperlink" Target="http://ssfb86.com/index/News/detail/newsid/820.html" TargetMode="External"/><Relationship Id="rId35" Type="http://schemas.openxmlformats.org/officeDocument/2006/relationships/hyperlink" Target="http://ssfb86.com/index/News/detail/newsid/82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3730-FC78-4D8A-B6ED-1DEF8900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4</cp:revision>
  <dcterms:created xsi:type="dcterms:W3CDTF">2020-08-28T08:09:00Z</dcterms:created>
  <dcterms:modified xsi:type="dcterms:W3CDTF">2020-09-25T00:47:00Z</dcterms:modified>
</cp:coreProperties>
</file>