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161815B4"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AD3535">
        <w:rPr>
          <w:rFonts w:asciiTheme="minorEastAsia" w:hAnsiTheme="minorEastAsia"/>
          <w:color w:val="000000" w:themeColor="text1"/>
          <w:sz w:val="44"/>
          <w:szCs w:val="44"/>
        </w:rPr>
        <w:t>4</w:t>
      </w:r>
      <w:r w:rsidR="005908E2" w:rsidRPr="00BC7C17">
        <w:rPr>
          <w:rFonts w:asciiTheme="minorEastAsia" w:hAnsiTheme="minorEastAsia"/>
          <w:color w:val="000000" w:themeColor="text1"/>
          <w:sz w:val="44"/>
          <w:szCs w:val="44"/>
        </w:rPr>
        <w:t xml:space="preserve">  </w:t>
      </w:r>
      <w:r w:rsidR="00AD3535" w:rsidRPr="00AD3535">
        <w:rPr>
          <w:rFonts w:asciiTheme="minorEastAsia" w:hAnsiTheme="minorEastAsia" w:hint="eastAsia"/>
          <w:color w:val="000000" w:themeColor="text1"/>
          <w:sz w:val="44"/>
          <w:szCs w:val="44"/>
        </w:rPr>
        <w:t>关联调整</w:t>
      </w:r>
    </w:p>
    <w:p w14:paraId="50CC0963" w14:textId="0C06E339" w:rsidR="00FE250F" w:rsidRDefault="00FE250F"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564FC83D" w14:textId="77777777" w:rsidR="00E2055B" w:rsidRPr="00E2055B" w:rsidRDefault="00E2055B" w:rsidP="00E2055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2055B">
        <w:rPr>
          <w:rFonts w:asciiTheme="minorEastAsia" w:hAnsiTheme="minorEastAsia" w:cs="宋体" w:hint="eastAsia"/>
          <w:color w:val="000000" w:themeColor="text1"/>
          <w:kern w:val="0"/>
          <w:sz w:val="24"/>
          <w:szCs w:val="24"/>
        </w:rPr>
        <w:t>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14:paraId="4DC1B848" w14:textId="0BB5232B" w:rsidR="00E2055B" w:rsidRPr="00E2055B" w:rsidRDefault="00E2055B" w:rsidP="00E2055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2055B">
        <w:rPr>
          <w:rFonts w:asciiTheme="minorEastAsia" w:hAnsiTheme="minorEastAsia" w:cs="宋体" w:hint="eastAsia"/>
          <w:color w:val="000000" w:themeColor="text1"/>
          <w:kern w:val="0"/>
          <w:sz w:val="24"/>
          <w:szCs w:val="24"/>
        </w:rPr>
        <w:t>（</w:t>
      </w:r>
      <w:r w:rsidR="00B77F28">
        <w:rPr>
          <w:rFonts w:asciiTheme="minorEastAsia" w:hAnsiTheme="minorEastAsia" w:cs="宋体" w:hint="eastAsia"/>
          <w:color w:val="000000" w:themeColor="text1"/>
          <w:kern w:val="0"/>
          <w:sz w:val="24"/>
          <w:szCs w:val="24"/>
        </w:rPr>
        <w:t>《</w:t>
      </w:r>
      <w:hyperlink r:id="rId9" w:history="1">
        <w:r w:rsidR="00B77F28">
          <w:rPr>
            <w:rStyle w:val="a5"/>
            <w:rFonts w:asciiTheme="minorEastAsia" w:hAnsiTheme="minorEastAsia" w:cs="宋体" w:hint="eastAsia"/>
            <w:kern w:val="0"/>
            <w:sz w:val="24"/>
            <w:szCs w:val="24"/>
          </w:rPr>
          <w:t>税收征管法</w:t>
        </w:r>
      </w:hyperlink>
      <w:r w:rsidR="00B77F28">
        <w:rPr>
          <w:rFonts w:asciiTheme="minorEastAsia" w:hAnsiTheme="minorEastAsia" w:cs="宋体" w:hint="eastAsia"/>
          <w:color w:val="000000" w:themeColor="text1"/>
          <w:kern w:val="0"/>
          <w:sz w:val="24"/>
          <w:szCs w:val="24"/>
        </w:rPr>
        <w:t>》</w:t>
      </w:r>
      <w:r w:rsidRPr="00E2055B">
        <w:rPr>
          <w:rFonts w:asciiTheme="minorEastAsia" w:hAnsiTheme="minorEastAsia" w:cs="宋体" w:hint="eastAsia"/>
          <w:color w:val="000000" w:themeColor="text1"/>
          <w:kern w:val="0"/>
          <w:sz w:val="24"/>
          <w:szCs w:val="24"/>
        </w:rPr>
        <w:t>第三十六条）</w:t>
      </w:r>
    </w:p>
    <w:p w14:paraId="1BC7801E" w14:textId="44DCFF5A" w:rsidR="00E2055B" w:rsidRPr="00E2055B" w:rsidRDefault="00E2055B" w:rsidP="00E2055B">
      <w:pPr>
        <w:pStyle w:val="1"/>
        <w:spacing w:before="50" w:after="0" w:line="480" w:lineRule="atLeast"/>
        <w:rPr>
          <w:rFonts w:asciiTheme="minorEastAsia" w:hAnsiTheme="minorEastAsia"/>
          <w:color w:val="000000" w:themeColor="text1"/>
          <w:sz w:val="24"/>
          <w:szCs w:val="24"/>
        </w:rPr>
      </w:pPr>
      <w:r w:rsidRPr="00E2055B">
        <w:rPr>
          <w:rFonts w:asciiTheme="minorEastAsia" w:hAnsiTheme="minorEastAsia" w:hint="eastAsia"/>
          <w:color w:val="000000" w:themeColor="text1"/>
          <w:sz w:val="24"/>
          <w:szCs w:val="24"/>
        </w:rPr>
        <w:t>一、主要概念</w:t>
      </w:r>
    </w:p>
    <w:p w14:paraId="4F8AD032" w14:textId="49DEC503" w:rsidR="00E2055B" w:rsidRPr="00E2055B" w:rsidRDefault="00E2055B" w:rsidP="00E2055B">
      <w:pPr>
        <w:pStyle w:val="2"/>
        <w:spacing w:before="50" w:after="0" w:line="480" w:lineRule="atLeast"/>
        <w:rPr>
          <w:rFonts w:asciiTheme="minorEastAsia" w:eastAsiaTheme="minorEastAsia" w:hAnsiTheme="minorEastAsia"/>
          <w:color w:val="000000" w:themeColor="text1"/>
          <w:sz w:val="24"/>
          <w:szCs w:val="24"/>
        </w:rPr>
      </w:pPr>
      <w:r w:rsidRPr="00E2055B">
        <w:rPr>
          <w:rFonts w:asciiTheme="minorEastAsia" w:eastAsiaTheme="minorEastAsia" w:hAnsiTheme="minorEastAsia" w:hint="eastAsia"/>
          <w:color w:val="000000" w:themeColor="text1"/>
          <w:sz w:val="24"/>
          <w:szCs w:val="24"/>
        </w:rPr>
        <w:t>（一）关联企业</w:t>
      </w:r>
    </w:p>
    <w:p w14:paraId="1B61EB14" w14:textId="6EAD5498" w:rsidR="00E2055B" w:rsidRPr="00E2055B" w:rsidRDefault="00AA1A78"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hyperlink r:id="rId10" w:history="1">
        <w:r w:rsidR="004A55CE">
          <w:rPr>
            <w:rStyle w:val="a5"/>
            <w:rFonts w:asciiTheme="minorEastAsia" w:hAnsiTheme="minorEastAsia" w:hint="eastAsia"/>
          </w:rPr>
          <w:t>税收征管法</w:t>
        </w:r>
      </w:hyperlink>
      <w:r w:rsidR="00E2055B" w:rsidRPr="00E2055B">
        <w:rPr>
          <w:rFonts w:asciiTheme="minorEastAsia" w:eastAsiaTheme="minorEastAsia" w:hAnsiTheme="minorEastAsia" w:hint="eastAsia"/>
          <w:color w:val="000000" w:themeColor="text1"/>
        </w:rPr>
        <w:t>第三十六条所称关联企业，是指有下列关系之一的公司、企业和其他经济组织：</w:t>
      </w:r>
    </w:p>
    <w:p w14:paraId="16841ABC" w14:textId="6EDEE043"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1、在资金、经营、购销等方面，存在直接或者间接的拥有或者控制关系；</w:t>
      </w:r>
    </w:p>
    <w:p w14:paraId="6502682D" w14:textId="3D5E9F64"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4A55CE">
        <w:rPr>
          <w:rFonts w:asciiTheme="minorEastAsia" w:hAnsiTheme="minorEastAsia" w:hint="eastAsia"/>
          <w:color w:val="000000" w:themeColor="text1"/>
        </w:rPr>
        <w:t>《</w:t>
      </w:r>
      <w:hyperlink r:id="rId11" w:history="1">
        <w:r w:rsidR="004A55CE">
          <w:rPr>
            <w:rStyle w:val="a5"/>
            <w:rFonts w:asciiTheme="minorEastAsia" w:hAnsiTheme="minorEastAsia" w:hint="eastAsia"/>
          </w:rPr>
          <w:t>税收征管法实施细则</w:t>
        </w:r>
      </w:hyperlink>
      <w:r w:rsidR="004A55CE">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第五十一条第一款第一项）</w:t>
      </w:r>
    </w:p>
    <w:p w14:paraId="286363EF" w14:textId="58EC5CDC"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2、直接或者间接地同为第三者所拥有或者控制；</w:t>
      </w:r>
    </w:p>
    <w:p w14:paraId="07FD9CA6" w14:textId="17D247ED"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4A55CE">
        <w:rPr>
          <w:rFonts w:asciiTheme="minorEastAsia" w:hAnsiTheme="minorEastAsia" w:hint="eastAsia"/>
          <w:color w:val="000000" w:themeColor="text1"/>
        </w:rPr>
        <w:t>《</w:t>
      </w:r>
      <w:hyperlink r:id="rId12" w:history="1">
        <w:r w:rsidR="004A55CE">
          <w:rPr>
            <w:rStyle w:val="a5"/>
            <w:rFonts w:asciiTheme="minorEastAsia" w:hAnsiTheme="minorEastAsia" w:hint="eastAsia"/>
          </w:rPr>
          <w:t>税收征管法实施细则</w:t>
        </w:r>
      </w:hyperlink>
      <w:r w:rsidR="004A55CE">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第五十一条第一款第二项）</w:t>
      </w:r>
    </w:p>
    <w:p w14:paraId="276F3119" w14:textId="6107B663"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3、在利益上具有相关联的其他关系。</w:t>
      </w:r>
    </w:p>
    <w:p w14:paraId="6FBB46AC" w14:textId="1C21E5BB"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4A55CE">
        <w:rPr>
          <w:rFonts w:asciiTheme="minorEastAsia" w:hAnsiTheme="minorEastAsia" w:hint="eastAsia"/>
          <w:color w:val="000000" w:themeColor="text1"/>
        </w:rPr>
        <w:t>《</w:t>
      </w:r>
      <w:hyperlink r:id="rId13" w:history="1">
        <w:r w:rsidR="004A55CE">
          <w:rPr>
            <w:rStyle w:val="a5"/>
            <w:rFonts w:asciiTheme="minorEastAsia" w:hAnsiTheme="minorEastAsia" w:hint="eastAsia"/>
          </w:rPr>
          <w:t>税收征管法实施细则</w:t>
        </w:r>
      </w:hyperlink>
      <w:r w:rsidR="004A55CE">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第五十一条第一款第三项）</w:t>
      </w:r>
    </w:p>
    <w:p w14:paraId="7E933655" w14:textId="47970AD6" w:rsidR="00E2055B" w:rsidRPr="00E2055B" w:rsidRDefault="00E2055B" w:rsidP="00E2055B">
      <w:pPr>
        <w:pStyle w:val="2"/>
        <w:spacing w:before="50" w:after="0" w:line="480" w:lineRule="atLeast"/>
        <w:rPr>
          <w:rFonts w:asciiTheme="minorEastAsia" w:eastAsiaTheme="minorEastAsia" w:hAnsiTheme="minorEastAsia"/>
          <w:color w:val="000000" w:themeColor="text1"/>
          <w:sz w:val="24"/>
          <w:szCs w:val="24"/>
        </w:rPr>
      </w:pPr>
      <w:r w:rsidRPr="00E2055B">
        <w:rPr>
          <w:rFonts w:asciiTheme="minorEastAsia" w:eastAsiaTheme="minorEastAsia" w:hAnsiTheme="minorEastAsia" w:hint="eastAsia"/>
          <w:color w:val="000000" w:themeColor="text1"/>
          <w:sz w:val="24"/>
          <w:szCs w:val="24"/>
        </w:rPr>
        <w:t>（二）独立业务往来</w:t>
      </w:r>
    </w:p>
    <w:p w14:paraId="709852D6" w14:textId="243B5C1A" w:rsidR="00E2055B" w:rsidRPr="00E2055B" w:rsidRDefault="00AA1A78"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hyperlink r:id="rId14" w:history="1">
        <w:r w:rsidR="00225065">
          <w:rPr>
            <w:rStyle w:val="a5"/>
            <w:rFonts w:asciiTheme="minorEastAsia" w:hAnsiTheme="minorEastAsia" w:hint="eastAsia"/>
          </w:rPr>
          <w:t>税收征管法</w:t>
        </w:r>
      </w:hyperlink>
      <w:r w:rsidR="00E2055B" w:rsidRPr="00E2055B">
        <w:rPr>
          <w:rFonts w:asciiTheme="minorEastAsia" w:eastAsiaTheme="minorEastAsia" w:hAnsiTheme="minorEastAsia" w:hint="eastAsia"/>
          <w:color w:val="000000" w:themeColor="text1"/>
        </w:rPr>
        <w:t>第三十六条所称独立企业之间的业务往来，是指没有关联关系的企业之间按照公平成交价格和营业常规所进行的业务往来。</w:t>
      </w:r>
    </w:p>
    <w:p w14:paraId="1EAED49B" w14:textId="568264DE"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15"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第五十二条）</w:t>
      </w:r>
    </w:p>
    <w:p w14:paraId="341EF156" w14:textId="03D28AD4" w:rsidR="00E2055B" w:rsidRPr="00E2055B" w:rsidRDefault="00E2055B" w:rsidP="00E2055B">
      <w:pPr>
        <w:pStyle w:val="1"/>
        <w:spacing w:before="50" w:after="0" w:line="480" w:lineRule="atLeast"/>
        <w:rPr>
          <w:rFonts w:asciiTheme="minorEastAsia" w:hAnsiTheme="minorEastAsia"/>
          <w:color w:val="000000" w:themeColor="text1"/>
          <w:sz w:val="24"/>
          <w:szCs w:val="24"/>
        </w:rPr>
      </w:pPr>
      <w:r w:rsidRPr="00E2055B">
        <w:rPr>
          <w:rFonts w:asciiTheme="minorEastAsia" w:hAnsiTheme="minorEastAsia" w:hint="eastAsia"/>
          <w:color w:val="000000" w:themeColor="text1"/>
          <w:sz w:val="24"/>
          <w:szCs w:val="24"/>
        </w:rPr>
        <w:t>二、关联业务报告</w:t>
      </w:r>
    </w:p>
    <w:p w14:paraId="221D3E78" w14:textId="77777777"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纳税人有义务就其与关联企业之间的业务往来，向当地税务机关提供有关的价格、费用标准等资料。具体办法由国家税务总局制定。</w:t>
      </w:r>
    </w:p>
    <w:p w14:paraId="56F24D58" w14:textId="15384E34"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bookmarkStart w:id="0" w:name="_Hlk14808679"/>
      <w:r w:rsidRPr="00E2055B">
        <w:rPr>
          <w:rFonts w:asciiTheme="minorEastAsia" w:eastAsiaTheme="minorEastAsia" w:hAnsiTheme="minorEastAsia" w:hint="eastAsia"/>
          <w:color w:val="000000" w:themeColor="text1"/>
        </w:rPr>
        <w:lastRenderedPageBreak/>
        <w:t>（</w:t>
      </w:r>
      <w:r w:rsidR="00225065">
        <w:rPr>
          <w:rFonts w:asciiTheme="minorEastAsia" w:hAnsiTheme="minorEastAsia" w:hint="eastAsia"/>
          <w:color w:val="000000" w:themeColor="text1"/>
        </w:rPr>
        <w:t>《</w:t>
      </w:r>
      <w:hyperlink r:id="rId16"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第五十一条第二款）</w:t>
      </w:r>
    </w:p>
    <w:bookmarkEnd w:id="0"/>
    <w:p w14:paraId="288E1B50" w14:textId="1459BBC9" w:rsidR="00E2055B" w:rsidRPr="00E2055B" w:rsidRDefault="00E2055B" w:rsidP="00E2055B">
      <w:pPr>
        <w:pStyle w:val="1"/>
        <w:spacing w:before="50" w:after="0" w:line="480" w:lineRule="atLeast"/>
        <w:rPr>
          <w:rFonts w:asciiTheme="minorEastAsia" w:hAnsiTheme="minorEastAsia"/>
          <w:color w:val="000000" w:themeColor="text1"/>
          <w:sz w:val="24"/>
          <w:szCs w:val="24"/>
        </w:rPr>
      </w:pPr>
      <w:r w:rsidRPr="00E2055B">
        <w:rPr>
          <w:rFonts w:asciiTheme="minorEastAsia" w:hAnsiTheme="minorEastAsia" w:hint="eastAsia"/>
          <w:color w:val="000000" w:themeColor="text1"/>
          <w:sz w:val="24"/>
          <w:szCs w:val="24"/>
        </w:rPr>
        <w:t>三、预约定价审批</w:t>
      </w:r>
    </w:p>
    <w:p w14:paraId="6EBA8694" w14:textId="77777777"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纳税人可以向主管税务机关提出与其关联企业之间业务往来的定价原则和计算方法，主管税务机关审核、批准后，与纳税人预先约定有关定价事项，监督纳税人执行。</w:t>
      </w:r>
    </w:p>
    <w:p w14:paraId="04C9D6A7" w14:textId="29F598D9"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17"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第五十三条）</w:t>
      </w:r>
    </w:p>
    <w:p w14:paraId="4E3C73F2" w14:textId="514EF633" w:rsidR="00E2055B" w:rsidRPr="00E2055B" w:rsidRDefault="00E2055B" w:rsidP="00E2055B">
      <w:pPr>
        <w:pStyle w:val="1"/>
        <w:spacing w:before="50" w:after="0" w:line="480" w:lineRule="atLeast"/>
        <w:rPr>
          <w:rFonts w:asciiTheme="minorEastAsia" w:hAnsiTheme="minorEastAsia"/>
          <w:color w:val="000000" w:themeColor="text1"/>
          <w:sz w:val="24"/>
          <w:szCs w:val="24"/>
        </w:rPr>
      </w:pPr>
      <w:r w:rsidRPr="00E2055B">
        <w:rPr>
          <w:rFonts w:asciiTheme="minorEastAsia" w:hAnsiTheme="minorEastAsia" w:hint="eastAsia"/>
          <w:color w:val="000000" w:themeColor="text1"/>
          <w:sz w:val="24"/>
          <w:szCs w:val="24"/>
        </w:rPr>
        <w:t>四、关联调整的情形</w:t>
      </w:r>
    </w:p>
    <w:p w14:paraId="0038FC5C" w14:textId="77777777"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纳税人与其关联企业之间的业务往来有下列情形之一的，税务机关可以调整其应纳税额：</w:t>
      </w:r>
    </w:p>
    <w:p w14:paraId="2536090D" w14:textId="433988CA"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（一）购销业务未按照独立企业之间的业务往来作价；</w:t>
      </w:r>
    </w:p>
    <w:p w14:paraId="2505F0F9" w14:textId="03587D92"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bookmarkStart w:id="1" w:name="_Hlk14808751"/>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18"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第五十四条第一款）</w:t>
      </w:r>
    </w:p>
    <w:bookmarkEnd w:id="1"/>
    <w:p w14:paraId="6FFA39A0" w14:textId="35FA8280"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（二）融通资金所支付或者收取的利息超过或者低于没有关联关系的企业之间所能同意的数额，或者利率超过或者低于同类业务的正常利率；</w:t>
      </w:r>
    </w:p>
    <w:p w14:paraId="6D819FAA" w14:textId="4F0FF47D"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19"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第五十四条第二款）</w:t>
      </w:r>
    </w:p>
    <w:p w14:paraId="20D7365E" w14:textId="187662DC"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（三）提供劳务，未按照独立企业之间业务往来收取或者支付劳务费用；</w:t>
      </w:r>
    </w:p>
    <w:p w14:paraId="7B4D867E" w14:textId="51FDFF16"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20"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第五十四条第三款）</w:t>
      </w:r>
    </w:p>
    <w:p w14:paraId="682D8183" w14:textId="08C9CF89"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（四）转让财产、提供财产使用权等业务往来，未按照独立企业之间业务往来作价或者收取、支付费用；</w:t>
      </w:r>
    </w:p>
    <w:p w14:paraId="34CE749A" w14:textId="7AC8759A"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21"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第五十四条第四款）</w:t>
      </w:r>
    </w:p>
    <w:p w14:paraId="6F5C1501" w14:textId="208BBE85"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（五）未按照独立企业之间业务往来作价的其他情形。</w:t>
      </w:r>
    </w:p>
    <w:p w14:paraId="3A9EB822" w14:textId="016975E3"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bookmarkStart w:id="2" w:name="_Hlk14808831"/>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22"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第五十四条第二款）</w:t>
      </w:r>
    </w:p>
    <w:p w14:paraId="760AB210" w14:textId="77777777" w:rsidR="00E2055B" w:rsidRPr="00E2055B" w:rsidRDefault="00E2055B" w:rsidP="00E2055B">
      <w:pPr>
        <w:pStyle w:val="2"/>
        <w:spacing w:before="50" w:after="0" w:line="480" w:lineRule="atLeast"/>
        <w:rPr>
          <w:rFonts w:asciiTheme="minorEastAsia" w:eastAsiaTheme="minorEastAsia" w:hAnsiTheme="minorEastAsia"/>
          <w:color w:val="000000" w:themeColor="text1"/>
          <w:sz w:val="24"/>
          <w:szCs w:val="24"/>
        </w:rPr>
      </w:pPr>
      <w:r w:rsidRPr="00E2055B">
        <w:rPr>
          <w:rFonts w:asciiTheme="minorEastAsia" w:eastAsiaTheme="minorEastAsia" w:hAnsiTheme="minorEastAsia" w:hint="eastAsia"/>
          <w:color w:val="000000" w:themeColor="text1"/>
          <w:sz w:val="24"/>
          <w:szCs w:val="24"/>
        </w:rPr>
        <w:t>附注：</w:t>
      </w:r>
      <w:r w:rsidRPr="00E2055B">
        <w:rPr>
          <w:rFonts w:asciiTheme="minorEastAsia" w:eastAsiaTheme="minorEastAsia" w:hAnsiTheme="minorEastAsia" w:hint="eastAsia"/>
          <w:color w:val="000000" w:themeColor="text1"/>
          <w:sz w:val="24"/>
          <w:szCs w:val="24"/>
          <w:shd w:val="clear" w:color="auto" w:fill="FFFFFF"/>
        </w:rPr>
        <w:t>关于《新疆维吾尔自治区地方税务局&lt;关于征收营业税核定营业额有关问题的请示&gt;》的批复</w:t>
      </w:r>
    </w:p>
    <w:p w14:paraId="135DF51E" w14:textId="77777777" w:rsidR="00E2055B" w:rsidRPr="00E2055B" w:rsidRDefault="00E2055B" w:rsidP="00E2055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纳税人将同类商品房销售给关联企业职工或与该纳税人有特定关系的自然人，价格明显低于销售给其他无关联关系的购房者的价格的，属于《中华人民共和国营业税暂行条例》第七条所称价格明显偏低并无正当理由的情形，主管税务</w:t>
      </w:r>
      <w:r w:rsidRPr="00E2055B">
        <w:rPr>
          <w:rFonts w:asciiTheme="minorEastAsia" w:eastAsiaTheme="minorEastAsia" w:hAnsiTheme="minorEastAsia" w:hint="eastAsia"/>
          <w:color w:val="000000" w:themeColor="text1"/>
        </w:rPr>
        <w:lastRenderedPageBreak/>
        <w:t>机关可以按照《中华人民共和国营业税暂行条例实施细则》第二十条的规定核定其营业额。</w:t>
      </w:r>
    </w:p>
    <w:p w14:paraId="1691498E" w14:textId="265214E7"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hyperlink r:id="rId23" w:history="1">
        <w:r w:rsidRPr="00BC0E18">
          <w:rPr>
            <w:rStyle w:val="a5"/>
            <w:rFonts w:asciiTheme="minorEastAsia" w:eastAsiaTheme="minorEastAsia" w:hAnsiTheme="minorEastAsia" w:hint="eastAsia"/>
            <w:shd w:val="clear" w:color="auto" w:fill="FFFFFF"/>
          </w:rPr>
          <w:t>税总办函（2013）884号</w:t>
        </w:r>
      </w:hyperlink>
      <w:r w:rsidRPr="00E2055B">
        <w:rPr>
          <w:rFonts w:asciiTheme="minorEastAsia" w:eastAsiaTheme="minorEastAsia" w:hAnsiTheme="minorEastAsia" w:hint="eastAsia"/>
          <w:color w:val="000000" w:themeColor="text1"/>
        </w:rPr>
        <w:t>）</w:t>
      </w:r>
    </w:p>
    <w:bookmarkEnd w:id="2"/>
    <w:p w14:paraId="5EBF9544" w14:textId="44253E77" w:rsidR="00E2055B" w:rsidRPr="00E2055B" w:rsidRDefault="00E2055B" w:rsidP="00E2055B">
      <w:pPr>
        <w:pStyle w:val="1"/>
        <w:spacing w:before="50" w:after="0" w:line="480" w:lineRule="atLeast"/>
        <w:rPr>
          <w:rFonts w:asciiTheme="minorEastAsia" w:hAnsiTheme="minorEastAsia"/>
          <w:color w:val="000000" w:themeColor="text1"/>
          <w:sz w:val="24"/>
          <w:szCs w:val="24"/>
        </w:rPr>
      </w:pPr>
      <w:r w:rsidRPr="00E2055B">
        <w:rPr>
          <w:rFonts w:asciiTheme="minorEastAsia" w:hAnsiTheme="minorEastAsia" w:hint="eastAsia"/>
          <w:color w:val="000000" w:themeColor="text1"/>
          <w:sz w:val="24"/>
          <w:szCs w:val="24"/>
        </w:rPr>
        <w:t>五、关联调整的方法</w:t>
      </w:r>
    </w:p>
    <w:p w14:paraId="76CE32E2" w14:textId="77777777"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纳税人有本细则第五十四条所列情形之一的，税务机关可以按照下列方法调整计税收入额或者所得额：</w:t>
      </w:r>
    </w:p>
    <w:p w14:paraId="5F82F87E" w14:textId="1D89E9F8"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（一）按照独立企业之间进行的相同或者类似业务活动的价格；</w:t>
      </w:r>
    </w:p>
    <w:p w14:paraId="3E83E54C" w14:textId="2023DF82"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bookmarkStart w:id="3" w:name="_Hlk14808844"/>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24"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第五十五条第一款）</w:t>
      </w:r>
    </w:p>
    <w:bookmarkEnd w:id="3"/>
    <w:p w14:paraId="6500612F" w14:textId="233BE230"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（二）按照再销售给无关联关系的第三者的价格所应取得的收入和利润水平；</w:t>
      </w:r>
    </w:p>
    <w:p w14:paraId="5A9D3A57" w14:textId="58C991E9"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25"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第五十五条第二款）</w:t>
      </w:r>
    </w:p>
    <w:p w14:paraId="5CD3F585" w14:textId="27AB5DB1"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（三）按照成本加合理的费用和利润；</w:t>
      </w:r>
    </w:p>
    <w:p w14:paraId="4A7EC7F5" w14:textId="49993FEE"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26"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第五十五条第三款）</w:t>
      </w:r>
    </w:p>
    <w:p w14:paraId="7CC9D745" w14:textId="69AF676C"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（四）按照其他合理的方法。</w:t>
      </w:r>
    </w:p>
    <w:p w14:paraId="66546707" w14:textId="2053420C"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27"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第五十五条第四款）</w:t>
      </w:r>
    </w:p>
    <w:p w14:paraId="4F016636" w14:textId="4AD9FA43" w:rsidR="00E2055B" w:rsidRPr="00E2055B" w:rsidRDefault="00E2055B" w:rsidP="00E2055B">
      <w:pPr>
        <w:pStyle w:val="1"/>
        <w:spacing w:before="50" w:after="0" w:line="480" w:lineRule="atLeast"/>
        <w:rPr>
          <w:rFonts w:asciiTheme="minorEastAsia" w:hAnsiTheme="minorEastAsia"/>
          <w:color w:val="000000" w:themeColor="text1"/>
          <w:sz w:val="24"/>
          <w:szCs w:val="24"/>
        </w:rPr>
      </w:pPr>
      <w:r w:rsidRPr="00E2055B">
        <w:rPr>
          <w:rFonts w:asciiTheme="minorEastAsia" w:hAnsiTheme="minorEastAsia" w:hint="eastAsia"/>
          <w:color w:val="000000" w:themeColor="text1"/>
          <w:sz w:val="24"/>
          <w:szCs w:val="24"/>
        </w:rPr>
        <w:t>六、关联调整期限</w:t>
      </w:r>
    </w:p>
    <w:p w14:paraId="03BB0A53" w14:textId="77777777" w:rsidR="00E2055B" w:rsidRPr="00E2055B" w:rsidRDefault="00E2055B" w:rsidP="00E2055B">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纳税人与其关联企业未按照独立企业之间的业务往来支付价款、费用的，税务机关自该业务往来发生的纳税年度起３年内进行调整；有特殊情况的，可以自该业务往来发生的纳税年度起１０年内进行调整。</w:t>
      </w:r>
    </w:p>
    <w:p w14:paraId="3987CA6D" w14:textId="30C5117D" w:rsidR="00E2055B" w:rsidRPr="00E2055B" w:rsidRDefault="00E2055B" w:rsidP="00E2055B">
      <w:pPr>
        <w:pStyle w:val="a6"/>
        <w:spacing w:before="50" w:beforeAutospacing="0" w:after="0" w:afterAutospacing="0" w:line="480" w:lineRule="atLeast"/>
        <w:jc w:val="right"/>
        <w:rPr>
          <w:rFonts w:asciiTheme="minorEastAsia" w:eastAsiaTheme="minorEastAsia" w:hAnsiTheme="minorEastAsia"/>
          <w:color w:val="000000" w:themeColor="text1"/>
        </w:rPr>
      </w:pPr>
      <w:r w:rsidRPr="00E2055B">
        <w:rPr>
          <w:rFonts w:asciiTheme="minorEastAsia" w:eastAsiaTheme="minorEastAsia" w:hAnsiTheme="minorEastAsia" w:hint="eastAsia"/>
          <w:color w:val="000000" w:themeColor="text1"/>
        </w:rPr>
        <w:t>（</w:t>
      </w:r>
      <w:r w:rsidR="00225065">
        <w:rPr>
          <w:rFonts w:asciiTheme="minorEastAsia" w:hAnsiTheme="minorEastAsia" w:hint="eastAsia"/>
          <w:color w:val="000000" w:themeColor="text1"/>
        </w:rPr>
        <w:t>《</w:t>
      </w:r>
      <w:hyperlink r:id="rId28" w:history="1">
        <w:r w:rsidR="00225065">
          <w:rPr>
            <w:rStyle w:val="a5"/>
            <w:rFonts w:asciiTheme="minorEastAsia" w:hAnsiTheme="minorEastAsia" w:hint="eastAsia"/>
          </w:rPr>
          <w:t>税收征管法实施细则</w:t>
        </w:r>
      </w:hyperlink>
      <w:r w:rsidR="00225065">
        <w:rPr>
          <w:rFonts w:asciiTheme="minorEastAsia" w:hAnsiTheme="minorEastAsia" w:hint="eastAsia"/>
          <w:color w:val="000000" w:themeColor="text1"/>
        </w:rPr>
        <w:t>》</w:t>
      </w:r>
      <w:r w:rsidRPr="00E2055B">
        <w:rPr>
          <w:rFonts w:asciiTheme="minorEastAsia" w:eastAsiaTheme="minorEastAsia" w:hAnsiTheme="minorEastAsia" w:hint="eastAsia"/>
          <w:color w:val="000000" w:themeColor="text1"/>
        </w:rPr>
        <w:t>第五十六条）</w:t>
      </w:r>
    </w:p>
    <w:bookmarkStart w:id="4" w:name="_GoBack"/>
    <w:p w14:paraId="296D7AE3" w14:textId="288C01C1" w:rsidR="00E2055B" w:rsidRPr="00E2055B" w:rsidRDefault="001C12D2" w:rsidP="001C12D2">
      <w:pPr>
        <w:pStyle w:val="a6"/>
        <w:shd w:val="clear" w:color="auto" w:fill="FFFFFF"/>
        <w:spacing w:beforeLines="50" w:before="156" w:beforeAutospacing="0" w:after="0" w:afterAutospacing="0" w:line="480" w:lineRule="atLeast"/>
        <w:ind w:firstLineChars="198" w:firstLine="475"/>
        <w:rPr>
          <w:rFonts w:asciiTheme="minorEastAsia" w:eastAsiaTheme="minorEastAsia" w:hAnsiTheme="minorEastAsia"/>
          <w:color w:val="000000" w:themeColor="text1"/>
        </w:rPr>
      </w:pPr>
      <w:r w:rsidRPr="001C12D2">
        <w:rPr>
          <w:rFonts w:asciiTheme="minorHAnsi" w:eastAsiaTheme="minorEastAsia" w:hAnsiTheme="minorHAnsi" w:cstheme="minorBidi"/>
          <w:kern w:val="2"/>
        </w:rPr>
        <w:fldChar w:fldCharType="begin"/>
      </w:r>
      <w:r w:rsidRPr="001C12D2">
        <w:rPr>
          <w:rFonts w:asciiTheme="minorHAnsi" w:eastAsiaTheme="minorEastAsia" w:hAnsiTheme="minorHAnsi" w:cstheme="minorBidi"/>
          <w:kern w:val="2"/>
        </w:rPr>
        <w:instrText xml:space="preserve"> HYPERLINK "http://ssfb86.com/index/News/detail/newsid/828.html" \t "_self" </w:instrText>
      </w:r>
      <w:r w:rsidRPr="001C12D2">
        <w:rPr>
          <w:rFonts w:asciiTheme="minorHAnsi" w:eastAsiaTheme="minorEastAsia" w:hAnsiTheme="minorHAnsi" w:cstheme="minorBidi"/>
          <w:kern w:val="2"/>
        </w:rPr>
        <w:fldChar w:fldCharType="separate"/>
      </w:r>
      <w:r w:rsidRPr="001C12D2">
        <w:rPr>
          <w:rFonts w:asciiTheme="minorHAnsi" w:eastAsiaTheme="minorEastAsia" w:hAnsiTheme="minorHAnsi" w:cstheme="minorBidi" w:hint="eastAsia"/>
          <w:color w:val="4788D7"/>
          <w:kern w:val="2"/>
          <w:u w:val="single"/>
          <w:shd w:val="clear" w:color="auto" w:fill="FFFFFF"/>
        </w:rPr>
        <w:t>实施细则</w:t>
      </w:r>
      <w:r w:rsidRPr="001C12D2">
        <w:rPr>
          <w:rFonts w:asciiTheme="minorHAnsi" w:eastAsiaTheme="minorEastAsia" w:hAnsiTheme="minorHAnsi" w:cstheme="minorBidi"/>
          <w:kern w:val="2"/>
        </w:rPr>
        <w:fldChar w:fldCharType="end"/>
      </w:r>
      <w:r w:rsidR="00E2055B" w:rsidRPr="001C12D2">
        <w:rPr>
          <w:rFonts w:asciiTheme="minorEastAsia" w:eastAsiaTheme="minorEastAsia" w:hAnsiTheme="minorEastAsia" w:hint="eastAsia"/>
          <w:color w:val="000000" w:themeColor="text1"/>
        </w:rPr>
        <w:t>第五十六条规定：“有特殊情况的，可以自该业务往来发生的纳税年度起10年内进行调</w:t>
      </w:r>
      <w:bookmarkEnd w:id="4"/>
      <w:r w:rsidR="00E2055B" w:rsidRPr="00E2055B">
        <w:rPr>
          <w:rFonts w:asciiTheme="minorEastAsia" w:eastAsiaTheme="minorEastAsia" w:hAnsiTheme="minorEastAsia" w:hint="eastAsia"/>
          <w:color w:val="000000" w:themeColor="text1"/>
        </w:rPr>
        <w:t>整”。该条所称“特殊情况”是指纳税人有下列情形之一：（一）纳税人在以前年度与其关联企业间的业务往来累计达到或超过10万元人民币的；（二）经税务机关案头审计分析，纳税人在以前年度与其关联企业间的业务往来，预计需调增其应纳税收入或所得额达到或超过50万元人民币的；（三）纳税人在以前年度与设在避税地的关联企业有业务往来的；（四）纳税人在以前年度未按规定进行关联企业间业务往来年度申报，或者经税务机关审查核实，关</w:t>
      </w:r>
      <w:r w:rsidR="00E2055B" w:rsidRPr="00E2055B">
        <w:rPr>
          <w:rFonts w:asciiTheme="minorEastAsia" w:eastAsiaTheme="minorEastAsia" w:hAnsiTheme="minorEastAsia" w:hint="eastAsia"/>
          <w:color w:val="000000" w:themeColor="text1"/>
        </w:rPr>
        <w:lastRenderedPageBreak/>
        <w:t>联企业间业务往来年度申报内容不实，以及不履行提供有关价格、费用标准等资料义务的。</w:t>
      </w:r>
    </w:p>
    <w:p w14:paraId="68100E49" w14:textId="40D90FCF" w:rsidR="00E2055B" w:rsidRPr="00E2055B" w:rsidRDefault="00E2055B" w:rsidP="00E2055B">
      <w:pPr>
        <w:spacing w:beforeLines="50" w:before="156" w:line="480" w:lineRule="atLeast"/>
        <w:jc w:val="right"/>
        <w:rPr>
          <w:rFonts w:asciiTheme="minorEastAsia" w:hAnsiTheme="minorEastAsia"/>
          <w:color w:val="000000" w:themeColor="text1"/>
          <w:sz w:val="24"/>
          <w:szCs w:val="24"/>
        </w:rPr>
      </w:pPr>
      <w:r w:rsidRPr="00E2055B">
        <w:rPr>
          <w:rFonts w:asciiTheme="minorEastAsia" w:hAnsiTheme="minorEastAsia" w:hint="eastAsia"/>
          <w:color w:val="000000" w:themeColor="text1"/>
          <w:sz w:val="24"/>
          <w:szCs w:val="24"/>
        </w:rPr>
        <w:t>（</w:t>
      </w:r>
      <w:hyperlink r:id="rId29" w:history="1">
        <w:r w:rsidRPr="00BC0E18">
          <w:rPr>
            <w:rStyle w:val="a5"/>
            <w:rFonts w:asciiTheme="minorEastAsia" w:hAnsiTheme="minorEastAsia" w:hint="eastAsia"/>
            <w:sz w:val="24"/>
            <w:szCs w:val="24"/>
          </w:rPr>
          <w:t>国税发[2003]47号</w:t>
        </w:r>
      </w:hyperlink>
      <w:r w:rsidRPr="00E2055B">
        <w:rPr>
          <w:rFonts w:asciiTheme="minorEastAsia" w:hAnsiTheme="minorEastAsia" w:hint="eastAsia"/>
          <w:color w:val="000000" w:themeColor="text1"/>
          <w:sz w:val="24"/>
          <w:szCs w:val="24"/>
        </w:rPr>
        <w:t>第十二条）</w:t>
      </w:r>
    </w:p>
    <w:p w14:paraId="4B00ECB9" w14:textId="77777777" w:rsidR="00E2055B" w:rsidRDefault="00E2055B" w:rsidP="00E2055B">
      <w:pPr>
        <w:pStyle w:val="a6"/>
        <w:spacing w:line="540" w:lineRule="atLeast"/>
        <w:ind w:firstLineChars="200" w:firstLine="480"/>
        <w:rPr>
          <w:color w:val="000000"/>
        </w:rPr>
      </w:pPr>
    </w:p>
    <w:p w14:paraId="7D8645C0" w14:textId="77777777" w:rsidR="00E2055B" w:rsidRPr="003C634E" w:rsidRDefault="00E2055B" w:rsidP="00E2055B">
      <w:pPr>
        <w:pStyle w:val="a6"/>
        <w:spacing w:line="540" w:lineRule="atLeast"/>
        <w:ind w:firstLineChars="200" w:firstLine="480"/>
        <w:rPr>
          <w:color w:val="000000"/>
        </w:rPr>
      </w:pPr>
    </w:p>
    <w:p w14:paraId="45740D9B" w14:textId="7DEF2E46" w:rsidR="00A521AA" w:rsidRDefault="00A521AA" w:rsidP="00A521AA">
      <w:pPr>
        <w:spacing w:beforeLines="50" w:before="156" w:afterLines="50" w:after="156" w:line="540" w:lineRule="atLeast"/>
        <w:jc w:val="left"/>
        <w:rPr>
          <w:rFonts w:asciiTheme="minorEastAsia" w:hAnsiTheme="minorEastAsia"/>
          <w:color w:val="000000" w:themeColor="text1"/>
          <w:sz w:val="24"/>
          <w:szCs w:val="24"/>
          <w:shd w:val="clear" w:color="auto" w:fill="FFFFFF"/>
        </w:rPr>
      </w:pPr>
    </w:p>
    <w:p w14:paraId="200FCD4F" w14:textId="77777777" w:rsidR="00AD3535" w:rsidRDefault="00AD3535" w:rsidP="00A521AA">
      <w:pPr>
        <w:spacing w:beforeLines="50" w:before="156" w:afterLines="50" w:after="156" w:line="540" w:lineRule="atLeast"/>
        <w:jc w:val="left"/>
        <w:rPr>
          <w:rFonts w:ascii="微软雅黑" w:eastAsia="微软雅黑" w:hAnsi="微软雅黑"/>
          <w:color w:val="0070C0"/>
          <w:sz w:val="24"/>
          <w:szCs w:val="24"/>
        </w:rPr>
      </w:pPr>
    </w:p>
    <w:p w14:paraId="7353983F" w14:textId="10BBF241" w:rsidR="00F77F05" w:rsidRPr="008A1F39" w:rsidRDefault="00F77F05" w:rsidP="00F77F05">
      <w:pPr>
        <w:pStyle w:val="a6"/>
        <w:shd w:val="clear" w:color="auto" w:fill="FFFFFF"/>
        <w:spacing w:beforeLines="50" w:before="156" w:beforeAutospacing="0" w:afterLines="50" w:after="156" w:afterAutospacing="0" w:line="540" w:lineRule="atLeast"/>
        <w:ind w:firstLineChars="200" w:firstLine="562"/>
        <w:rPr>
          <w:b/>
          <w:bCs/>
          <w:sz w:val="28"/>
          <w:szCs w:val="28"/>
        </w:rPr>
      </w:pPr>
    </w:p>
    <w:p w14:paraId="1549620F" w14:textId="77777777" w:rsidR="008A1F39" w:rsidRPr="008A494D" w:rsidRDefault="008A1F39" w:rsidP="00F77F05">
      <w:pPr>
        <w:pStyle w:val="a6"/>
        <w:shd w:val="clear" w:color="auto" w:fill="FFFFFF"/>
        <w:spacing w:beforeLines="50" w:before="156" w:beforeAutospacing="0" w:afterLines="50" w:after="156" w:afterAutospacing="0" w:line="540" w:lineRule="atLeast"/>
        <w:ind w:firstLineChars="200" w:firstLine="562"/>
        <w:rPr>
          <w:b/>
          <w:bCs/>
          <w:sz w:val="28"/>
          <w:szCs w:val="28"/>
        </w:rPr>
      </w:pPr>
    </w:p>
    <w:p w14:paraId="4AECD283" w14:textId="77777777" w:rsidR="009B7427" w:rsidRDefault="009B7427"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656ACFC3" w14:textId="77777777" w:rsidR="006C6815" w:rsidRDefault="006C6815" w:rsidP="009B7427">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220CD44A" w14:textId="77777777" w:rsidR="009B7427" w:rsidRPr="008A627E" w:rsidRDefault="009B7427" w:rsidP="009B7427">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9B7427" w:rsidRPr="008A627E">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CE469" w14:textId="77777777" w:rsidR="00AA1A78" w:rsidRDefault="00AA1A78" w:rsidP="005908E2">
      <w:r>
        <w:separator/>
      </w:r>
    </w:p>
  </w:endnote>
  <w:endnote w:type="continuationSeparator" w:id="0">
    <w:p w14:paraId="6EC4B53B" w14:textId="77777777" w:rsidR="00AA1A78" w:rsidRDefault="00AA1A78"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986CAF" w:rsidRDefault="00986CA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C12D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C12D2">
              <w:rPr>
                <w:b/>
                <w:bCs/>
                <w:noProof/>
              </w:rPr>
              <w:t>4</w:t>
            </w:r>
            <w:r>
              <w:rPr>
                <w:b/>
                <w:bCs/>
                <w:sz w:val="24"/>
                <w:szCs w:val="24"/>
              </w:rPr>
              <w:fldChar w:fldCharType="end"/>
            </w:r>
          </w:p>
        </w:sdtContent>
      </w:sdt>
    </w:sdtContent>
  </w:sdt>
  <w:p w14:paraId="7DD1E703" w14:textId="77777777" w:rsidR="00986CAF" w:rsidRDefault="00986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DD8E4" w14:textId="77777777" w:rsidR="00AA1A78" w:rsidRDefault="00AA1A78" w:rsidP="005908E2">
      <w:r>
        <w:separator/>
      </w:r>
    </w:p>
  </w:footnote>
  <w:footnote w:type="continuationSeparator" w:id="0">
    <w:p w14:paraId="45CD66FA" w14:textId="77777777" w:rsidR="00AA1A78" w:rsidRDefault="00AA1A78"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39B2"/>
    <w:rsid w:val="00075153"/>
    <w:rsid w:val="00081555"/>
    <w:rsid w:val="00081D70"/>
    <w:rsid w:val="00082DA8"/>
    <w:rsid w:val="00094EB7"/>
    <w:rsid w:val="000A33D0"/>
    <w:rsid w:val="000A3AA2"/>
    <w:rsid w:val="000A520E"/>
    <w:rsid w:val="000B2F8E"/>
    <w:rsid w:val="000B4604"/>
    <w:rsid w:val="000D155C"/>
    <w:rsid w:val="000D26F7"/>
    <w:rsid w:val="000E5CB3"/>
    <w:rsid w:val="000E6068"/>
    <w:rsid w:val="000F0308"/>
    <w:rsid w:val="000F0A5F"/>
    <w:rsid w:val="000F38D4"/>
    <w:rsid w:val="00103CFD"/>
    <w:rsid w:val="0011250C"/>
    <w:rsid w:val="00126795"/>
    <w:rsid w:val="001307EA"/>
    <w:rsid w:val="00146B64"/>
    <w:rsid w:val="00152BEC"/>
    <w:rsid w:val="00154D8D"/>
    <w:rsid w:val="00170248"/>
    <w:rsid w:val="00175195"/>
    <w:rsid w:val="0017727E"/>
    <w:rsid w:val="00177948"/>
    <w:rsid w:val="00181799"/>
    <w:rsid w:val="0018239E"/>
    <w:rsid w:val="001923D9"/>
    <w:rsid w:val="001B4825"/>
    <w:rsid w:val="001C12D2"/>
    <w:rsid w:val="001E1525"/>
    <w:rsid w:val="001F33E6"/>
    <w:rsid w:val="001F39CF"/>
    <w:rsid w:val="002029CD"/>
    <w:rsid w:val="0021733A"/>
    <w:rsid w:val="00221D6F"/>
    <w:rsid w:val="00225065"/>
    <w:rsid w:val="002312C1"/>
    <w:rsid w:val="00237FC9"/>
    <w:rsid w:val="0024317C"/>
    <w:rsid w:val="002477A7"/>
    <w:rsid w:val="0024798E"/>
    <w:rsid w:val="00284163"/>
    <w:rsid w:val="0029289F"/>
    <w:rsid w:val="00293639"/>
    <w:rsid w:val="002A1EA3"/>
    <w:rsid w:val="002A4923"/>
    <w:rsid w:val="002A5EB8"/>
    <w:rsid w:val="002D3A69"/>
    <w:rsid w:val="002D6995"/>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6C84"/>
    <w:rsid w:val="003B0368"/>
    <w:rsid w:val="003E0B7E"/>
    <w:rsid w:val="003E2ABF"/>
    <w:rsid w:val="003E2D07"/>
    <w:rsid w:val="003E3D3E"/>
    <w:rsid w:val="003F589A"/>
    <w:rsid w:val="0042253E"/>
    <w:rsid w:val="00425CE7"/>
    <w:rsid w:val="0042736C"/>
    <w:rsid w:val="00435080"/>
    <w:rsid w:val="00441638"/>
    <w:rsid w:val="00454CFE"/>
    <w:rsid w:val="00457ED7"/>
    <w:rsid w:val="00461BBB"/>
    <w:rsid w:val="0046763C"/>
    <w:rsid w:val="00473E5F"/>
    <w:rsid w:val="00484E3E"/>
    <w:rsid w:val="00490250"/>
    <w:rsid w:val="00492F0E"/>
    <w:rsid w:val="004978D5"/>
    <w:rsid w:val="004A55CE"/>
    <w:rsid w:val="004B1931"/>
    <w:rsid w:val="004B4BB4"/>
    <w:rsid w:val="004C320B"/>
    <w:rsid w:val="004C4208"/>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E00D7"/>
    <w:rsid w:val="005E110F"/>
    <w:rsid w:val="005F477E"/>
    <w:rsid w:val="00607CC6"/>
    <w:rsid w:val="00612746"/>
    <w:rsid w:val="0063682B"/>
    <w:rsid w:val="00642C67"/>
    <w:rsid w:val="00644256"/>
    <w:rsid w:val="00650393"/>
    <w:rsid w:val="00651070"/>
    <w:rsid w:val="00653379"/>
    <w:rsid w:val="006562F0"/>
    <w:rsid w:val="006603A7"/>
    <w:rsid w:val="006608F6"/>
    <w:rsid w:val="0066143D"/>
    <w:rsid w:val="00664917"/>
    <w:rsid w:val="00672D93"/>
    <w:rsid w:val="006805B1"/>
    <w:rsid w:val="006947D2"/>
    <w:rsid w:val="006A4061"/>
    <w:rsid w:val="006C3BBB"/>
    <w:rsid w:val="006C3CE7"/>
    <w:rsid w:val="006C6815"/>
    <w:rsid w:val="006D12A5"/>
    <w:rsid w:val="006D2BCA"/>
    <w:rsid w:val="006F62C8"/>
    <w:rsid w:val="006F7D2A"/>
    <w:rsid w:val="00702001"/>
    <w:rsid w:val="00707486"/>
    <w:rsid w:val="007106B3"/>
    <w:rsid w:val="00717BCD"/>
    <w:rsid w:val="00717BE8"/>
    <w:rsid w:val="0072317D"/>
    <w:rsid w:val="007279C1"/>
    <w:rsid w:val="00735FCA"/>
    <w:rsid w:val="00745189"/>
    <w:rsid w:val="007649D4"/>
    <w:rsid w:val="0076793E"/>
    <w:rsid w:val="0078606C"/>
    <w:rsid w:val="007978CB"/>
    <w:rsid w:val="00797FAD"/>
    <w:rsid w:val="007A5C0A"/>
    <w:rsid w:val="007A7150"/>
    <w:rsid w:val="007B5728"/>
    <w:rsid w:val="007C158E"/>
    <w:rsid w:val="007C40D4"/>
    <w:rsid w:val="007C5213"/>
    <w:rsid w:val="007D2D5D"/>
    <w:rsid w:val="007D4101"/>
    <w:rsid w:val="007D4DE1"/>
    <w:rsid w:val="00802A13"/>
    <w:rsid w:val="00813002"/>
    <w:rsid w:val="008175E4"/>
    <w:rsid w:val="0082174A"/>
    <w:rsid w:val="00823915"/>
    <w:rsid w:val="008263A0"/>
    <w:rsid w:val="008403A0"/>
    <w:rsid w:val="00845A9D"/>
    <w:rsid w:val="00851B6C"/>
    <w:rsid w:val="00871788"/>
    <w:rsid w:val="008777CA"/>
    <w:rsid w:val="00884837"/>
    <w:rsid w:val="00886134"/>
    <w:rsid w:val="008A1F39"/>
    <w:rsid w:val="008A627E"/>
    <w:rsid w:val="008B4F9B"/>
    <w:rsid w:val="009061F7"/>
    <w:rsid w:val="009121CE"/>
    <w:rsid w:val="009168B7"/>
    <w:rsid w:val="00920B18"/>
    <w:rsid w:val="009467A0"/>
    <w:rsid w:val="00946CA9"/>
    <w:rsid w:val="0095436E"/>
    <w:rsid w:val="00962753"/>
    <w:rsid w:val="00963B08"/>
    <w:rsid w:val="0098307B"/>
    <w:rsid w:val="00986CAF"/>
    <w:rsid w:val="009A2312"/>
    <w:rsid w:val="009B140D"/>
    <w:rsid w:val="009B7427"/>
    <w:rsid w:val="009C57AE"/>
    <w:rsid w:val="009D749A"/>
    <w:rsid w:val="009F3534"/>
    <w:rsid w:val="00A070EB"/>
    <w:rsid w:val="00A076E4"/>
    <w:rsid w:val="00A13178"/>
    <w:rsid w:val="00A13FFB"/>
    <w:rsid w:val="00A32B72"/>
    <w:rsid w:val="00A406D5"/>
    <w:rsid w:val="00A442E1"/>
    <w:rsid w:val="00A521AA"/>
    <w:rsid w:val="00A575F1"/>
    <w:rsid w:val="00A66603"/>
    <w:rsid w:val="00A72FD8"/>
    <w:rsid w:val="00A74713"/>
    <w:rsid w:val="00A94E76"/>
    <w:rsid w:val="00A97C22"/>
    <w:rsid w:val="00AA1A78"/>
    <w:rsid w:val="00AA2CE6"/>
    <w:rsid w:val="00AC3FB1"/>
    <w:rsid w:val="00AC47FA"/>
    <w:rsid w:val="00AD3535"/>
    <w:rsid w:val="00AD66DA"/>
    <w:rsid w:val="00AD6F22"/>
    <w:rsid w:val="00AD7E52"/>
    <w:rsid w:val="00AE2FD3"/>
    <w:rsid w:val="00B01357"/>
    <w:rsid w:val="00B16AB4"/>
    <w:rsid w:val="00B20E69"/>
    <w:rsid w:val="00B24B12"/>
    <w:rsid w:val="00B2741C"/>
    <w:rsid w:val="00B35DE9"/>
    <w:rsid w:val="00B57002"/>
    <w:rsid w:val="00B5716C"/>
    <w:rsid w:val="00B610D0"/>
    <w:rsid w:val="00B6247E"/>
    <w:rsid w:val="00B76901"/>
    <w:rsid w:val="00B77F28"/>
    <w:rsid w:val="00B87AA5"/>
    <w:rsid w:val="00B91EC8"/>
    <w:rsid w:val="00B931A0"/>
    <w:rsid w:val="00BA45A1"/>
    <w:rsid w:val="00BC0E18"/>
    <w:rsid w:val="00BC124F"/>
    <w:rsid w:val="00BC7C17"/>
    <w:rsid w:val="00BD0681"/>
    <w:rsid w:val="00BD0B17"/>
    <w:rsid w:val="00BD7ACA"/>
    <w:rsid w:val="00BF17D2"/>
    <w:rsid w:val="00C22508"/>
    <w:rsid w:val="00C23E55"/>
    <w:rsid w:val="00C2656D"/>
    <w:rsid w:val="00C317EE"/>
    <w:rsid w:val="00C46728"/>
    <w:rsid w:val="00C470E0"/>
    <w:rsid w:val="00C53F79"/>
    <w:rsid w:val="00C5423F"/>
    <w:rsid w:val="00C54594"/>
    <w:rsid w:val="00C54C60"/>
    <w:rsid w:val="00C571DD"/>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0F69"/>
    <w:rsid w:val="00D82F70"/>
    <w:rsid w:val="00D879F5"/>
    <w:rsid w:val="00D91F23"/>
    <w:rsid w:val="00D95F8F"/>
    <w:rsid w:val="00DA72F0"/>
    <w:rsid w:val="00DB5232"/>
    <w:rsid w:val="00DC3619"/>
    <w:rsid w:val="00DC44B8"/>
    <w:rsid w:val="00DC5DDD"/>
    <w:rsid w:val="00DD2A9F"/>
    <w:rsid w:val="00DD5D1D"/>
    <w:rsid w:val="00DE00E3"/>
    <w:rsid w:val="00DE035B"/>
    <w:rsid w:val="00DE5D5A"/>
    <w:rsid w:val="00DE6D84"/>
    <w:rsid w:val="00DE7FE0"/>
    <w:rsid w:val="00DF4380"/>
    <w:rsid w:val="00DF44E3"/>
    <w:rsid w:val="00DF6112"/>
    <w:rsid w:val="00DF7F1D"/>
    <w:rsid w:val="00E02096"/>
    <w:rsid w:val="00E05BEC"/>
    <w:rsid w:val="00E068A0"/>
    <w:rsid w:val="00E06AA8"/>
    <w:rsid w:val="00E1040E"/>
    <w:rsid w:val="00E1242D"/>
    <w:rsid w:val="00E2055B"/>
    <w:rsid w:val="00E20B16"/>
    <w:rsid w:val="00E22CEF"/>
    <w:rsid w:val="00E23F08"/>
    <w:rsid w:val="00E24562"/>
    <w:rsid w:val="00E26EA5"/>
    <w:rsid w:val="00E274D0"/>
    <w:rsid w:val="00E43974"/>
    <w:rsid w:val="00E47E9C"/>
    <w:rsid w:val="00E57568"/>
    <w:rsid w:val="00E6278E"/>
    <w:rsid w:val="00E644C6"/>
    <w:rsid w:val="00E66434"/>
    <w:rsid w:val="00E700F9"/>
    <w:rsid w:val="00E71F17"/>
    <w:rsid w:val="00E7673A"/>
    <w:rsid w:val="00E85A62"/>
    <w:rsid w:val="00E97E46"/>
    <w:rsid w:val="00EB1A88"/>
    <w:rsid w:val="00EB3844"/>
    <w:rsid w:val="00EE2EA5"/>
    <w:rsid w:val="00EF0EE2"/>
    <w:rsid w:val="00F0101F"/>
    <w:rsid w:val="00F15D34"/>
    <w:rsid w:val="00F201E0"/>
    <w:rsid w:val="00F2789A"/>
    <w:rsid w:val="00F335F4"/>
    <w:rsid w:val="00F44F2C"/>
    <w:rsid w:val="00F467A0"/>
    <w:rsid w:val="00F56E6F"/>
    <w:rsid w:val="00F57C18"/>
    <w:rsid w:val="00F703C0"/>
    <w:rsid w:val="00F77F05"/>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828.html" TargetMode="External"/><Relationship Id="rId18" Type="http://schemas.openxmlformats.org/officeDocument/2006/relationships/hyperlink" Target="http://ssfb86.com/index/News/detail/newsid/828.html" TargetMode="External"/><Relationship Id="rId26" Type="http://schemas.openxmlformats.org/officeDocument/2006/relationships/hyperlink" Target="http://ssfb86.com/index/News/detail/newsid/828.html" TargetMode="External"/><Relationship Id="rId3" Type="http://schemas.openxmlformats.org/officeDocument/2006/relationships/styles" Target="styles.xml"/><Relationship Id="rId21" Type="http://schemas.openxmlformats.org/officeDocument/2006/relationships/hyperlink" Target="http://ssfb86.com/index/News/detail/newsid/828.html" TargetMode="External"/><Relationship Id="rId7" Type="http://schemas.openxmlformats.org/officeDocument/2006/relationships/footnotes" Target="footnotes.xm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828.html" TargetMode="External"/><Relationship Id="rId25" Type="http://schemas.openxmlformats.org/officeDocument/2006/relationships/hyperlink" Target="http://ssfb86.com/index/News/detail/newsid/828.html" TargetMode="External"/><Relationship Id="rId2" Type="http://schemas.openxmlformats.org/officeDocument/2006/relationships/numbering" Target="numbering.xml"/><Relationship Id="rId16" Type="http://schemas.openxmlformats.org/officeDocument/2006/relationships/hyperlink" Target="http://ssfb86.com/index/News/detail/newsid/828.html" TargetMode="External"/><Relationship Id="rId20" Type="http://schemas.openxmlformats.org/officeDocument/2006/relationships/hyperlink" Target="http://ssfb86.com/index/News/detail/newsid/828.html" TargetMode="External"/><Relationship Id="rId29" Type="http://schemas.openxmlformats.org/officeDocument/2006/relationships/hyperlink" Target="http://ssfb86.com/index/News/detail/newsid/388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828.html" TargetMode="External"/><Relationship Id="rId24" Type="http://schemas.openxmlformats.org/officeDocument/2006/relationships/hyperlink" Target="http://ssfb86.com/index/News/detail/newsid/828.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fb86.com/index/News/detail/newsid/828.html" TargetMode="External"/><Relationship Id="rId23" Type="http://schemas.openxmlformats.org/officeDocument/2006/relationships/hyperlink" Target="http://ssfb86.com/index/News/detail/newsid/1304.html" TargetMode="External"/><Relationship Id="rId28" Type="http://schemas.openxmlformats.org/officeDocument/2006/relationships/hyperlink" Target="http://ssfb86.com/index/News/detail/newsid/828.html" TargetMode="Externa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828.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036.html" TargetMode="External"/><Relationship Id="rId22" Type="http://schemas.openxmlformats.org/officeDocument/2006/relationships/hyperlink" Target="http://ssfb86.com/index/News/detail/newsid/828.html" TargetMode="External"/><Relationship Id="rId27" Type="http://schemas.openxmlformats.org/officeDocument/2006/relationships/hyperlink" Target="http://ssfb86.com/index/News/detail/newsid/828.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74B89-75EE-43A2-805A-5F5A982E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9</cp:revision>
  <dcterms:created xsi:type="dcterms:W3CDTF">2020-08-31T13:59:00Z</dcterms:created>
  <dcterms:modified xsi:type="dcterms:W3CDTF">2020-09-25T08:57:00Z</dcterms:modified>
</cp:coreProperties>
</file>