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C5B16" w14:textId="77777777" w:rsidR="00E07687" w:rsidRPr="00D06CD0" w:rsidRDefault="00E07687" w:rsidP="00D06CD0">
      <w:pPr>
        <w:spacing w:beforeLines="50" w:before="156" w:line="480" w:lineRule="atLeast"/>
        <w:rPr>
          <w:rFonts w:asciiTheme="minorEastAsia" w:hAnsiTheme="minorEastAsia" w:hint="eastAsia"/>
          <w:sz w:val="24"/>
          <w:szCs w:val="24"/>
        </w:rPr>
      </w:pPr>
    </w:p>
    <w:p w14:paraId="2EEF39C7" w14:textId="77777777" w:rsidR="00D06CD0" w:rsidRPr="00D06CD0" w:rsidRDefault="0046040E" w:rsidP="00D06CD0">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2.</w:t>
      </w:r>
      <w:r w:rsidR="008A1629">
        <w:rPr>
          <w:rFonts w:asciiTheme="minorEastAsia" w:hAnsiTheme="minorEastAsia" w:hint="eastAsia"/>
          <w:sz w:val="44"/>
          <w:szCs w:val="44"/>
        </w:rPr>
        <w:t>3</w:t>
      </w:r>
      <w:r w:rsidR="00D43057">
        <w:rPr>
          <w:rFonts w:asciiTheme="minorEastAsia" w:hAnsiTheme="minorEastAsia" w:hint="eastAsia"/>
          <w:sz w:val="44"/>
          <w:szCs w:val="44"/>
        </w:rPr>
        <w:t>.</w:t>
      </w:r>
      <w:r w:rsidR="008A1629">
        <w:rPr>
          <w:rFonts w:asciiTheme="minorEastAsia" w:hAnsiTheme="minorEastAsia" w:hint="eastAsia"/>
          <w:sz w:val="44"/>
          <w:szCs w:val="44"/>
        </w:rPr>
        <w:t>1</w:t>
      </w:r>
      <w:r w:rsidR="00D06CD0" w:rsidRPr="00D06CD0">
        <w:rPr>
          <w:rFonts w:asciiTheme="minorEastAsia" w:hAnsiTheme="minorEastAsia" w:hint="eastAsia"/>
          <w:sz w:val="44"/>
          <w:szCs w:val="44"/>
        </w:rPr>
        <w:t xml:space="preserve">  </w:t>
      </w:r>
      <w:r w:rsidR="008A1629" w:rsidRPr="008A1629">
        <w:rPr>
          <w:rFonts w:asciiTheme="minorEastAsia" w:hAnsiTheme="minorEastAsia" w:hint="eastAsia"/>
          <w:sz w:val="44"/>
          <w:szCs w:val="44"/>
        </w:rPr>
        <w:t>指导意见</w:t>
      </w:r>
    </w:p>
    <w:p w14:paraId="2A885884" w14:textId="77777777" w:rsidR="00D06CD0" w:rsidRDefault="00D06CD0" w:rsidP="00AD5735">
      <w:pPr>
        <w:spacing w:beforeLines="50" w:before="156" w:line="480" w:lineRule="atLeast"/>
        <w:rPr>
          <w:rFonts w:asciiTheme="minorEastAsia" w:hAnsiTheme="minorEastAsia"/>
          <w:color w:val="000000" w:themeColor="text1"/>
          <w:sz w:val="24"/>
          <w:szCs w:val="24"/>
        </w:rPr>
      </w:pPr>
    </w:p>
    <w:p w14:paraId="4BB895E5"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为规范税收执法行为，切实保障纳税人合法权益，加快推进税务机关依法行政，构建和谐税收征纳关系，根据《全面推进依法行政实施纲要》、《国务院关于加强法治政府建设的意见》（国发[2010]33号）和有关规定，结合税收工作实际，提出如下指导意见：</w:t>
      </w:r>
    </w:p>
    <w:p w14:paraId="035B5926" w14:textId="77777777" w:rsidR="008A1629" w:rsidRPr="008A1629" w:rsidRDefault="008A1629" w:rsidP="008A1629">
      <w:pPr>
        <w:pStyle w:val="1"/>
        <w:spacing w:before="50" w:after="0" w:line="480" w:lineRule="atLeast"/>
        <w:rPr>
          <w:rFonts w:asciiTheme="minorEastAsia" w:hAnsiTheme="minorEastAsia"/>
          <w:color w:val="000000" w:themeColor="text1"/>
          <w:sz w:val="24"/>
          <w:szCs w:val="24"/>
        </w:rPr>
      </w:pPr>
      <w:r w:rsidRPr="008A1629">
        <w:rPr>
          <w:rFonts w:asciiTheme="minorEastAsia" w:hAnsiTheme="minorEastAsia" w:hint="eastAsia"/>
          <w:color w:val="000000" w:themeColor="text1"/>
          <w:sz w:val="24"/>
          <w:szCs w:val="24"/>
        </w:rPr>
        <w:t>一、必要性</w:t>
      </w:r>
    </w:p>
    <w:p w14:paraId="6277A9F2"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行政裁量权是行政机关依法行使行政处罚、行政许可、行政强制、行政征收、行政给付等职权时，根据法律、法规和规章的规定，依据立法目的和公平合理的原则，自主作出决定和选择行为方式、种类和幅度的权力。行政裁量权是现代行政权的重要组成部分，也是现代行政的必然要求。它的存在既是社会关系的复杂性所决定，又是法律规范的局限性所决定；既是提高行政效率的需要，也是实现个案公平的需要。但行政裁量权又是一把双刃剑，容易被行政机关滥用，侵害公民、法人和其他组织的合法权益。因此，赋予行政机关行政裁量权的同时，必须对其进行规范和控制。</w:t>
      </w:r>
    </w:p>
    <w:p w14:paraId="23BF8A06"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税收执法的许多方面和环节涉及到行政裁量权，规范税务行政裁量权具有十分重要的现实意义。</w:t>
      </w:r>
    </w:p>
    <w:p w14:paraId="061ECB3F"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一）规范税务行政裁量权是服务科学发展、共建和谐税收的必然选择。服务科学发展、共建和谐税收要求税务机关始终坚持依法行政，使税法得到普遍遵从。提高税法遵从度，既要靠纳税人增强依法诚信纳税意识，自觉履行纳税义务，也要靠税务机关坚持依法行政，带动和引导纳税人自觉遵从税法。提高税法遵从度是税务机关和纳税人共同的责任和义务，税务机关尤其要带头遵从税法。规范税务行政裁量权，限制和规范税收执法权，有利于切实提高税务机关依法行政的质量和水平，有效促进税务机关带头遵从税法，并充分带动纳税人自觉遵从税法，不断实现税收征纳关系的和谐。</w:t>
      </w:r>
    </w:p>
    <w:p w14:paraId="6667D2CD" w14:textId="0571BEF6"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bookmarkStart w:id="0" w:name="_Hlk17236390"/>
      <w:r w:rsidRPr="008A1629">
        <w:rPr>
          <w:rFonts w:asciiTheme="minorEastAsia" w:hAnsiTheme="minorEastAsia" w:hint="eastAsia"/>
          <w:b/>
          <w:bCs/>
          <w:color w:val="000000" w:themeColor="text1"/>
          <w:sz w:val="24"/>
          <w:szCs w:val="24"/>
        </w:rPr>
        <w:lastRenderedPageBreak/>
        <w:t>（</w:t>
      </w:r>
      <w:hyperlink r:id="rId6" w:history="1">
        <w:r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第一条第一款）</w:t>
      </w:r>
    </w:p>
    <w:bookmarkEnd w:id="0"/>
    <w:p w14:paraId="380EF50A"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二）规范税务行政裁量权是推进依法行政、保障纳税人合法权益的现实要求。推进依法行政有利于促进各级税务机关依法履行职责，规范和约束行政权力，保障纳税人依法享有的各项权利和自由。规范税务行政裁量权，防止和减少税务机关随意执法、选择性执法和机械性执法等问题，有利于进一步推进依法行政，真正做到严格执法、规范执法、公正执法、文明执法，切实保障纳税人的合法权益。</w:t>
      </w:r>
    </w:p>
    <w:p w14:paraId="30DB500F" w14:textId="206B48CE"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7"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第一条第二款）</w:t>
      </w:r>
    </w:p>
    <w:p w14:paraId="689B179A"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三）规范税务行政裁量权是加强税务机关自身建设、防范税收执法风险的有效途径。规范执法行为、提高执法质量是税务机关加强自身建设、防范执法风险的重要目标。规范税务行政裁量权，合理调整执法权行使的弹性空间，有利于促进税务行政裁量定位更准确，操作更规范，有效降低税务机关和税务人员的执法风险，全面提升税务机关的执法形象。</w:t>
      </w:r>
    </w:p>
    <w:p w14:paraId="20E56C14" w14:textId="55D65460"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8"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第一条第三款）</w:t>
      </w:r>
    </w:p>
    <w:p w14:paraId="1C6FFBC8"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四）规范税务行政裁量权是促进税务机关廉政建设、遏制腐败的重要举措。深入推进税务系统反腐倡廉建设必须强化对税收执法权和行政管理权的监督，规范“两权”运行。作为税收执法权的重要组成部分，税务行政裁量权的规范行使是遏制腐败的重要保证。规范税务行政裁量权，从机制上加强对税收执法权运行的监控，有利于实现制度防腐和源头防腐，有效遏制税收执法领域职务腐败的发生。</w:t>
      </w:r>
    </w:p>
    <w:p w14:paraId="0F1AEA32" w14:textId="4D12D4B6"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9"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第一条第四款）</w:t>
      </w:r>
    </w:p>
    <w:p w14:paraId="16973F08" w14:textId="77777777" w:rsidR="008A1629" w:rsidRPr="008A1629" w:rsidRDefault="008A1629" w:rsidP="008A1629">
      <w:pPr>
        <w:pStyle w:val="1"/>
        <w:spacing w:before="50" w:after="0" w:line="480" w:lineRule="atLeast"/>
        <w:rPr>
          <w:rFonts w:asciiTheme="minorEastAsia" w:hAnsiTheme="minorEastAsia"/>
          <w:color w:val="000000" w:themeColor="text1"/>
          <w:sz w:val="24"/>
          <w:szCs w:val="24"/>
        </w:rPr>
      </w:pPr>
      <w:r w:rsidRPr="008A1629">
        <w:rPr>
          <w:rFonts w:asciiTheme="minorEastAsia" w:hAnsiTheme="minorEastAsia" w:hint="eastAsia"/>
          <w:color w:val="000000" w:themeColor="text1"/>
          <w:sz w:val="24"/>
          <w:szCs w:val="24"/>
        </w:rPr>
        <w:t>二、基本要求</w:t>
      </w:r>
    </w:p>
    <w:p w14:paraId="4359D898"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（一）合法裁量。</w:t>
      </w:r>
    </w:p>
    <w:p w14:paraId="68D70C05"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税务机关行使行政裁量权应当依照法律法规进行。税务机关行使行政裁量权应当依照法定权力、条件、范围、幅度和程序进行。</w:t>
      </w:r>
    </w:p>
    <w:p w14:paraId="1CF4FCA0" w14:textId="0482D5FB"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bookmarkStart w:id="1" w:name="_Hlk17236422"/>
      <w:r w:rsidRPr="008A1629">
        <w:rPr>
          <w:rFonts w:asciiTheme="minorEastAsia" w:hAnsiTheme="minorEastAsia" w:hint="eastAsia"/>
          <w:b/>
          <w:bCs/>
          <w:color w:val="000000" w:themeColor="text1"/>
          <w:sz w:val="24"/>
          <w:szCs w:val="24"/>
        </w:rPr>
        <w:t>（</w:t>
      </w:r>
      <w:hyperlink r:id="rId10"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第二条第一款）</w:t>
      </w:r>
    </w:p>
    <w:bookmarkEnd w:id="1"/>
    <w:p w14:paraId="7D8C53AC"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lastRenderedPageBreak/>
        <w:t>（二）合理裁量。</w:t>
      </w:r>
    </w:p>
    <w:p w14:paraId="0B72ED9E" w14:textId="00E2D699" w:rsidR="008A1629" w:rsidRPr="008A1629" w:rsidRDefault="008A1629" w:rsidP="008A1629">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8A1629">
        <w:rPr>
          <w:rFonts w:asciiTheme="minorEastAsia" w:hAnsiTheme="minorEastAsia" w:cs="宋体" w:hint="eastAsia"/>
          <w:color w:val="000000" w:themeColor="text1"/>
          <w:kern w:val="0"/>
          <w:sz w:val="24"/>
          <w:szCs w:val="24"/>
        </w:rPr>
        <w:t>税务机关行使行政裁量权应当符合立法目的和法律原则。要全面考虑相关事实因素和法律因素，排除不相关因素的干扰，维护纳税人合法权益，努力实现法律效果与社会效果的统一。可以采取多种方式实现行政目的的，应当选择对纳税人权益损害最小的方式，对纳税人造成的损害不得与所保护的法定利益显失均衡。</w:t>
      </w:r>
      <w:r w:rsidRPr="008A1629">
        <w:rPr>
          <w:rFonts w:asciiTheme="minorEastAsia" w:hAnsiTheme="minorEastAsia" w:hint="eastAsia"/>
          <w:b/>
          <w:bCs/>
          <w:color w:val="000000" w:themeColor="text1"/>
          <w:sz w:val="24"/>
          <w:szCs w:val="24"/>
        </w:rPr>
        <w:t>（</w:t>
      </w:r>
      <w:hyperlink r:id="rId11"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第二条第二款）</w:t>
      </w:r>
    </w:p>
    <w:p w14:paraId="53126AE3"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（三）公正裁量。</w:t>
      </w:r>
    </w:p>
    <w:p w14:paraId="049B71EA"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应当平等对待纳税人，同样情形同等处理。对事实、性质、情节及社会危害程度等因素基本相同的税务事项，应当给予基本相同的处理。同一地区国、地税机关对相同税务管理事项的处理应当一致。非因法定事由并经法定程序，不得撤销、变更已经生效的税务决定。因国家利益、公共利益或者其他法定事由需要撤销或者变更税务决定的，应当依照法定权限和程序进行，对纳税人因此而受到的财产损失依法予以补偿。</w:t>
      </w:r>
    </w:p>
    <w:p w14:paraId="5A6DE39D" w14:textId="138BC4CF"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2"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第二条第三款）</w:t>
      </w:r>
    </w:p>
    <w:p w14:paraId="44C1F46C"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（四）程序正当。</w:t>
      </w:r>
    </w:p>
    <w:p w14:paraId="5FCAACC6"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应当严格遵循法定程序，注意听取纳税人的意见，依法保障纳税人的知情权、参与权和救济权。税务人员与纳税人存在利害关系时，应当依法回避。税务机关行使行政裁量权作出税务决定时，应当说明理由。</w:t>
      </w:r>
    </w:p>
    <w:p w14:paraId="7D530417" w14:textId="3C9FA0E3"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3"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第二条第四款）</w:t>
      </w:r>
    </w:p>
    <w:p w14:paraId="74D0D03A"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（五）公开透明。</w:t>
      </w:r>
    </w:p>
    <w:p w14:paraId="09D1343D"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税务机关行使行政裁量权，除涉及国家秘密和依法受到保护的商业秘密、个人隐私外，应当依法公开执法依据、执法过程、处理结果等。</w:t>
      </w:r>
    </w:p>
    <w:p w14:paraId="39CDC2AE" w14:textId="3F96A9E4"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4"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第二条第五款）</w:t>
      </w:r>
    </w:p>
    <w:p w14:paraId="25B261BB" w14:textId="77777777" w:rsidR="008A1629" w:rsidRPr="008A1629" w:rsidRDefault="008A1629" w:rsidP="008A1629">
      <w:pPr>
        <w:pStyle w:val="1"/>
        <w:spacing w:before="50" w:after="0" w:line="480" w:lineRule="atLeast"/>
        <w:rPr>
          <w:rFonts w:asciiTheme="minorEastAsia" w:hAnsiTheme="minorEastAsia"/>
          <w:color w:val="000000" w:themeColor="text1"/>
          <w:sz w:val="24"/>
          <w:szCs w:val="24"/>
        </w:rPr>
      </w:pPr>
      <w:r w:rsidRPr="008A1629">
        <w:rPr>
          <w:rFonts w:asciiTheme="minorEastAsia" w:hAnsiTheme="minorEastAsia" w:hint="eastAsia"/>
          <w:color w:val="000000" w:themeColor="text1"/>
          <w:sz w:val="24"/>
          <w:szCs w:val="24"/>
        </w:rPr>
        <w:t>三、建立制度</w:t>
      </w:r>
    </w:p>
    <w:p w14:paraId="475C1894"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裁量基准是指行政机关根据执法实际为规范行政裁量权行使而制定的具体标准，是对行政裁量权按照一定标准进行细化、量化和具体化的重要参考指标。</w:t>
      </w:r>
    </w:p>
    <w:p w14:paraId="3327B0D8"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lastRenderedPageBreak/>
        <w:t>（一）裁量基准是对以往执法经验的归纳、总结和提炼。制定裁量基准包括解释法律规范中的不确定法律概念、列举考量因素以及分档、细化量罚幅度等。</w:t>
      </w:r>
    </w:p>
    <w:p w14:paraId="14B82876" w14:textId="35A60E00"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5"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第三条第一款）</w:t>
      </w:r>
    </w:p>
    <w:p w14:paraId="77F4F01C"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二）各省（自治区、直辖市）国、地税机关原则上应当根据本地区税收执法实际，联合制定本地区统一适用的规范各项税务行政裁量权的裁量基准。条件不具备的地方，也可以通过沟通协商制定相对统一的裁量基准。各省（自治区、直辖市）税务机关制定的裁量基准应当报国家税务总局备案。</w:t>
      </w:r>
    </w:p>
    <w:p w14:paraId="0AAC59B0" w14:textId="7EF331B9"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6"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第三条第二款）</w:t>
      </w:r>
    </w:p>
    <w:p w14:paraId="10F95DA0"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（三）税务机关执法应当遵循裁量基准。案件情况特殊，不宜适用裁量基准的，应当在法律文书中说明理由。</w:t>
      </w:r>
    </w:p>
    <w:p w14:paraId="49898ECD" w14:textId="4DBB2207"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7"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第三条第三款）</w:t>
      </w:r>
    </w:p>
    <w:p w14:paraId="3D3839D8"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（四）税务机关适用裁量基准，应当注意听取执法人员、纳税人及专家的意见，及时评估，并根据评估结果对裁量基准进行修改与完善。</w:t>
      </w:r>
    </w:p>
    <w:p w14:paraId="310FF879" w14:textId="0B84F619"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8"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第三条第四款）</w:t>
      </w:r>
    </w:p>
    <w:p w14:paraId="4CBC0E1A" w14:textId="77777777" w:rsidR="008A1629" w:rsidRPr="008A1629" w:rsidRDefault="008A1629" w:rsidP="008A1629">
      <w:pPr>
        <w:pStyle w:val="1"/>
        <w:spacing w:before="50" w:after="0" w:line="480" w:lineRule="atLeast"/>
        <w:rPr>
          <w:rFonts w:asciiTheme="minorEastAsia" w:hAnsiTheme="minorEastAsia"/>
          <w:color w:val="000000" w:themeColor="text1"/>
          <w:sz w:val="24"/>
          <w:szCs w:val="24"/>
        </w:rPr>
      </w:pPr>
      <w:r w:rsidRPr="008A1629">
        <w:rPr>
          <w:rStyle w:val="30"/>
          <w:rFonts w:asciiTheme="minorEastAsia" w:hAnsiTheme="minorEastAsia" w:hint="eastAsia"/>
          <w:b/>
          <w:bCs/>
          <w:color w:val="000000" w:themeColor="text1"/>
          <w:sz w:val="24"/>
          <w:szCs w:val="24"/>
        </w:rPr>
        <w:t>四、行使程序制度</w:t>
      </w:r>
    </w:p>
    <w:p w14:paraId="6575D49C"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（一）完善告知制度。</w:t>
      </w:r>
    </w:p>
    <w:p w14:paraId="746A445A"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税务机关行使行政裁量权应当严格履行法定的告知义务，将作出裁量决定的事实、理由、依据告知纳税人。各级税务机关要进一步明确告知的内容、程序及救济措施。</w:t>
      </w:r>
    </w:p>
    <w:p w14:paraId="2BCD2F2D" w14:textId="21AB9CDF"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19"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第四条第一款）</w:t>
      </w:r>
    </w:p>
    <w:p w14:paraId="79979C33"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（二）完善回避制度。</w:t>
      </w:r>
    </w:p>
    <w:p w14:paraId="48503BF9"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涉及法定回避事项的，应当依法告知纳税人享有申请回避的权利。税务人员存在法定回避情形的，应当回避。各级税务机关要进一步明确回避的适用范围、救济措施及法律责任，完善回避的申请、受理、审查、决定等程序制度。</w:t>
      </w:r>
    </w:p>
    <w:p w14:paraId="4919AB94" w14:textId="5B9C73CB"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lastRenderedPageBreak/>
        <w:t>（</w:t>
      </w:r>
      <w:hyperlink r:id="rId20"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第四条第二款）</w:t>
      </w:r>
    </w:p>
    <w:p w14:paraId="78D82AB9"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（三）完善陈述申辩和听证制度。</w:t>
      </w:r>
    </w:p>
    <w:p w14:paraId="17EBF2DF"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应当充分听取纳税人的意见。纳税人提出的事实、证据和理由成立的，税务机关应当予以采纳。各级税务机关要进一步完善陈述申辩的告知、审查、采纳等程序性规定，明确适用听证事项，规范听证程序。</w:t>
      </w:r>
    </w:p>
    <w:p w14:paraId="51D10BA2" w14:textId="23B0F2D4"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1"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第四条第三款）</w:t>
      </w:r>
    </w:p>
    <w:p w14:paraId="5BB82FA6"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（四）完善说明理由制度。</w:t>
      </w:r>
    </w:p>
    <w:p w14:paraId="4408DF6D"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税务机关行使行政裁量权应当在行政决定中对事实认定、法律适用和裁量基准的引用等说明理由。各级税务机关要逐步推行使用说理式执法文书。</w:t>
      </w:r>
    </w:p>
    <w:p w14:paraId="2370368F" w14:textId="4C335BFC"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2"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第四条第四款）</w:t>
      </w:r>
    </w:p>
    <w:p w14:paraId="22E9DD40"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（五）完善重大执法事项合议制度。</w:t>
      </w:r>
    </w:p>
    <w:p w14:paraId="00D996CD"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税务机关行使行政裁量权涉及重大或者复杂裁量事项的，应当进行合议，共同研究决定。各级税务机关要进一步完善合议程序，明确工作职责、决策方式等内容。</w:t>
      </w:r>
    </w:p>
    <w:p w14:paraId="367AF2F1" w14:textId="2619E370"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3"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第四条第五款）</w:t>
      </w:r>
    </w:p>
    <w:p w14:paraId="25C6D16F"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（六）完善重大执法事项备案制度。</w:t>
      </w:r>
    </w:p>
    <w:p w14:paraId="575D5202"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税务机关行使行政裁量权涉及重大或者复杂裁量事项的，应当将该事项的处理结果报上一级税务机关审查备案。各级税务机关要进一步明确审查备案的内容、方式及程序。</w:t>
      </w:r>
    </w:p>
    <w:p w14:paraId="322009E4" w14:textId="3A7CF406"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4"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第四条第六款）</w:t>
      </w:r>
    </w:p>
    <w:p w14:paraId="122850A3" w14:textId="77777777" w:rsidR="008A1629" w:rsidRPr="008A1629" w:rsidRDefault="008A1629" w:rsidP="008A1629">
      <w:pPr>
        <w:pStyle w:val="1"/>
        <w:spacing w:before="50" w:after="0" w:line="480" w:lineRule="atLeast"/>
        <w:rPr>
          <w:rFonts w:asciiTheme="minorEastAsia" w:hAnsiTheme="minorEastAsia"/>
          <w:color w:val="000000" w:themeColor="text1"/>
          <w:sz w:val="24"/>
          <w:szCs w:val="24"/>
        </w:rPr>
      </w:pPr>
      <w:r w:rsidRPr="008A1629">
        <w:rPr>
          <w:rFonts w:asciiTheme="minorEastAsia" w:hAnsiTheme="minorEastAsia" w:hint="eastAsia"/>
          <w:color w:val="000000" w:themeColor="text1"/>
          <w:sz w:val="24"/>
          <w:szCs w:val="24"/>
        </w:rPr>
        <w:t>五、加强领导</w:t>
      </w:r>
    </w:p>
    <w:p w14:paraId="2FAA4AC4"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（一）加强领导、精心组织。</w:t>
      </w:r>
    </w:p>
    <w:p w14:paraId="33031AF8"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规范税务行政裁量权工作是税务机关推进依法行政的一项重要内容，各级税务机关应当高度重视，把这项工作摆在突出位置，作为全局性的重点工作抓紧抓好。规范税务行政裁量权工作应当由各级税务机关依法行政领导小组统筹部署，</w:t>
      </w:r>
      <w:r w:rsidRPr="008A1629">
        <w:rPr>
          <w:rFonts w:asciiTheme="minorEastAsia" w:hAnsiTheme="minorEastAsia" w:cs="宋体" w:hint="eastAsia"/>
          <w:color w:val="000000" w:themeColor="text1"/>
          <w:kern w:val="0"/>
          <w:sz w:val="24"/>
          <w:szCs w:val="24"/>
        </w:rPr>
        <w:lastRenderedPageBreak/>
        <w:t>主要领导亲自负责。领导小组应当研究制定工作方案，定期听取工作汇报，及时解决工作中的重点、难点问题。</w:t>
      </w:r>
    </w:p>
    <w:p w14:paraId="192E66CD" w14:textId="3081545D"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5"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第五条第一款）</w:t>
      </w:r>
    </w:p>
    <w:p w14:paraId="242A7D9F"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（二）明确职责、密切配合。</w:t>
      </w:r>
    </w:p>
    <w:p w14:paraId="0D220A9E"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规范税务行政裁量权工作涉及面广、专业性强、工作环节多，税务机关上下级之间、内部各相关业务部门之间应当密切配合，加强协调，齐抓共管，共同推动规范税务行政裁量权工作的顺利开展。国家税务总局政策法规司负责综合协调工作；其他业务司局负责对其职责范围内的各项税务行政裁量权进行梳理，提出制定各项税务行政裁量权裁量基准的注意事项。</w:t>
      </w:r>
    </w:p>
    <w:p w14:paraId="6DFDF84F" w14:textId="267C1062"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6"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第五条第二款）</w:t>
      </w:r>
    </w:p>
    <w:p w14:paraId="432BCF48"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（三）整体设计、重点推进。</w:t>
      </w:r>
    </w:p>
    <w:p w14:paraId="02BBDC3F"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税务行政裁量权涉及税收执法的方方面面，包括税款征收、行政处罚、行政许可、行政强制等。为保证规范税务行政裁量权工作有效、有序地开展，各级税务机关应当本着整体设计、重点推进的原则，逐步、逐项地规范各项税务行政裁量权。当前，税务行政处罚裁量权存在问题较多，引发争议较大，社会关注度也较高，各级税务机关应当将规范税务行政处罚裁量权作为规范税务行政裁量权工作的突破口，于2012年底前完成税务行政处罚裁量基准的制定工作。同时要逐步加强对税款征收、行政许可、行政强制等其他重要税务行政裁量权的规范。</w:t>
      </w:r>
    </w:p>
    <w:p w14:paraId="7BFCFD41" w14:textId="45070B43"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7"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第五条第三款）</w:t>
      </w:r>
    </w:p>
    <w:p w14:paraId="338C9270"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（四）注重指导、强化监督。</w:t>
      </w:r>
    </w:p>
    <w:p w14:paraId="32DAABC7"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各级税务机关应当加强对该项工作的业务指导，对工作中遇到的困难和问题，及时研究解决；对工作中好的经验和做法，及时总结推广。地方各级税务机关也应当积极主动与上级税务机关沟通联系，及时报告、反馈工作情况及工作中存在的主要问题。地市以上税务机关每年应当选择典型案例向社会公开发布，为指导下级税务机关规范行使行政裁量权提供参照。各级税务机关应当加强对规范税务行政裁量权工作的监督检查，对工作突出的单位，予以表彰。</w:t>
      </w:r>
    </w:p>
    <w:p w14:paraId="09FCCA03" w14:textId="75899A53"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lastRenderedPageBreak/>
        <w:t>（</w:t>
      </w:r>
      <w:hyperlink r:id="rId28"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第五条第四款）</w:t>
      </w:r>
    </w:p>
    <w:p w14:paraId="41DE8AF7" w14:textId="77777777" w:rsidR="008A1629" w:rsidRPr="008A1629" w:rsidRDefault="008A1629" w:rsidP="008A1629">
      <w:pPr>
        <w:pStyle w:val="2"/>
        <w:spacing w:before="50" w:after="0" w:line="480" w:lineRule="atLeast"/>
        <w:rPr>
          <w:rFonts w:asciiTheme="minorEastAsia" w:eastAsiaTheme="minorEastAsia" w:hAnsiTheme="minorEastAsia"/>
          <w:color w:val="000000" w:themeColor="text1"/>
          <w:sz w:val="24"/>
          <w:szCs w:val="24"/>
        </w:rPr>
      </w:pPr>
      <w:r w:rsidRPr="008A1629">
        <w:rPr>
          <w:rFonts w:asciiTheme="minorEastAsia" w:eastAsiaTheme="minorEastAsia" w:hAnsiTheme="minorEastAsia" w:hint="eastAsia"/>
          <w:color w:val="000000" w:themeColor="text1"/>
          <w:sz w:val="24"/>
          <w:szCs w:val="24"/>
        </w:rPr>
        <w:t>（五）提升能力、确保实效。</w:t>
      </w:r>
    </w:p>
    <w:p w14:paraId="1185F036" w14:textId="77777777" w:rsidR="008A1629" w:rsidRPr="008A1629" w:rsidRDefault="008A1629" w:rsidP="008A1629">
      <w:pPr>
        <w:widowControl/>
        <w:spacing w:beforeLines="50" w:before="156" w:line="480" w:lineRule="atLeast"/>
        <w:ind w:firstLineChars="200" w:firstLine="480"/>
        <w:rPr>
          <w:rFonts w:asciiTheme="minorEastAsia" w:hAnsiTheme="minorEastAsia" w:cs="宋体"/>
          <w:color w:val="000000" w:themeColor="text1"/>
          <w:kern w:val="0"/>
          <w:sz w:val="24"/>
          <w:szCs w:val="24"/>
        </w:rPr>
      </w:pPr>
      <w:r w:rsidRPr="008A1629">
        <w:rPr>
          <w:rFonts w:asciiTheme="minorEastAsia" w:hAnsiTheme="minorEastAsia" w:cs="宋体" w:hint="eastAsia"/>
          <w:color w:val="000000" w:themeColor="text1"/>
          <w:kern w:val="0"/>
          <w:sz w:val="24"/>
          <w:szCs w:val="24"/>
        </w:rPr>
        <w:t>执法人员依法行政的能力和水平是保障行政裁量权规范行使的关键，各级税务机关应当把加强执法人员能力建设作为规范税务行政裁量权工作的重要内容。加强对税务执法人员规范行政裁量权相关法律知识和制度的培训，增强执法人员的大局意识、责任意识和服务意识，提高执法人员的业务素质和执法水平。</w:t>
      </w:r>
    </w:p>
    <w:p w14:paraId="5A5D1039" w14:textId="7C69D4C5" w:rsidR="008A1629" w:rsidRPr="008A1629" w:rsidRDefault="008A1629" w:rsidP="008A1629">
      <w:pPr>
        <w:spacing w:beforeLines="50" w:before="156" w:line="480" w:lineRule="atLeast"/>
        <w:jc w:val="right"/>
        <w:rPr>
          <w:rFonts w:asciiTheme="minorEastAsia" w:hAnsiTheme="minorEastAsia"/>
          <w:b/>
          <w:bCs/>
          <w:color w:val="000000" w:themeColor="text1"/>
          <w:sz w:val="24"/>
          <w:szCs w:val="24"/>
        </w:rPr>
      </w:pPr>
      <w:r w:rsidRPr="008A1629">
        <w:rPr>
          <w:rFonts w:asciiTheme="minorEastAsia" w:hAnsiTheme="minorEastAsia" w:hint="eastAsia"/>
          <w:b/>
          <w:bCs/>
          <w:color w:val="000000" w:themeColor="text1"/>
          <w:sz w:val="24"/>
          <w:szCs w:val="24"/>
        </w:rPr>
        <w:t>（</w:t>
      </w:r>
      <w:hyperlink r:id="rId29" w:history="1">
        <w:r w:rsidR="00F95C2C" w:rsidRPr="00F95C2C">
          <w:rPr>
            <w:rStyle w:val="ad"/>
            <w:rFonts w:asciiTheme="minorEastAsia" w:hAnsiTheme="minorEastAsia"/>
            <w:b/>
            <w:bCs/>
            <w:sz w:val="24"/>
            <w:szCs w:val="24"/>
          </w:rPr>
          <w:t>国税发〔2012〕65号</w:t>
        </w:r>
      </w:hyperlink>
      <w:r w:rsidRPr="008A1629">
        <w:rPr>
          <w:rFonts w:asciiTheme="minorEastAsia" w:hAnsiTheme="minorEastAsia" w:hint="eastAsia"/>
          <w:b/>
          <w:bCs/>
          <w:color w:val="000000" w:themeColor="text1"/>
          <w:sz w:val="24"/>
          <w:szCs w:val="24"/>
        </w:rPr>
        <w:t>第五条第五款）</w:t>
      </w:r>
    </w:p>
    <w:p w14:paraId="3F4434EC" w14:textId="77777777" w:rsidR="008A1629" w:rsidRPr="00E53B1C" w:rsidRDefault="008A1629" w:rsidP="008A1629">
      <w:pPr>
        <w:pStyle w:val="ae"/>
        <w:spacing w:line="540" w:lineRule="atLeast"/>
        <w:ind w:firstLineChars="200" w:firstLine="480"/>
        <w:rPr>
          <w:color w:val="000000"/>
        </w:rPr>
      </w:pPr>
    </w:p>
    <w:p w14:paraId="36AF0FE3" w14:textId="77777777" w:rsidR="005A279B" w:rsidRDefault="005A279B" w:rsidP="00D06CD0">
      <w:pPr>
        <w:spacing w:beforeLines="50" w:before="156" w:line="480" w:lineRule="atLeast"/>
        <w:rPr>
          <w:rFonts w:asciiTheme="minorEastAsia" w:hAnsiTheme="minorEastAsia"/>
          <w:color w:val="000000" w:themeColor="text1"/>
          <w:sz w:val="24"/>
          <w:szCs w:val="24"/>
          <w:shd w:val="clear" w:color="auto" w:fill="FFFFFF"/>
        </w:rPr>
      </w:pPr>
    </w:p>
    <w:p w14:paraId="75013C3F" w14:textId="77777777" w:rsidR="008A1629" w:rsidRDefault="008A1629" w:rsidP="00D06CD0">
      <w:pPr>
        <w:spacing w:beforeLines="50" w:before="156" w:line="480" w:lineRule="atLeast"/>
        <w:rPr>
          <w:rFonts w:asciiTheme="minorEastAsia" w:hAnsiTheme="minorEastAsia"/>
          <w:color w:val="000000" w:themeColor="text1"/>
          <w:sz w:val="24"/>
          <w:szCs w:val="24"/>
          <w:shd w:val="clear" w:color="auto" w:fill="FFFFFF"/>
        </w:rPr>
      </w:pPr>
    </w:p>
    <w:p w14:paraId="4B713359" w14:textId="77777777" w:rsidR="004C0624" w:rsidRDefault="004C0624" w:rsidP="00D06CD0">
      <w:pPr>
        <w:spacing w:beforeLines="50" w:before="156" w:line="480" w:lineRule="atLeast"/>
        <w:rPr>
          <w:rFonts w:asciiTheme="minorEastAsia" w:hAnsiTheme="minorEastAsia"/>
          <w:b/>
          <w:bCs/>
          <w:color w:val="000000" w:themeColor="text1"/>
          <w:kern w:val="44"/>
          <w:sz w:val="24"/>
          <w:szCs w:val="24"/>
        </w:rPr>
      </w:pPr>
    </w:p>
    <w:p w14:paraId="50CBBDEA" w14:textId="77777777" w:rsidR="00D43057" w:rsidRPr="00D06CD0" w:rsidRDefault="00D43057" w:rsidP="00D06CD0">
      <w:pPr>
        <w:spacing w:beforeLines="50" w:before="156" w:line="480" w:lineRule="atLeast"/>
        <w:rPr>
          <w:rFonts w:asciiTheme="minorEastAsia" w:hAnsiTheme="minorEastAsia"/>
          <w:sz w:val="24"/>
          <w:szCs w:val="24"/>
        </w:rPr>
      </w:pPr>
    </w:p>
    <w:sectPr w:rsidR="00D43057" w:rsidRPr="00D06CD0">
      <w:footerReference w:type="default" r:id="rI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47F3C" w14:textId="77777777" w:rsidR="00C61597" w:rsidRDefault="00C61597" w:rsidP="00D06CD0">
      <w:r>
        <w:separator/>
      </w:r>
    </w:p>
  </w:endnote>
  <w:endnote w:type="continuationSeparator" w:id="0">
    <w:p w14:paraId="1AF3E43B" w14:textId="77777777" w:rsidR="00C61597" w:rsidRDefault="00C61597" w:rsidP="00D0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736353"/>
      <w:docPartObj>
        <w:docPartGallery w:val="Page Numbers (Bottom of Page)"/>
        <w:docPartUnique/>
      </w:docPartObj>
    </w:sdtPr>
    <w:sdtEndPr/>
    <w:sdtContent>
      <w:sdt>
        <w:sdtPr>
          <w:id w:val="-1669238322"/>
          <w:docPartObj>
            <w:docPartGallery w:val="Page Numbers (Top of Page)"/>
            <w:docPartUnique/>
          </w:docPartObj>
        </w:sdtPr>
        <w:sdtEndPr/>
        <w:sdtContent>
          <w:p w14:paraId="54EDADE8" w14:textId="77777777" w:rsidR="00A36BA3" w:rsidRDefault="00A36BA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1629">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1629">
              <w:rPr>
                <w:b/>
                <w:bCs/>
                <w:noProof/>
              </w:rPr>
              <w:t>8</w:t>
            </w:r>
            <w:r>
              <w:rPr>
                <w:b/>
                <w:bCs/>
                <w:sz w:val="24"/>
                <w:szCs w:val="24"/>
              </w:rPr>
              <w:fldChar w:fldCharType="end"/>
            </w:r>
          </w:p>
        </w:sdtContent>
      </w:sdt>
    </w:sdtContent>
  </w:sdt>
  <w:p w14:paraId="3D357D44" w14:textId="77777777" w:rsidR="00A36BA3" w:rsidRDefault="00A36B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A52AB" w14:textId="77777777" w:rsidR="00C61597" w:rsidRDefault="00C61597" w:rsidP="00D06CD0">
      <w:r>
        <w:separator/>
      </w:r>
    </w:p>
  </w:footnote>
  <w:footnote w:type="continuationSeparator" w:id="0">
    <w:p w14:paraId="6672A3B6" w14:textId="77777777" w:rsidR="00C61597" w:rsidRDefault="00C61597" w:rsidP="00D06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66B"/>
    <w:rsid w:val="00087554"/>
    <w:rsid w:val="00163025"/>
    <w:rsid w:val="001B3458"/>
    <w:rsid w:val="0046040E"/>
    <w:rsid w:val="004C0624"/>
    <w:rsid w:val="0058083F"/>
    <w:rsid w:val="005956EF"/>
    <w:rsid w:val="005A279B"/>
    <w:rsid w:val="0074069A"/>
    <w:rsid w:val="007C79F2"/>
    <w:rsid w:val="008A1629"/>
    <w:rsid w:val="00915D9B"/>
    <w:rsid w:val="00954F35"/>
    <w:rsid w:val="00A36BA3"/>
    <w:rsid w:val="00AD5735"/>
    <w:rsid w:val="00B5466B"/>
    <w:rsid w:val="00C61597"/>
    <w:rsid w:val="00CF12C8"/>
    <w:rsid w:val="00D06CD0"/>
    <w:rsid w:val="00D43057"/>
    <w:rsid w:val="00D76CEC"/>
    <w:rsid w:val="00D9299B"/>
    <w:rsid w:val="00E07687"/>
    <w:rsid w:val="00E406A2"/>
    <w:rsid w:val="00F95C2C"/>
    <w:rsid w:val="00FF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D0444"/>
  <w15:docId w15:val="{FFB51809-6104-499D-ACA8-54220FC6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6BA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36BA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36BA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A36BA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A36BA3"/>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4C062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4C0624"/>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C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6CD0"/>
    <w:rPr>
      <w:sz w:val="18"/>
      <w:szCs w:val="18"/>
    </w:rPr>
  </w:style>
  <w:style w:type="paragraph" w:styleId="a5">
    <w:name w:val="footer"/>
    <w:basedOn w:val="a"/>
    <w:link w:val="a6"/>
    <w:uiPriority w:val="99"/>
    <w:unhideWhenUsed/>
    <w:rsid w:val="00D06CD0"/>
    <w:pPr>
      <w:tabs>
        <w:tab w:val="center" w:pos="4153"/>
        <w:tab w:val="right" w:pos="8306"/>
      </w:tabs>
      <w:snapToGrid w:val="0"/>
      <w:jc w:val="left"/>
    </w:pPr>
    <w:rPr>
      <w:sz w:val="18"/>
      <w:szCs w:val="18"/>
    </w:rPr>
  </w:style>
  <w:style w:type="character" w:customStyle="1" w:styleId="a6">
    <w:name w:val="页脚 字符"/>
    <w:basedOn w:val="a0"/>
    <w:link w:val="a5"/>
    <w:uiPriority w:val="99"/>
    <w:rsid w:val="00D06CD0"/>
    <w:rPr>
      <w:sz w:val="18"/>
      <w:szCs w:val="18"/>
    </w:rPr>
  </w:style>
  <w:style w:type="character" w:customStyle="1" w:styleId="10">
    <w:name w:val="标题 1 字符"/>
    <w:basedOn w:val="a0"/>
    <w:link w:val="1"/>
    <w:uiPriority w:val="9"/>
    <w:rsid w:val="00A36BA3"/>
    <w:rPr>
      <w:b/>
      <w:bCs/>
      <w:kern w:val="44"/>
      <w:sz w:val="44"/>
      <w:szCs w:val="44"/>
    </w:rPr>
  </w:style>
  <w:style w:type="character" w:customStyle="1" w:styleId="20">
    <w:name w:val="标题 2 字符"/>
    <w:basedOn w:val="a0"/>
    <w:link w:val="2"/>
    <w:uiPriority w:val="9"/>
    <w:rsid w:val="00A36BA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36BA3"/>
    <w:rPr>
      <w:b/>
      <w:bCs/>
      <w:sz w:val="32"/>
      <w:szCs w:val="32"/>
    </w:rPr>
  </w:style>
  <w:style w:type="character" w:customStyle="1" w:styleId="40">
    <w:name w:val="标题 4 字符"/>
    <w:basedOn w:val="a0"/>
    <w:link w:val="4"/>
    <w:uiPriority w:val="9"/>
    <w:rsid w:val="00A36BA3"/>
    <w:rPr>
      <w:rFonts w:asciiTheme="majorHAnsi" w:eastAsiaTheme="majorEastAsia" w:hAnsiTheme="majorHAnsi" w:cstheme="majorBidi"/>
      <w:b/>
      <w:bCs/>
      <w:sz w:val="28"/>
      <w:szCs w:val="28"/>
    </w:rPr>
  </w:style>
  <w:style w:type="character" w:customStyle="1" w:styleId="50">
    <w:name w:val="标题 5 字符"/>
    <w:basedOn w:val="a0"/>
    <w:link w:val="5"/>
    <w:uiPriority w:val="9"/>
    <w:rsid w:val="00A36BA3"/>
    <w:rPr>
      <w:b/>
      <w:bCs/>
      <w:sz w:val="28"/>
      <w:szCs w:val="28"/>
    </w:rPr>
  </w:style>
  <w:style w:type="character" w:customStyle="1" w:styleId="a7">
    <w:name w:val="批注文字 字符"/>
    <w:basedOn w:val="a0"/>
    <w:link w:val="a8"/>
    <w:uiPriority w:val="99"/>
    <w:semiHidden/>
    <w:rsid w:val="00A36BA3"/>
  </w:style>
  <w:style w:type="paragraph" w:styleId="a8">
    <w:name w:val="annotation text"/>
    <w:basedOn w:val="a"/>
    <w:link w:val="a7"/>
    <w:uiPriority w:val="99"/>
    <w:semiHidden/>
    <w:unhideWhenUsed/>
    <w:rsid w:val="00A36BA3"/>
    <w:pPr>
      <w:jc w:val="left"/>
    </w:pPr>
  </w:style>
  <w:style w:type="character" w:customStyle="1" w:styleId="a9">
    <w:name w:val="批注主题 字符"/>
    <w:basedOn w:val="a7"/>
    <w:link w:val="aa"/>
    <w:uiPriority w:val="99"/>
    <w:semiHidden/>
    <w:rsid w:val="00A36BA3"/>
    <w:rPr>
      <w:b/>
      <w:bCs/>
    </w:rPr>
  </w:style>
  <w:style w:type="paragraph" w:styleId="aa">
    <w:name w:val="annotation subject"/>
    <w:basedOn w:val="a8"/>
    <w:next w:val="a8"/>
    <w:link w:val="a9"/>
    <w:uiPriority w:val="99"/>
    <w:semiHidden/>
    <w:unhideWhenUsed/>
    <w:rsid w:val="00A36BA3"/>
    <w:rPr>
      <w:b/>
      <w:bCs/>
    </w:rPr>
  </w:style>
  <w:style w:type="character" w:customStyle="1" w:styleId="ab">
    <w:name w:val="批注框文本 字符"/>
    <w:basedOn w:val="a0"/>
    <w:link w:val="ac"/>
    <w:uiPriority w:val="99"/>
    <w:semiHidden/>
    <w:rsid w:val="00A36BA3"/>
    <w:rPr>
      <w:sz w:val="18"/>
      <w:szCs w:val="18"/>
    </w:rPr>
  </w:style>
  <w:style w:type="paragraph" w:styleId="ac">
    <w:name w:val="Balloon Text"/>
    <w:basedOn w:val="a"/>
    <w:link w:val="ab"/>
    <w:uiPriority w:val="99"/>
    <w:semiHidden/>
    <w:unhideWhenUsed/>
    <w:rsid w:val="00A36BA3"/>
    <w:rPr>
      <w:sz w:val="18"/>
      <w:szCs w:val="18"/>
    </w:rPr>
  </w:style>
  <w:style w:type="character" w:styleId="ad">
    <w:name w:val="Hyperlink"/>
    <w:basedOn w:val="a0"/>
    <w:uiPriority w:val="99"/>
    <w:unhideWhenUsed/>
    <w:rsid w:val="00A36BA3"/>
    <w:rPr>
      <w:color w:val="0000FF"/>
      <w:u w:val="single"/>
    </w:rPr>
  </w:style>
  <w:style w:type="paragraph" w:styleId="ae">
    <w:name w:val="Normal (Web)"/>
    <w:basedOn w:val="a"/>
    <w:uiPriority w:val="99"/>
    <w:unhideWhenUsed/>
    <w:rsid w:val="00AD5735"/>
    <w:pPr>
      <w:widowControl/>
      <w:spacing w:before="100" w:beforeAutospacing="1" w:after="100" w:afterAutospacing="1"/>
      <w:jc w:val="left"/>
    </w:pPr>
    <w:rPr>
      <w:rFonts w:ascii="宋体" w:eastAsia="宋体" w:hAnsi="宋体" w:cs="宋体"/>
      <w:kern w:val="0"/>
      <w:sz w:val="24"/>
      <w:szCs w:val="24"/>
    </w:rPr>
  </w:style>
  <w:style w:type="character" w:customStyle="1" w:styleId="60">
    <w:name w:val="标题 6 字符"/>
    <w:basedOn w:val="a0"/>
    <w:link w:val="6"/>
    <w:uiPriority w:val="9"/>
    <w:rsid w:val="004C0624"/>
    <w:rPr>
      <w:rFonts w:asciiTheme="majorHAnsi" w:eastAsiaTheme="majorEastAsia" w:hAnsiTheme="majorHAnsi" w:cstheme="majorBidi"/>
      <w:b/>
      <w:bCs/>
      <w:sz w:val="24"/>
      <w:szCs w:val="24"/>
    </w:rPr>
  </w:style>
  <w:style w:type="character" w:customStyle="1" w:styleId="70">
    <w:name w:val="标题 7 字符"/>
    <w:basedOn w:val="a0"/>
    <w:link w:val="7"/>
    <w:uiPriority w:val="9"/>
    <w:rsid w:val="004C0624"/>
    <w:rPr>
      <w:b/>
      <w:bCs/>
      <w:sz w:val="24"/>
      <w:szCs w:val="24"/>
    </w:rPr>
  </w:style>
  <w:style w:type="character" w:styleId="af">
    <w:name w:val="Unresolved Mention"/>
    <w:basedOn w:val="a0"/>
    <w:uiPriority w:val="99"/>
    <w:semiHidden/>
    <w:unhideWhenUsed/>
    <w:rsid w:val="00F9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533.html" TargetMode="External"/><Relationship Id="rId13" Type="http://schemas.openxmlformats.org/officeDocument/2006/relationships/hyperlink" Target="http://ssfb86.com/index/News/detail/newsid/1533.html" TargetMode="External"/><Relationship Id="rId18" Type="http://schemas.openxmlformats.org/officeDocument/2006/relationships/hyperlink" Target="http://ssfb86.com/index/News/detail/newsid/1533.html" TargetMode="External"/><Relationship Id="rId26" Type="http://schemas.openxmlformats.org/officeDocument/2006/relationships/hyperlink" Target="http://ssfb86.com/index/News/detail/newsid/1533.html" TargetMode="External"/><Relationship Id="rId3" Type="http://schemas.openxmlformats.org/officeDocument/2006/relationships/webSettings" Target="webSettings.xml"/><Relationship Id="rId21" Type="http://schemas.openxmlformats.org/officeDocument/2006/relationships/hyperlink" Target="http://ssfb86.com/index/News/detail/newsid/1533.html" TargetMode="External"/><Relationship Id="rId7" Type="http://schemas.openxmlformats.org/officeDocument/2006/relationships/hyperlink" Target="http://ssfb86.com/index/News/detail/newsid/1533.html" TargetMode="External"/><Relationship Id="rId12" Type="http://schemas.openxmlformats.org/officeDocument/2006/relationships/hyperlink" Target="http://ssfb86.com/index/News/detail/newsid/1533.html" TargetMode="External"/><Relationship Id="rId17" Type="http://schemas.openxmlformats.org/officeDocument/2006/relationships/hyperlink" Target="http://ssfb86.com/index/News/detail/newsid/1533.html" TargetMode="External"/><Relationship Id="rId25" Type="http://schemas.openxmlformats.org/officeDocument/2006/relationships/hyperlink" Target="http://ssfb86.com/index/News/detail/newsid/1533.html" TargetMode="External"/><Relationship Id="rId2" Type="http://schemas.openxmlformats.org/officeDocument/2006/relationships/settings" Target="settings.xml"/><Relationship Id="rId16" Type="http://schemas.openxmlformats.org/officeDocument/2006/relationships/hyperlink" Target="http://ssfb86.com/index/News/detail/newsid/1533.html" TargetMode="External"/><Relationship Id="rId20" Type="http://schemas.openxmlformats.org/officeDocument/2006/relationships/hyperlink" Target="http://ssfb86.com/index/News/detail/newsid/1533.html" TargetMode="External"/><Relationship Id="rId29" Type="http://schemas.openxmlformats.org/officeDocument/2006/relationships/hyperlink" Target="http://ssfb86.com/index/News/detail/newsid/1533.html" TargetMode="External"/><Relationship Id="rId1" Type="http://schemas.openxmlformats.org/officeDocument/2006/relationships/styles" Target="styles.xml"/><Relationship Id="rId6" Type="http://schemas.openxmlformats.org/officeDocument/2006/relationships/hyperlink" Target="http://ssfb86.com/index/News/detail/newsid/1533.html" TargetMode="External"/><Relationship Id="rId11" Type="http://schemas.openxmlformats.org/officeDocument/2006/relationships/hyperlink" Target="http://ssfb86.com/index/News/detail/newsid/1533.html" TargetMode="External"/><Relationship Id="rId24" Type="http://schemas.openxmlformats.org/officeDocument/2006/relationships/hyperlink" Target="http://ssfb86.com/index/News/detail/newsid/1533.html"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1533.html" TargetMode="External"/><Relationship Id="rId23" Type="http://schemas.openxmlformats.org/officeDocument/2006/relationships/hyperlink" Target="http://ssfb86.com/index/News/detail/newsid/1533.html" TargetMode="External"/><Relationship Id="rId28" Type="http://schemas.openxmlformats.org/officeDocument/2006/relationships/hyperlink" Target="http://ssfb86.com/index/News/detail/newsid/1533.html" TargetMode="External"/><Relationship Id="rId10" Type="http://schemas.openxmlformats.org/officeDocument/2006/relationships/hyperlink" Target="http://ssfb86.com/index/News/detail/newsid/1533.html" TargetMode="External"/><Relationship Id="rId19" Type="http://schemas.openxmlformats.org/officeDocument/2006/relationships/hyperlink" Target="http://ssfb86.com/index/News/detail/newsid/1533.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fb86.com/index/News/detail/newsid/1533.html" TargetMode="External"/><Relationship Id="rId14" Type="http://schemas.openxmlformats.org/officeDocument/2006/relationships/hyperlink" Target="http://ssfb86.com/index/News/detail/newsid/1533.html" TargetMode="External"/><Relationship Id="rId22" Type="http://schemas.openxmlformats.org/officeDocument/2006/relationships/hyperlink" Target="http://ssfb86.com/index/News/detail/newsid/1533.html" TargetMode="External"/><Relationship Id="rId27" Type="http://schemas.openxmlformats.org/officeDocument/2006/relationships/hyperlink" Target="http://ssfb86.com/index/News/detail/newsid/1533.html"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4</cp:revision>
  <dcterms:created xsi:type="dcterms:W3CDTF">2020-09-10T08:25:00Z</dcterms:created>
  <dcterms:modified xsi:type="dcterms:W3CDTF">2020-09-14T22:07:00Z</dcterms:modified>
</cp:coreProperties>
</file>