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77B27582" w:rsidR="00EB3844" w:rsidRDefault="00575EFC"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2.1</w:t>
      </w:r>
      <w:r w:rsidR="005908E2" w:rsidRPr="00BC7C17">
        <w:rPr>
          <w:rFonts w:asciiTheme="minorEastAsia" w:hAnsiTheme="minorEastAsia"/>
          <w:color w:val="000000" w:themeColor="text1"/>
          <w:sz w:val="44"/>
          <w:szCs w:val="44"/>
        </w:rPr>
        <w:t xml:space="preserve">  </w:t>
      </w:r>
      <w:r w:rsidR="00B3475E" w:rsidRPr="00B3475E">
        <w:rPr>
          <w:rFonts w:asciiTheme="minorEastAsia" w:hAnsiTheme="minorEastAsia" w:hint="eastAsia"/>
          <w:color w:val="000000" w:themeColor="text1"/>
          <w:sz w:val="44"/>
          <w:szCs w:val="44"/>
        </w:rPr>
        <w:t>税收保全</w:t>
      </w:r>
    </w:p>
    <w:p w14:paraId="6FA93513" w14:textId="6943E6E6" w:rsidR="00C26937" w:rsidRDefault="00C26937" w:rsidP="009B7427">
      <w:pPr>
        <w:widowControl/>
        <w:shd w:val="clear" w:color="auto" w:fill="FFFFFF"/>
        <w:spacing w:beforeLines="50" w:before="156" w:afterLines="50" w:after="156" w:line="540" w:lineRule="atLeast"/>
        <w:ind w:firstLineChars="200" w:firstLine="482"/>
        <w:jc w:val="left"/>
        <w:rPr>
          <w:rFonts w:asciiTheme="minorEastAsia" w:hAnsiTheme="minorEastAsia"/>
          <w:b/>
          <w:bCs/>
          <w:color w:val="000000" w:themeColor="text1"/>
          <w:kern w:val="44"/>
          <w:sz w:val="24"/>
          <w:szCs w:val="24"/>
        </w:rPr>
      </w:pPr>
    </w:p>
    <w:p w14:paraId="0D0D33A6" w14:textId="75F04664"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一、前提条件</w:t>
      </w:r>
    </w:p>
    <w:p w14:paraId="4E831BFB" w14:textId="395FA01A" w:rsidR="00B3475E" w:rsidRPr="00683399" w:rsidRDefault="00291E2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hint="eastAsia"/>
          <w:color w:val="000000" w:themeColor="text1"/>
          <w:sz w:val="24"/>
          <w:szCs w:val="24"/>
          <w:shd w:val="clear" w:color="auto" w:fill="FFFFFF"/>
        </w:rPr>
        <w:t>税务机关有根据认为从事生产、经营的纳税人有逃避纳税义务行为的，可以在规定的纳税期之前，</w:t>
      </w:r>
      <w:bookmarkStart w:id="0" w:name="_GoBack"/>
      <w:bookmarkEnd w:id="0"/>
      <w:r w:rsidRPr="00683399">
        <w:rPr>
          <w:rFonts w:asciiTheme="minorEastAsia" w:hAnsiTheme="minorEastAsia" w:hint="eastAsia"/>
          <w:color w:val="000000" w:themeColor="text1"/>
          <w:sz w:val="24"/>
          <w:szCs w:val="24"/>
          <w:shd w:val="clear" w:color="auto" w:fill="FFFFFF"/>
        </w:rPr>
        <w:t>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14:paraId="16D53A43" w14:textId="07CE9E0E"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9" w:history="1">
        <w:r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》第三十八条第一款）</w:t>
      </w:r>
    </w:p>
    <w:p w14:paraId="0D28DA29" w14:textId="767EDB5C"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（一）其他财产的定义</w:t>
      </w:r>
    </w:p>
    <w:p w14:paraId="734604BF" w14:textId="75F24D08" w:rsidR="00B3475E" w:rsidRPr="00683399" w:rsidRDefault="007E4306"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hyperlink r:id="rId10" w:tgtFrame="_self" w:history="1">
        <w:r w:rsidRPr="00683399">
          <w:rPr>
            <w:rFonts w:asciiTheme="minorEastAsia" w:eastAsiaTheme="minorEastAsia" w:hAnsiTheme="minorEastAsia" w:cstheme="minorBidi" w:hint="eastAsia"/>
            <w:color w:val="000000" w:themeColor="text1"/>
            <w:kern w:val="2"/>
            <w:u w:val="single"/>
            <w:shd w:val="clear" w:color="auto" w:fill="FFFFFF"/>
          </w:rPr>
          <w:t>税收征管法</w:t>
        </w:r>
      </w:hyperlink>
      <w:r w:rsidRPr="00683399">
        <w:rPr>
          <w:rFonts w:asciiTheme="minorEastAsia" w:eastAsiaTheme="minorEastAsia" w:hAnsiTheme="minorEastAsia" w:cstheme="minorBidi" w:hint="eastAsia"/>
          <w:color w:val="000000" w:themeColor="text1"/>
          <w:kern w:val="2"/>
          <w:shd w:val="clear" w:color="auto" w:fill="FFFFFF"/>
        </w:rPr>
        <w:t>第三十八条、第四十条所称其他财产，包括纳税人的房地产、现金、有价证券等不动产和动产。</w:t>
      </w:r>
    </w:p>
    <w:p w14:paraId="603119E2" w14:textId="063A605C"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 w:name="_Hlk14810618"/>
      <w:bookmarkStart w:id="2" w:name="_Hlk14810279"/>
      <w:r w:rsidRPr="00683399">
        <w:rPr>
          <w:rFonts w:asciiTheme="minorEastAsia" w:hAnsiTheme="minorEastAsia" w:cs="宋体" w:hint="eastAsia"/>
          <w:color w:val="000000" w:themeColor="text1"/>
          <w:kern w:val="0"/>
          <w:sz w:val="24"/>
          <w:szCs w:val="24"/>
        </w:rPr>
        <w:t>（《</w:t>
      </w:r>
      <w:hyperlink r:id="rId11" w:history="1">
        <w:r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》第五十九条第一款）</w:t>
      </w:r>
    </w:p>
    <w:bookmarkEnd w:id="1"/>
    <w:p w14:paraId="56BACEBD" w14:textId="12A1C8AD"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（二）纳税担保</w:t>
      </w:r>
    </w:p>
    <w:p w14:paraId="579A081E" w14:textId="6DDDCB8C" w:rsidR="00B3475E" w:rsidRPr="00683399" w:rsidRDefault="00B3475E" w:rsidP="00683399">
      <w:pPr>
        <w:pStyle w:val="a6"/>
        <w:spacing w:before="150" w:beforeAutospacing="0" w:after="150" w:afterAutospacing="0" w:line="480" w:lineRule="atLeast"/>
        <w:ind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详见：</w:t>
      </w:r>
      <w:r w:rsidRPr="00683399">
        <w:rPr>
          <w:rFonts w:asciiTheme="minorEastAsia" w:eastAsiaTheme="minorEastAsia" w:hAnsiTheme="minorEastAsia"/>
          <w:color w:val="000000" w:themeColor="text1"/>
        </w:rPr>
        <w:t xml:space="preserve"> </w:t>
      </w:r>
    </w:p>
    <w:p w14:paraId="4B365079" w14:textId="43C4F8B6"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二、采取保全措施的机关</w:t>
      </w:r>
    </w:p>
    <w:p w14:paraId="7DBA092C"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本法第三十七条、第三十八条、第四十条规定的采取税收保全措施、强制执行措施的权力，不得由法定的税务机关以外的单位和个人行使。</w:t>
      </w:r>
    </w:p>
    <w:p w14:paraId="64FEC74E" w14:textId="54E09577"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3" w:name="_Hlk14630419"/>
      <w:r w:rsidRPr="00683399">
        <w:rPr>
          <w:rFonts w:asciiTheme="minorEastAsia" w:hAnsiTheme="minorEastAsia" w:cs="宋体" w:hint="eastAsia"/>
          <w:color w:val="000000" w:themeColor="text1"/>
          <w:kern w:val="0"/>
          <w:sz w:val="24"/>
          <w:szCs w:val="24"/>
        </w:rPr>
        <w:t>（《</w:t>
      </w:r>
      <w:hyperlink r:id="rId12"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》第四十一条）</w:t>
      </w:r>
    </w:p>
    <w:bookmarkEnd w:id="2"/>
    <w:bookmarkEnd w:id="3"/>
    <w:p w14:paraId="1D30F1F3" w14:textId="1CDEBCA6"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lastRenderedPageBreak/>
        <w:t>三、保全措施的种类</w:t>
      </w:r>
    </w:p>
    <w:p w14:paraId="79BEBF5B" w14:textId="0ED6477C"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（一）冻结存款</w:t>
      </w:r>
    </w:p>
    <w:p w14:paraId="25BFFC39"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书面通知纳税人开户银行或者其他金融机构冻结纳税人的金额相当于应纳税款的存款；</w:t>
      </w:r>
    </w:p>
    <w:p w14:paraId="513BDB6A" w14:textId="20140205"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4" w:name="_Hlk14630299"/>
      <w:r w:rsidRPr="00683399">
        <w:rPr>
          <w:rFonts w:asciiTheme="minorEastAsia" w:hAnsiTheme="minorEastAsia" w:cs="宋体" w:hint="eastAsia"/>
          <w:color w:val="000000" w:themeColor="text1"/>
          <w:kern w:val="0"/>
          <w:sz w:val="24"/>
          <w:szCs w:val="24"/>
        </w:rPr>
        <w:t>（《</w:t>
      </w:r>
      <w:hyperlink r:id="rId13"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》第三十八条第一款第一项）</w:t>
      </w:r>
    </w:p>
    <w:bookmarkEnd w:id="4"/>
    <w:p w14:paraId="005D6101" w14:textId="259AD6EA"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（二）扣押、查封财产</w:t>
      </w:r>
    </w:p>
    <w:p w14:paraId="195F21A2"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扣押、查封纳税人的价值相当于应纳税款的商品、货物或者其他财产。</w:t>
      </w:r>
    </w:p>
    <w:p w14:paraId="7199F527" w14:textId="4470B3A6"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14"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》第三十八条第一款第二项）</w:t>
      </w:r>
    </w:p>
    <w:p w14:paraId="3A5ED54E" w14:textId="182987D1" w:rsidR="00B3475E" w:rsidRPr="00683399" w:rsidRDefault="00673E1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hint="eastAsia"/>
          <w:color w:val="000000" w:themeColor="text1"/>
          <w:sz w:val="24"/>
          <w:szCs w:val="24"/>
          <w:shd w:val="clear" w:color="auto" w:fill="FFFFFF"/>
        </w:rPr>
        <w:t>《</w:t>
      </w:r>
      <w:hyperlink r:id="rId15" w:tgtFrame="_self" w:history="1">
        <w:r w:rsidRPr="00683399">
          <w:rPr>
            <w:rFonts w:asciiTheme="minorEastAsia" w:hAnsiTheme="minorEastAsia" w:hint="eastAsia"/>
            <w:color w:val="000000" w:themeColor="text1"/>
            <w:sz w:val="24"/>
            <w:szCs w:val="24"/>
            <w:u w:val="single"/>
            <w:shd w:val="clear" w:color="auto" w:fill="FFFFFF"/>
          </w:rPr>
          <w:t>中华人民共和国税收征收管理法</w:t>
        </w:r>
      </w:hyperlink>
      <w:r w:rsidRPr="00683399">
        <w:rPr>
          <w:rFonts w:asciiTheme="minorEastAsia" w:hAnsiTheme="minorEastAsia" w:hint="eastAsia"/>
          <w:color w:val="000000" w:themeColor="text1"/>
          <w:sz w:val="24"/>
          <w:szCs w:val="24"/>
          <w:shd w:val="clear" w:color="auto" w:fill="FFFFFF"/>
        </w:rPr>
        <w:t>》及其实施细则法规的扣押、查封、拍卖纳税人商品、货物或其他财产中的“其他财产”，是指除商品、货物以外的其他所有财产，包括纳税人的生产资料。</w:t>
      </w:r>
    </w:p>
    <w:p w14:paraId="6329F237" w14:textId="58E13E76"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hint="eastAsia"/>
          <w:color w:val="000000" w:themeColor="text1"/>
          <w:sz w:val="24"/>
          <w:szCs w:val="24"/>
          <w:shd w:val="clear" w:color="auto" w:fill="FFFFFF"/>
        </w:rPr>
        <w:t>（</w:t>
      </w:r>
      <w:hyperlink r:id="rId16" w:history="1">
        <w:r w:rsidRPr="00683399">
          <w:rPr>
            <w:rStyle w:val="a5"/>
            <w:rFonts w:asciiTheme="minorEastAsia" w:hAnsiTheme="minorEastAsia" w:hint="eastAsia"/>
            <w:color w:val="000000" w:themeColor="text1"/>
            <w:sz w:val="24"/>
            <w:szCs w:val="24"/>
            <w:shd w:val="clear" w:color="auto" w:fill="FFFFFF"/>
          </w:rPr>
          <w:t>国税函[1999]253号</w:t>
        </w:r>
      </w:hyperlink>
      <w:r w:rsidRPr="00683399">
        <w:rPr>
          <w:rFonts w:asciiTheme="minorEastAsia" w:hAnsiTheme="minorEastAsia" w:hint="eastAsia"/>
          <w:color w:val="000000" w:themeColor="text1"/>
          <w:sz w:val="24"/>
          <w:szCs w:val="24"/>
          <w:shd w:val="clear" w:color="auto" w:fill="FFFFFF"/>
        </w:rPr>
        <w:t>）</w:t>
      </w:r>
    </w:p>
    <w:p w14:paraId="5B3E22DD" w14:textId="205C5DF0"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1、参照价格</w:t>
      </w:r>
    </w:p>
    <w:p w14:paraId="79CC4DED" w14:textId="1F69D63E" w:rsidR="00B3475E" w:rsidRPr="00683399" w:rsidRDefault="00673E1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shd w:val="clear" w:color="auto" w:fill="FFFFFF"/>
        </w:rPr>
        <w:t>税务机关执行</w:t>
      </w:r>
      <w:hyperlink r:id="rId17" w:tgtFrame="_self" w:history="1">
        <w:r w:rsidRPr="00683399">
          <w:rPr>
            <w:rStyle w:val="a5"/>
            <w:rFonts w:asciiTheme="minorEastAsia" w:eastAsiaTheme="minorEastAsia" w:hAnsiTheme="minorEastAsia" w:hint="eastAsia"/>
            <w:color w:val="000000" w:themeColor="text1"/>
            <w:shd w:val="clear" w:color="auto" w:fill="FFFFFF"/>
          </w:rPr>
          <w:t>税收征管法</w:t>
        </w:r>
      </w:hyperlink>
      <w:r w:rsidRPr="00683399">
        <w:rPr>
          <w:rFonts w:asciiTheme="minorEastAsia" w:eastAsiaTheme="minorEastAsia" w:hAnsiTheme="minorEastAsia" w:hint="eastAsia"/>
          <w:color w:val="000000" w:themeColor="text1"/>
          <w:shd w:val="clear" w:color="auto" w:fill="FFFFFF"/>
        </w:rPr>
        <w:t>第三十七条、第三十八条、第四十条的规定，扣押、查封价值相当于应纳税款的商品、货物或者其他财产时，参照同类商品的市场价、出厂价或者评估价估算。</w:t>
      </w:r>
    </w:p>
    <w:p w14:paraId="2DD66E8A" w14:textId="7430838A" w:rsidR="00B3475E" w:rsidRPr="00683399" w:rsidRDefault="00B3475E" w:rsidP="00683399">
      <w:pPr>
        <w:pStyle w:val="a6"/>
        <w:spacing w:before="150" w:beforeAutospacing="0" w:after="150" w:afterAutospacing="0" w:line="480" w:lineRule="atLeast"/>
        <w:ind w:firstLineChars="200" w:firstLine="480"/>
        <w:jc w:val="right"/>
        <w:rPr>
          <w:rFonts w:asciiTheme="minorEastAsia" w:eastAsiaTheme="minorEastAsia" w:hAnsiTheme="minorEastAsia"/>
          <w:color w:val="000000" w:themeColor="text1"/>
        </w:rPr>
      </w:pPr>
      <w:bookmarkStart w:id="5" w:name="_Hlk14815173"/>
      <w:r w:rsidRPr="00683399">
        <w:rPr>
          <w:rFonts w:asciiTheme="minorEastAsia" w:eastAsiaTheme="minorEastAsia" w:hAnsiTheme="minorEastAsia" w:hint="eastAsia"/>
          <w:color w:val="000000" w:themeColor="text1"/>
        </w:rPr>
        <w:t>（《</w:t>
      </w:r>
      <w:hyperlink r:id="rId18"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》第六十四条第一款）</w:t>
      </w:r>
    </w:p>
    <w:bookmarkEnd w:id="5"/>
    <w:p w14:paraId="165B7E46" w14:textId="49C73F1D"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2、扣押价值范围</w:t>
      </w:r>
    </w:p>
    <w:p w14:paraId="4F080A9C" w14:textId="1401AF93" w:rsidR="00B3475E" w:rsidRPr="00683399" w:rsidRDefault="00673E1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shd w:val="clear" w:color="auto" w:fill="FFFFFF"/>
        </w:rPr>
        <w:t>税务机关按照前款方法确定应扣押、查封的商品、货物或者其他财产的价值时，还应当包括滞纳金和扣押、查封、保管、拍卖、变卖所发生的费用。</w:t>
      </w:r>
    </w:p>
    <w:p w14:paraId="028BF1F2" w14:textId="5E1014A1" w:rsidR="00B3475E" w:rsidRPr="00683399" w:rsidRDefault="00B3475E" w:rsidP="00683399">
      <w:pPr>
        <w:pStyle w:val="a6"/>
        <w:spacing w:before="150" w:beforeAutospacing="0" w:after="150" w:afterAutospacing="0" w:line="480" w:lineRule="atLeast"/>
        <w:ind w:firstLineChars="200" w:firstLine="480"/>
        <w:jc w:val="right"/>
        <w:rPr>
          <w:rFonts w:asciiTheme="minorEastAsia" w:eastAsiaTheme="minorEastAsia" w:hAnsiTheme="minorEastAsia"/>
          <w:color w:val="000000" w:themeColor="text1"/>
        </w:rPr>
      </w:pPr>
      <w:bookmarkStart w:id="6" w:name="_Hlk14815226"/>
      <w:r w:rsidRPr="00683399">
        <w:rPr>
          <w:rFonts w:asciiTheme="minorEastAsia" w:eastAsiaTheme="minorEastAsia" w:hAnsiTheme="minorEastAsia" w:hint="eastAsia"/>
          <w:color w:val="000000" w:themeColor="text1"/>
        </w:rPr>
        <w:t>（《</w:t>
      </w:r>
      <w:hyperlink r:id="rId19"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》第六十四条第二款）</w:t>
      </w:r>
    </w:p>
    <w:bookmarkEnd w:id="6"/>
    <w:p w14:paraId="4DCD7A46"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对价值超过应纳税额且不可分割的商品、货物或者其他财产，税务机关在纳税人、扣缴义务人或者纳税担保人无其他可供强制执行的财产的情况下，可以整</w:t>
      </w:r>
      <w:r w:rsidRPr="00683399">
        <w:rPr>
          <w:rFonts w:asciiTheme="minorEastAsia" w:eastAsiaTheme="minorEastAsia" w:hAnsiTheme="minorEastAsia" w:hint="eastAsia"/>
          <w:color w:val="000000" w:themeColor="text1"/>
        </w:rPr>
        <w:lastRenderedPageBreak/>
        <w:t>体扣押、查封、拍卖，以拍卖所得抵缴税款、滞纳金、罚款以及扣押、查封、保管、拍卖等费用。</w:t>
      </w:r>
    </w:p>
    <w:p w14:paraId="5ED8B376" w14:textId="63F803EC" w:rsidR="00B3475E" w:rsidRPr="00683399" w:rsidRDefault="00B3475E" w:rsidP="00683399">
      <w:pPr>
        <w:pStyle w:val="a6"/>
        <w:spacing w:before="150" w:beforeAutospacing="0" w:after="150" w:afterAutospacing="0" w:line="480" w:lineRule="atLeast"/>
        <w:ind w:firstLineChars="200" w:firstLine="480"/>
        <w:jc w:val="right"/>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w:t>
      </w:r>
      <w:hyperlink r:id="rId20"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》第六十五条）</w:t>
      </w:r>
    </w:p>
    <w:p w14:paraId="3A699327" w14:textId="6C25D259"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3、通知到场</w:t>
      </w:r>
    </w:p>
    <w:p w14:paraId="7F3F1E79"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14:paraId="338109F5" w14:textId="7EE26F58" w:rsidR="00B3475E" w:rsidRPr="00683399" w:rsidRDefault="00B3475E" w:rsidP="00683399">
      <w:pPr>
        <w:pStyle w:val="a6"/>
        <w:spacing w:before="150" w:beforeAutospacing="0" w:after="150" w:afterAutospacing="0" w:line="480" w:lineRule="atLeast"/>
        <w:ind w:firstLineChars="200" w:firstLine="480"/>
        <w:jc w:val="right"/>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w:t>
      </w:r>
      <w:hyperlink r:id="rId21"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》第六十三条）</w:t>
      </w:r>
    </w:p>
    <w:p w14:paraId="7867DB89" w14:textId="6106EA83"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4、开付收据（清单）</w:t>
      </w:r>
    </w:p>
    <w:p w14:paraId="435E0750"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税务机关扣押商品、货物或者其他财产时，必须开付收据；查封商品、货物或者其他财产时，必须开付清单。</w:t>
      </w:r>
    </w:p>
    <w:p w14:paraId="094B5B50" w14:textId="467E4B68"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22"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》第四十七条）</w:t>
      </w:r>
    </w:p>
    <w:p w14:paraId="2AFAB7F9" w14:textId="359AFE3A"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5、查封财产的管理</w:t>
      </w:r>
    </w:p>
    <w:p w14:paraId="6F708FDD" w14:textId="5D7CEB5D" w:rsidR="00B3475E" w:rsidRPr="00683399" w:rsidRDefault="00673E1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shd w:val="clear" w:color="auto" w:fill="FFFFFF"/>
        </w:rPr>
        <w:t>税务机关执行</w:t>
      </w:r>
      <w:hyperlink r:id="rId23" w:tgtFrame="_self" w:history="1">
        <w:r w:rsidRPr="00683399">
          <w:rPr>
            <w:rStyle w:val="a5"/>
            <w:rFonts w:asciiTheme="minorEastAsia" w:eastAsiaTheme="minorEastAsia" w:hAnsiTheme="minorEastAsia" w:hint="eastAsia"/>
            <w:color w:val="000000" w:themeColor="text1"/>
            <w:shd w:val="clear" w:color="auto" w:fill="FFFFFF"/>
          </w:rPr>
          <w:t>税收征管法</w:t>
        </w:r>
      </w:hyperlink>
      <w:r w:rsidRPr="00683399">
        <w:rPr>
          <w:rFonts w:asciiTheme="minorEastAsia" w:eastAsiaTheme="minorEastAsia" w:hAnsiTheme="minorEastAsia" w:hint="eastAsia"/>
          <w:color w:val="000000" w:themeColor="text1"/>
          <w:shd w:val="clear" w:color="auto" w:fill="FFFFFF"/>
        </w:rPr>
        <w:t>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14:paraId="4C4C0B45" w14:textId="287BF38E"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olor w:val="000000" w:themeColor="text1"/>
          <w:sz w:val="24"/>
          <w:szCs w:val="24"/>
        </w:rPr>
      </w:pPr>
      <w:r w:rsidRPr="00683399">
        <w:rPr>
          <w:rFonts w:asciiTheme="minorEastAsia" w:hAnsiTheme="minorEastAsia" w:cs="宋体" w:hint="eastAsia"/>
          <w:color w:val="000000" w:themeColor="text1"/>
          <w:kern w:val="0"/>
          <w:sz w:val="24"/>
          <w:szCs w:val="24"/>
        </w:rPr>
        <w:t>（《</w:t>
      </w:r>
      <w:hyperlink r:id="rId24"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》第六十六条）</w:t>
      </w:r>
    </w:p>
    <w:p w14:paraId="1C5924D2"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对查封的商品、货物或者其他财产，税务机关可以指令被执行人负责保管，保管责任由被执行人承担。</w:t>
      </w:r>
    </w:p>
    <w:p w14:paraId="22E63C18" w14:textId="4BA02C04"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7" w:name="_Hlk14842522"/>
      <w:bookmarkStart w:id="8" w:name="_Hlk14842446"/>
      <w:r w:rsidRPr="00683399">
        <w:rPr>
          <w:rFonts w:asciiTheme="minorEastAsia" w:hAnsiTheme="minorEastAsia" w:cs="宋体" w:hint="eastAsia"/>
          <w:color w:val="000000" w:themeColor="text1"/>
          <w:kern w:val="0"/>
          <w:sz w:val="24"/>
          <w:szCs w:val="24"/>
        </w:rPr>
        <w:t>（《</w:t>
      </w:r>
      <w:hyperlink r:id="rId25"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》第六十七条第一款）</w:t>
      </w:r>
    </w:p>
    <w:bookmarkEnd w:id="7"/>
    <w:p w14:paraId="759C3A36"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继续使用被查封的财产不会减少其价值的，税务机关可以允许被执行人继续使用；因被执行人保管或者使用的过错造成的损失，由被执行人承担。</w:t>
      </w:r>
    </w:p>
    <w:p w14:paraId="05720D20" w14:textId="23DC2957"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lastRenderedPageBreak/>
        <w:t>（《</w:t>
      </w:r>
      <w:hyperlink r:id="rId26"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》第六十七条第二款）</w:t>
      </w:r>
    </w:p>
    <w:bookmarkEnd w:id="8"/>
    <w:p w14:paraId="036E407F" w14:textId="5F9C3BB1"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四、保全财产的限制范围</w:t>
      </w:r>
    </w:p>
    <w:p w14:paraId="37AD00A2" w14:textId="0121BE04"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（一）生活必需的住房和用品</w:t>
      </w:r>
    </w:p>
    <w:p w14:paraId="02FE1F0C"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个人及其所扶养家属维持生活必需的住房和用品，不在税收保全措施的范围之内。</w:t>
      </w:r>
    </w:p>
    <w:p w14:paraId="69F9BAD1" w14:textId="044E98A7"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27"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》第三十八条第三款）</w:t>
      </w:r>
    </w:p>
    <w:p w14:paraId="2C80CB41"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税务机关采取税收保全措施和强制执行措施必须依照法定权限和法定程序，不得查封、扣押纳税人个人及其所扶养家属维持生活必需的住房和用品。</w:t>
      </w:r>
    </w:p>
    <w:p w14:paraId="64025999" w14:textId="3AB30EFD"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28"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》第四十二条）</w:t>
      </w:r>
    </w:p>
    <w:p w14:paraId="49342C61" w14:textId="6520DAFB"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1、扶养家属的定义</w:t>
      </w:r>
    </w:p>
    <w:p w14:paraId="7197715B" w14:textId="49C26739" w:rsidR="00B3475E" w:rsidRPr="00683399" w:rsidRDefault="00673E1E" w:rsidP="00683399">
      <w:pPr>
        <w:pStyle w:val="a6"/>
        <w:spacing w:before="150" w:beforeAutospacing="0" w:after="150" w:afterAutospacing="0" w:line="480" w:lineRule="atLeast"/>
        <w:ind w:firstLine="480"/>
        <w:rPr>
          <w:rFonts w:asciiTheme="minorEastAsia" w:eastAsiaTheme="minorEastAsia" w:hAnsiTheme="minorEastAsia"/>
          <w:color w:val="000000" w:themeColor="text1"/>
        </w:rPr>
      </w:pPr>
      <w:hyperlink r:id="rId29" w:tgtFrame="_self" w:history="1">
        <w:r w:rsidRPr="00683399">
          <w:rPr>
            <w:rStyle w:val="a5"/>
            <w:rFonts w:asciiTheme="minorEastAsia" w:eastAsiaTheme="minorEastAsia" w:hAnsiTheme="minorEastAsia" w:hint="eastAsia"/>
            <w:color w:val="000000" w:themeColor="text1"/>
            <w:shd w:val="clear" w:color="auto" w:fill="FFFFFF"/>
          </w:rPr>
          <w:t>税收征管法</w:t>
        </w:r>
      </w:hyperlink>
      <w:r w:rsidRPr="00683399">
        <w:rPr>
          <w:rFonts w:asciiTheme="minorEastAsia" w:eastAsiaTheme="minorEastAsia" w:hAnsiTheme="minorEastAsia" w:hint="eastAsia"/>
          <w:color w:val="000000" w:themeColor="text1"/>
          <w:shd w:val="clear" w:color="auto" w:fill="FFFFFF"/>
        </w:rPr>
        <w:t>第三十八条、第四十条、第四十二条所称个人所扶养家属，是指与纳税人共同居住生活的配偶、直系亲属以及无生活来源并由纳税人扶养的其他亲属。</w:t>
      </w:r>
    </w:p>
    <w:p w14:paraId="59E4B461" w14:textId="61486F3E"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0"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》第六十条）</w:t>
      </w:r>
    </w:p>
    <w:p w14:paraId="35E8E50D" w14:textId="4ADE9DE8" w:rsidR="00B3475E" w:rsidRPr="00683399" w:rsidRDefault="00B3475E" w:rsidP="00683399">
      <w:pPr>
        <w:pStyle w:val="3"/>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2、生活必需的住房和用品的范围</w:t>
      </w:r>
    </w:p>
    <w:p w14:paraId="42A7E835" w14:textId="738FBCE2"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机</w:t>
      </w:r>
      <w:r w:rsidR="00673E1E" w:rsidRPr="00683399">
        <w:rPr>
          <w:rFonts w:asciiTheme="minorEastAsia" w:eastAsiaTheme="minorEastAsia" w:hAnsiTheme="minorEastAsia" w:hint="eastAsia"/>
          <w:color w:val="000000" w:themeColor="text1"/>
          <w:shd w:val="clear" w:color="auto" w:fill="FFFFFF"/>
        </w:rPr>
        <w:t>机动车辆、金银饰品、古玩字画、豪华住宅或者一处以外的住房不属于</w:t>
      </w:r>
      <w:hyperlink r:id="rId31" w:tgtFrame="_self" w:history="1">
        <w:r w:rsidR="00673E1E" w:rsidRPr="00683399">
          <w:rPr>
            <w:rStyle w:val="a5"/>
            <w:rFonts w:asciiTheme="minorEastAsia" w:eastAsiaTheme="minorEastAsia" w:hAnsiTheme="minorEastAsia" w:hint="eastAsia"/>
            <w:color w:val="000000" w:themeColor="text1"/>
            <w:shd w:val="clear" w:color="auto" w:fill="FFFFFF"/>
          </w:rPr>
          <w:t>税收征管法</w:t>
        </w:r>
      </w:hyperlink>
      <w:r w:rsidR="00673E1E" w:rsidRPr="00683399">
        <w:rPr>
          <w:rFonts w:asciiTheme="minorEastAsia" w:eastAsiaTheme="minorEastAsia" w:hAnsiTheme="minorEastAsia" w:hint="eastAsia"/>
          <w:color w:val="000000" w:themeColor="text1"/>
          <w:shd w:val="clear" w:color="auto" w:fill="FFFFFF"/>
        </w:rPr>
        <w:t>第三十八条、第四十条、第四十二条所称个人及其所扶养家属维持生活必需的住房和用品。</w:t>
      </w:r>
    </w:p>
    <w:p w14:paraId="3E8413D8" w14:textId="69285E97"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9" w:name="_Hlk14810454"/>
      <w:r w:rsidRPr="00683399">
        <w:rPr>
          <w:rFonts w:asciiTheme="minorEastAsia" w:hAnsiTheme="minorEastAsia" w:cs="宋体" w:hint="eastAsia"/>
          <w:color w:val="000000" w:themeColor="text1"/>
          <w:kern w:val="0"/>
          <w:sz w:val="24"/>
          <w:szCs w:val="24"/>
        </w:rPr>
        <w:t>（《</w:t>
      </w:r>
      <w:hyperlink r:id="rId32"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》第五十九条第二款）</w:t>
      </w:r>
    </w:p>
    <w:bookmarkEnd w:id="9"/>
    <w:p w14:paraId="6BFA1018" w14:textId="315027DF"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（二）其他生活用品</w:t>
      </w:r>
    </w:p>
    <w:p w14:paraId="7348659F"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税务机关对单价５０００元以下的其他生活用品，不采取税收保全措施和强制执行措施。</w:t>
      </w:r>
    </w:p>
    <w:p w14:paraId="3B6F7D2C" w14:textId="7F020F8E"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3"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》第五十九条第三款）</w:t>
      </w:r>
    </w:p>
    <w:p w14:paraId="3F21D6ED" w14:textId="0F2DEEB2"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lastRenderedPageBreak/>
        <w:t>五、保全后措施</w:t>
      </w:r>
    </w:p>
    <w:p w14:paraId="103F290D"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14:paraId="6216A13A" w14:textId="7459A9FC"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bookmarkStart w:id="10" w:name="_Hlk14630318"/>
      <w:r w:rsidRPr="00683399">
        <w:rPr>
          <w:rFonts w:asciiTheme="minorEastAsia" w:hAnsiTheme="minorEastAsia" w:cs="宋体" w:hint="eastAsia"/>
          <w:color w:val="000000" w:themeColor="text1"/>
          <w:kern w:val="0"/>
          <w:sz w:val="24"/>
          <w:szCs w:val="24"/>
        </w:rPr>
        <w:t>（《</w:t>
      </w:r>
      <w:hyperlink r:id="rId34"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》第三十八条第二款）</w:t>
      </w:r>
    </w:p>
    <w:p w14:paraId="19340F2E" w14:textId="4D658AEE"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（一）解除保全</w:t>
      </w:r>
    </w:p>
    <w:p w14:paraId="7D371AC5"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纳税人在税务机关采取税收保全措施后，按照税务机关规定的期限缴纳税款的，税务机关应当自收到税款或者银行转回的完税凭证之日起１日内解除税收保全。</w:t>
      </w:r>
    </w:p>
    <w:p w14:paraId="460AE736" w14:textId="6D288171"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5" w:history="1">
        <w:r w:rsidR="00037BAD" w:rsidRPr="00683399">
          <w:rPr>
            <w:rStyle w:val="a5"/>
            <w:rFonts w:asciiTheme="minorEastAsia" w:hAnsiTheme="minorEastAsia" w:cs="宋体" w:hint="eastAsia"/>
            <w:color w:val="000000" w:themeColor="text1"/>
            <w:kern w:val="0"/>
            <w:sz w:val="24"/>
            <w:szCs w:val="24"/>
          </w:rPr>
          <w:t>税收征管法实施细则</w:t>
        </w:r>
      </w:hyperlink>
      <w:r w:rsidRPr="00683399">
        <w:rPr>
          <w:rFonts w:asciiTheme="minorEastAsia" w:hAnsiTheme="minorEastAsia" w:cs="宋体" w:hint="eastAsia"/>
          <w:color w:val="000000" w:themeColor="text1"/>
          <w:kern w:val="0"/>
          <w:sz w:val="24"/>
          <w:szCs w:val="24"/>
        </w:rPr>
        <w:t>》第六十八条）</w:t>
      </w:r>
    </w:p>
    <w:p w14:paraId="2B54CEF9" w14:textId="7FED8790"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（二）强制执行</w:t>
      </w:r>
    </w:p>
    <w:p w14:paraId="6F94DD74" w14:textId="19C53909"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详见：</w:t>
      </w:r>
      <w:r w:rsidRPr="00683399">
        <w:rPr>
          <w:rFonts w:asciiTheme="minorEastAsia" w:hAnsiTheme="minorEastAsia" w:cs="宋体"/>
          <w:color w:val="000000" w:themeColor="text1"/>
          <w:kern w:val="0"/>
          <w:sz w:val="24"/>
          <w:szCs w:val="24"/>
        </w:rPr>
        <w:t xml:space="preserve"> </w:t>
      </w:r>
    </w:p>
    <w:bookmarkEnd w:id="10"/>
    <w:p w14:paraId="3D00916B" w14:textId="7D93AA19"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t>六、法律责任</w:t>
      </w:r>
    </w:p>
    <w:p w14:paraId="59D78D76"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税务机关滥用职权违法采取税收保全措施、强制执行措施，或者采取税收保全措施、强制执行措施不当，使纳税人、扣缴义务人或者纳税担保人的合法权益遭受损失的，应当依法承担赔偿责任。</w:t>
      </w:r>
    </w:p>
    <w:p w14:paraId="3D5ACEAB" w14:textId="5E52C41F"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6"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》第四十三条）</w:t>
      </w:r>
    </w:p>
    <w:p w14:paraId="17B9D413"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纳税人在限期内已缴纳税款，税务机关未立即解除税收保全措施，使纳税人的合法利益遭受损失的，税务机关应当承担赔偿责任。</w:t>
      </w:r>
    </w:p>
    <w:p w14:paraId="4F099F37" w14:textId="6C59534F"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7"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》第三十九条）</w:t>
      </w:r>
    </w:p>
    <w:p w14:paraId="3F2DD14E" w14:textId="5139F93C" w:rsidR="00B3475E" w:rsidRPr="00683399" w:rsidRDefault="00B3475E" w:rsidP="00683399">
      <w:pPr>
        <w:pStyle w:val="1"/>
        <w:spacing w:before="150" w:after="150" w:line="480" w:lineRule="atLeast"/>
        <w:rPr>
          <w:rFonts w:asciiTheme="minorEastAsia" w:hAnsiTheme="minorEastAsia"/>
          <w:color w:val="000000" w:themeColor="text1"/>
          <w:sz w:val="24"/>
          <w:szCs w:val="24"/>
        </w:rPr>
      </w:pPr>
      <w:r w:rsidRPr="00683399">
        <w:rPr>
          <w:rFonts w:asciiTheme="minorEastAsia" w:hAnsiTheme="minorEastAsia" w:hint="eastAsia"/>
          <w:color w:val="000000" w:themeColor="text1"/>
          <w:sz w:val="24"/>
          <w:szCs w:val="24"/>
        </w:rPr>
        <w:lastRenderedPageBreak/>
        <w:t>附注：对未办登记（报验）或临时经营的保全与强制</w:t>
      </w:r>
    </w:p>
    <w:p w14:paraId="5BC36C62" w14:textId="77777777" w:rsidR="00B3475E" w:rsidRPr="00683399" w:rsidRDefault="00B3475E" w:rsidP="00683399">
      <w:pPr>
        <w:widowControl/>
        <w:shd w:val="clear" w:color="auto" w:fill="FFFFFF"/>
        <w:spacing w:before="150" w:after="150" w:line="480" w:lineRule="atLeast"/>
        <w:ind w:firstLineChars="200" w:firstLine="480"/>
        <w:jc w:val="left"/>
        <w:rPr>
          <w:rFonts w:asciiTheme="minorEastAsia" w:hAnsiTheme="minorEastAsia" w:cs="宋体"/>
          <w:color w:val="000000" w:themeColor="text1"/>
          <w:kern w:val="0"/>
          <w:sz w:val="24"/>
          <w:szCs w:val="24"/>
        </w:rPr>
      </w:pPr>
      <w:bookmarkStart w:id="11" w:name="_Hlk14668089"/>
      <w:r w:rsidRPr="00683399">
        <w:rPr>
          <w:rFonts w:asciiTheme="minorEastAsia" w:hAnsiTheme="minorEastAsia" w:cs="宋体" w:hint="eastAsia"/>
          <w:color w:val="000000" w:themeColor="text1"/>
          <w:kern w:val="0"/>
          <w:sz w:val="24"/>
          <w:szCs w:val="24"/>
        </w:rPr>
        <w:t>对未按照规定办理税务登记的从事生产、经营的纳税人以及临时从事经营的纳税人，</w:t>
      </w:r>
      <w:bookmarkEnd w:id="11"/>
      <w:r w:rsidRPr="00683399">
        <w:rPr>
          <w:rFonts w:asciiTheme="minorEastAsia" w:hAnsiTheme="minorEastAsia" w:cs="宋体" w:hint="eastAsia"/>
          <w:color w:val="000000" w:themeColor="text1"/>
          <w:kern w:val="0"/>
          <w:sz w:val="24"/>
          <w:szCs w:val="24"/>
        </w:rPr>
        <w:t>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14:paraId="7321DDA4" w14:textId="06A8BA18" w:rsidR="00B3475E" w:rsidRPr="00683399" w:rsidRDefault="00B3475E" w:rsidP="00683399">
      <w:pPr>
        <w:widowControl/>
        <w:shd w:val="clear" w:color="auto" w:fill="FFFFFF"/>
        <w:spacing w:before="150" w:after="150" w:line="480" w:lineRule="atLeast"/>
        <w:ind w:firstLineChars="200" w:firstLine="480"/>
        <w:jc w:val="right"/>
        <w:rPr>
          <w:rFonts w:asciiTheme="minorEastAsia" w:hAnsiTheme="minorEastAsia" w:cs="宋体"/>
          <w:color w:val="000000" w:themeColor="text1"/>
          <w:kern w:val="0"/>
          <w:sz w:val="24"/>
          <w:szCs w:val="24"/>
        </w:rPr>
      </w:pPr>
      <w:r w:rsidRPr="00683399">
        <w:rPr>
          <w:rFonts w:asciiTheme="minorEastAsia" w:hAnsiTheme="minorEastAsia" w:cs="宋体" w:hint="eastAsia"/>
          <w:color w:val="000000" w:themeColor="text1"/>
          <w:kern w:val="0"/>
          <w:sz w:val="24"/>
          <w:szCs w:val="24"/>
        </w:rPr>
        <w:t>（《</w:t>
      </w:r>
      <w:hyperlink r:id="rId38" w:history="1">
        <w:r w:rsidR="009F49AE" w:rsidRPr="00683399">
          <w:rPr>
            <w:rStyle w:val="a5"/>
            <w:rFonts w:asciiTheme="minorEastAsia" w:hAnsiTheme="minorEastAsia" w:cs="宋体" w:hint="eastAsia"/>
            <w:color w:val="000000" w:themeColor="text1"/>
            <w:kern w:val="0"/>
            <w:sz w:val="24"/>
            <w:szCs w:val="24"/>
          </w:rPr>
          <w:t>税收征管法</w:t>
        </w:r>
      </w:hyperlink>
      <w:r w:rsidRPr="00683399">
        <w:rPr>
          <w:rFonts w:asciiTheme="minorEastAsia" w:hAnsiTheme="minorEastAsia" w:cs="宋体" w:hint="eastAsia"/>
          <w:color w:val="000000" w:themeColor="text1"/>
          <w:kern w:val="0"/>
          <w:sz w:val="24"/>
          <w:szCs w:val="24"/>
        </w:rPr>
        <w:t>》第三十七条）</w:t>
      </w:r>
    </w:p>
    <w:p w14:paraId="7540C7F3" w14:textId="77777777"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（一）适用范围</w:t>
      </w:r>
    </w:p>
    <w:p w14:paraId="51439A5B" w14:textId="3FE01672" w:rsidR="00B3475E" w:rsidRPr="00683399" w:rsidRDefault="00683399"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hyperlink r:id="rId39" w:tgtFrame="_self" w:history="1">
        <w:r w:rsidRPr="00683399">
          <w:rPr>
            <w:rStyle w:val="a5"/>
            <w:rFonts w:asciiTheme="minorEastAsia" w:eastAsiaTheme="minorEastAsia" w:hAnsiTheme="minorEastAsia" w:hint="eastAsia"/>
            <w:color w:val="000000" w:themeColor="text1"/>
            <w:shd w:val="clear" w:color="auto" w:fill="FFFFFF"/>
          </w:rPr>
          <w:t>税收征管法</w:t>
        </w:r>
      </w:hyperlink>
      <w:r w:rsidRPr="00683399">
        <w:rPr>
          <w:rFonts w:asciiTheme="minorEastAsia" w:eastAsiaTheme="minorEastAsia" w:hAnsiTheme="minorEastAsia" w:hint="eastAsia"/>
          <w:color w:val="000000" w:themeColor="text1"/>
          <w:shd w:val="clear" w:color="auto" w:fill="FFFFFF"/>
        </w:rPr>
        <w:t>第三十七条所称未按照规定办理税务登记从事生产、经营的纳税人，包括到外县（市）从事生产、经营而未向营业地税务机关报验登记的纳税人。</w:t>
      </w:r>
    </w:p>
    <w:p w14:paraId="2985703F" w14:textId="40E25224" w:rsidR="00B3475E" w:rsidRPr="00683399" w:rsidRDefault="00B3475E" w:rsidP="00683399">
      <w:pPr>
        <w:pStyle w:val="a6"/>
        <w:spacing w:before="150" w:beforeAutospacing="0" w:after="150" w:afterAutospacing="0" w:line="480" w:lineRule="atLeast"/>
        <w:jc w:val="right"/>
        <w:rPr>
          <w:rFonts w:asciiTheme="minorEastAsia" w:eastAsiaTheme="minorEastAsia" w:hAnsiTheme="minorEastAsia"/>
          <w:color w:val="000000" w:themeColor="text1"/>
        </w:rPr>
      </w:pPr>
      <w:bookmarkStart w:id="12" w:name="_Hlk14809844"/>
      <w:r w:rsidRPr="00683399">
        <w:rPr>
          <w:rFonts w:asciiTheme="minorEastAsia" w:eastAsiaTheme="minorEastAsia" w:hAnsiTheme="minorEastAsia" w:hint="eastAsia"/>
          <w:color w:val="000000" w:themeColor="text1"/>
        </w:rPr>
        <w:t>（《</w:t>
      </w:r>
      <w:hyperlink r:id="rId40"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》）第五十七条）</w:t>
      </w:r>
    </w:p>
    <w:bookmarkEnd w:id="12"/>
    <w:p w14:paraId="7F2FFCE5" w14:textId="77777777"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（二）扣押后缴税款期限</w:t>
      </w:r>
    </w:p>
    <w:p w14:paraId="6F05DF7D" w14:textId="72616F0B" w:rsidR="00B3475E" w:rsidRPr="00683399" w:rsidRDefault="00683399"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shd w:val="clear" w:color="auto" w:fill="FFFFFF"/>
        </w:rPr>
        <w:t>税务机关依照</w:t>
      </w:r>
      <w:hyperlink r:id="rId41" w:tgtFrame="_self" w:history="1">
        <w:r w:rsidRPr="00683399">
          <w:rPr>
            <w:rStyle w:val="a5"/>
            <w:rFonts w:asciiTheme="minorEastAsia" w:eastAsiaTheme="minorEastAsia" w:hAnsiTheme="minorEastAsia" w:hint="eastAsia"/>
            <w:color w:val="000000" w:themeColor="text1"/>
            <w:shd w:val="clear" w:color="auto" w:fill="FFFFFF"/>
          </w:rPr>
          <w:t>税收征管法</w:t>
        </w:r>
      </w:hyperlink>
      <w:r w:rsidRPr="00683399">
        <w:rPr>
          <w:rFonts w:asciiTheme="minorEastAsia" w:eastAsiaTheme="minorEastAsia" w:hAnsiTheme="minorEastAsia" w:hint="eastAsia"/>
          <w:color w:val="000000" w:themeColor="text1"/>
          <w:shd w:val="clear" w:color="auto" w:fill="FFFFFF"/>
        </w:rPr>
        <w:t>第三十七条的规定，扣押纳税人商品、货物的，纳税人应当自扣押之日起１５日内缴纳税款。</w:t>
      </w:r>
    </w:p>
    <w:p w14:paraId="4F5BB9D1" w14:textId="2C8CEF24" w:rsidR="00B3475E" w:rsidRPr="00683399" w:rsidRDefault="00B3475E" w:rsidP="00683399">
      <w:pPr>
        <w:pStyle w:val="a6"/>
        <w:spacing w:before="150" w:beforeAutospacing="0" w:after="150" w:afterAutospacing="0" w:line="480" w:lineRule="atLeast"/>
        <w:jc w:val="right"/>
        <w:rPr>
          <w:rFonts w:asciiTheme="minorEastAsia" w:eastAsiaTheme="minorEastAsia" w:hAnsiTheme="minorEastAsia"/>
          <w:color w:val="000000" w:themeColor="text1"/>
        </w:rPr>
      </w:pPr>
      <w:bookmarkStart w:id="13" w:name="_Hlk14809861"/>
      <w:r w:rsidRPr="00683399">
        <w:rPr>
          <w:rFonts w:asciiTheme="minorEastAsia" w:eastAsiaTheme="minorEastAsia" w:hAnsiTheme="minorEastAsia" w:hint="eastAsia"/>
          <w:color w:val="000000" w:themeColor="text1"/>
        </w:rPr>
        <w:t>（《</w:t>
      </w:r>
      <w:hyperlink r:id="rId42"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》）第五十八条第一款）</w:t>
      </w:r>
    </w:p>
    <w:bookmarkEnd w:id="13"/>
    <w:p w14:paraId="0CF46710" w14:textId="77777777" w:rsidR="00B3475E" w:rsidRPr="00683399" w:rsidRDefault="00B3475E" w:rsidP="00683399">
      <w:pPr>
        <w:pStyle w:val="2"/>
        <w:spacing w:before="150" w:after="150" w:line="480" w:lineRule="atLeast"/>
        <w:rPr>
          <w:rFonts w:asciiTheme="minorEastAsia" w:eastAsiaTheme="minorEastAsia" w:hAnsiTheme="minorEastAsia"/>
          <w:color w:val="000000" w:themeColor="text1"/>
          <w:sz w:val="24"/>
          <w:szCs w:val="24"/>
        </w:rPr>
      </w:pPr>
      <w:r w:rsidRPr="00683399">
        <w:rPr>
          <w:rFonts w:asciiTheme="minorEastAsia" w:eastAsiaTheme="minorEastAsia" w:hAnsiTheme="minorEastAsia" w:hint="eastAsia"/>
          <w:color w:val="000000" w:themeColor="text1"/>
          <w:sz w:val="24"/>
          <w:szCs w:val="24"/>
        </w:rPr>
        <w:t>（三）扣押期限的缩短</w:t>
      </w:r>
    </w:p>
    <w:p w14:paraId="17228604" w14:textId="77777777" w:rsidR="00B3475E" w:rsidRPr="00683399" w:rsidRDefault="00B3475E" w:rsidP="00683399">
      <w:pPr>
        <w:pStyle w:val="a6"/>
        <w:spacing w:before="150" w:beforeAutospacing="0" w:after="150" w:afterAutospacing="0" w:line="480" w:lineRule="atLeast"/>
        <w:ind w:firstLineChars="200" w:firstLine="480"/>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对扣押的鲜活、易腐烂变质或者易失效的商品、货物，税务机关根据被扣押物品的保质期，可以缩短前款规定的扣押期限。</w:t>
      </w:r>
    </w:p>
    <w:p w14:paraId="227BF995" w14:textId="7BCC30CF" w:rsidR="00B3475E" w:rsidRPr="00683399" w:rsidRDefault="00B3475E" w:rsidP="00683399">
      <w:pPr>
        <w:pStyle w:val="a6"/>
        <w:spacing w:before="150" w:beforeAutospacing="0" w:after="150" w:afterAutospacing="0" w:line="480" w:lineRule="atLeast"/>
        <w:jc w:val="right"/>
        <w:rPr>
          <w:rFonts w:asciiTheme="minorEastAsia" w:eastAsiaTheme="minorEastAsia" w:hAnsiTheme="minorEastAsia"/>
          <w:color w:val="000000" w:themeColor="text1"/>
        </w:rPr>
      </w:pPr>
      <w:r w:rsidRPr="00683399">
        <w:rPr>
          <w:rFonts w:asciiTheme="minorEastAsia" w:eastAsiaTheme="minorEastAsia" w:hAnsiTheme="minorEastAsia" w:hint="eastAsia"/>
          <w:color w:val="000000" w:themeColor="text1"/>
        </w:rPr>
        <w:t>（《</w:t>
      </w:r>
      <w:hyperlink r:id="rId43" w:history="1">
        <w:r w:rsidR="00037BAD" w:rsidRPr="00683399">
          <w:rPr>
            <w:rStyle w:val="a5"/>
            <w:rFonts w:asciiTheme="minorEastAsia" w:eastAsiaTheme="minorEastAsia" w:hAnsiTheme="minorEastAsia" w:hint="eastAsia"/>
            <w:color w:val="000000" w:themeColor="text1"/>
          </w:rPr>
          <w:t>税收征管法实施细则</w:t>
        </w:r>
      </w:hyperlink>
      <w:r w:rsidRPr="00683399">
        <w:rPr>
          <w:rFonts w:asciiTheme="minorEastAsia" w:eastAsiaTheme="minorEastAsia" w:hAnsiTheme="minorEastAsia" w:hint="eastAsia"/>
          <w:color w:val="000000" w:themeColor="text1"/>
        </w:rPr>
        <w:t>》）第五十八条第二款）</w:t>
      </w:r>
    </w:p>
    <w:p w14:paraId="6CFDFA4B" w14:textId="77777777" w:rsidR="00B3475E" w:rsidRPr="00B3475E" w:rsidRDefault="00B3475E" w:rsidP="009B7427">
      <w:pPr>
        <w:widowControl/>
        <w:shd w:val="clear" w:color="auto" w:fill="FFFFFF"/>
        <w:spacing w:beforeLines="50" w:before="156" w:afterLines="50" w:after="156" w:line="540" w:lineRule="atLeast"/>
        <w:ind w:firstLineChars="200" w:firstLine="480"/>
        <w:jc w:val="left"/>
        <w:rPr>
          <w:rFonts w:asciiTheme="minorEastAsia" w:hAnsiTheme="minorEastAsia"/>
          <w:color w:val="000000" w:themeColor="text1"/>
          <w:sz w:val="24"/>
          <w:szCs w:val="24"/>
          <w:shd w:val="clear" w:color="auto" w:fill="FFFFFF"/>
        </w:rPr>
      </w:pPr>
    </w:p>
    <w:sectPr w:rsidR="00B3475E" w:rsidRPr="00B3475E">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C8B87" w14:textId="77777777" w:rsidR="00710023" w:rsidRDefault="00710023" w:rsidP="005908E2">
      <w:r>
        <w:separator/>
      </w:r>
    </w:p>
  </w:endnote>
  <w:endnote w:type="continuationSeparator" w:id="0">
    <w:p w14:paraId="13FE4EE1" w14:textId="77777777" w:rsidR="00710023" w:rsidRDefault="00710023"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986CAF" w:rsidRDefault="00986CA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339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3399">
              <w:rPr>
                <w:b/>
                <w:bCs/>
                <w:noProof/>
              </w:rPr>
              <w:t>6</w:t>
            </w:r>
            <w:r>
              <w:rPr>
                <w:b/>
                <w:bCs/>
                <w:sz w:val="24"/>
                <w:szCs w:val="24"/>
              </w:rPr>
              <w:fldChar w:fldCharType="end"/>
            </w:r>
          </w:p>
        </w:sdtContent>
      </w:sdt>
    </w:sdtContent>
  </w:sdt>
  <w:p w14:paraId="7DD1E703" w14:textId="77777777" w:rsidR="00986CAF" w:rsidRDefault="00986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506EC" w14:textId="77777777" w:rsidR="00710023" w:rsidRDefault="00710023" w:rsidP="005908E2">
      <w:r>
        <w:separator/>
      </w:r>
    </w:p>
  </w:footnote>
  <w:footnote w:type="continuationSeparator" w:id="0">
    <w:p w14:paraId="00752362" w14:textId="77777777" w:rsidR="00710023" w:rsidRDefault="00710023"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1A09"/>
    <w:rsid w:val="00031C3D"/>
    <w:rsid w:val="00032969"/>
    <w:rsid w:val="00032F8C"/>
    <w:rsid w:val="0003421B"/>
    <w:rsid w:val="0003732E"/>
    <w:rsid w:val="00037BAD"/>
    <w:rsid w:val="00042155"/>
    <w:rsid w:val="00044CC2"/>
    <w:rsid w:val="00054B12"/>
    <w:rsid w:val="00067D29"/>
    <w:rsid w:val="0007152B"/>
    <w:rsid w:val="00075153"/>
    <w:rsid w:val="00081555"/>
    <w:rsid w:val="00081D70"/>
    <w:rsid w:val="00082DA8"/>
    <w:rsid w:val="00094EB7"/>
    <w:rsid w:val="000A33D0"/>
    <w:rsid w:val="000A3AA2"/>
    <w:rsid w:val="000A520E"/>
    <w:rsid w:val="000B4604"/>
    <w:rsid w:val="000D155C"/>
    <w:rsid w:val="000D26F7"/>
    <w:rsid w:val="000E5CB3"/>
    <w:rsid w:val="000E6068"/>
    <w:rsid w:val="000F0308"/>
    <w:rsid w:val="000F0A5F"/>
    <w:rsid w:val="000F38D4"/>
    <w:rsid w:val="000F50CD"/>
    <w:rsid w:val="00103CFD"/>
    <w:rsid w:val="0011250C"/>
    <w:rsid w:val="001307EA"/>
    <w:rsid w:val="00146B64"/>
    <w:rsid w:val="00152BEC"/>
    <w:rsid w:val="00154D8D"/>
    <w:rsid w:val="00170248"/>
    <w:rsid w:val="00175195"/>
    <w:rsid w:val="0017727E"/>
    <w:rsid w:val="00177948"/>
    <w:rsid w:val="00181799"/>
    <w:rsid w:val="0018239E"/>
    <w:rsid w:val="001923D9"/>
    <w:rsid w:val="001B4825"/>
    <w:rsid w:val="001E1525"/>
    <w:rsid w:val="001F33E6"/>
    <w:rsid w:val="001F39CF"/>
    <w:rsid w:val="002029CD"/>
    <w:rsid w:val="0021733A"/>
    <w:rsid w:val="00221D6F"/>
    <w:rsid w:val="002312C1"/>
    <w:rsid w:val="00237FC9"/>
    <w:rsid w:val="0024317C"/>
    <w:rsid w:val="002477A7"/>
    <w:rsid w:val="0024798E"/>
    <w:rsid w:val="00284163"/>
    <w:rsid w:val="00291E2E"/>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37CB7"/>
    <w:rsid w:val="00344EB0"/>
    <w:rsid w:val="00354A40"/>
    <w:rsid w:val="00361666"/>
    <w:rsid w:val="003739C5"/>
    <w:rsid w:val="00385E4A"/>
    <w:rsid w:val="00397138"/>
    <w:rsid w:val="003A256B"/>
    <w:rsid w:val="003A6C84"/>
    <w:rsid w:val="003B0368"/>
    <w:rsid w:val="003E0B7E"/>
    <w:rsid w:val="003E2ABF"/>
    <w:rsid w:val="003E2D07"/>
    <w:rsid w:val="003E3D3E"/>
    <w:rsid w:val="003F589A"/>
    <w:rsid w:val="0042253E"/>
    <w:rsid w:val="0042736C"/>
    <w:rsid w:val="00435080"/>
    <w:rsid w:val="00441638"/>
    <w:rsid w:val="00454CFE"/>
    <w:rsid w:val="00457ED7"/>
    <w:rsid w:val="00461BBB"/>
    <w:rsid w:val="0046763C"/>
    <w:rsid w:val="00473E5F"/>
    <w:rsid w:val="00484E3E"/>
    <w:rsid w:val="00490250"/>
    <w:rsid w:val="00492F0E"/>
    <w:rsid w:val="004978D5"/>
    <w:rsid w:val="004B1931"/>
    <w:rsid w:val="004B4BB4"/>
    <w:rsid w:val="004C320B"/>
    <w:rsid w:val="004C4208"/>
    <w:rsid w:val="004D014C"/>
    <w:rsid w:val="004E000E"/>
    <w:rsid w:val="004E0240"/>
    <w:rsid w:val="004F47FA"/>
    <w:rsid w:val="004F5AA8"/>
    <w:rsid w:val="005020AD"/>
    <w:rsid w:val="00511BCB"/>
    <w:rsid w:val="0051268C"/>
    <w:rsid w:val="00535D50"/>
    <w:rsid w:val="00537AD7"/>
    <w:rsid w:val="0054342A"/>
    <w:rsid w:val="0054381E"/>
    <w:rsid w:val="00563E6D"/>
    <w:rsid w:val="00565987"/>
    <w:rsid w:val="00575EFC"/>
    <w:rsid w:val="0058104B"/>
    <w:rsid w:val="0059069D"/>
    <w:rsid w:val="005908E2"/>
    <w:rsid w:val="0059611A"/>
    <w:rsid w:val="005C7973"/>
    <w:rsid w:val="005E00D7"/>
    <w:rsid w:val="005E062B"/>
    <w:rsid w:val="005F477E"/>
    <w:rsid w:val="00612746"/>
    <w:rsid w:val="0063682B"/>
    <w:rsid w:val="00642C67"/>
    <w:rsid w:val="00644256"/>
    <w:rsid w:val="00650393"/>
    <w:rsid w:val="00651070"/>
    <w:rsid w:val="00653379"/>
    <w:rsid w:val="006562F0"/>
    <w:rsid w:val="006603A7"/>
    <w:rsid w:val="006608F6"/>
    <w:rsid w:val="0066143D"/>
    <w:rsid w:val="00664917"/>
    <w:rsid w:val="00673E1E"/>
    <w:rsid w:val="006805B1"/>
    <w:rsid w:val="00683399"/>
    <w:rsid w:val="0068534B"/>
    <w:rsid w:val="006947D2"/>
    <w:rsid w:val="006A4061"/>
    <w:rsid w:val="006C3BBB"/>
    <w:rsid w:val="006C3CE7"/>
    <w:rsid w:val="006C6815"/>
    <w:rsid w:val="006D12A5"/>
    <w:rsid w:val="006D2BCA"/>
    <w:rsid w:val="006F62C8"/>
    <w:rsid w:val="006F7D2A"/>
    <w:rsid w:val="00702001"/>
    <w:rsid w:val="00707486"/>
    <w:rsid w:val="00710023"/>
    <w:rsid w:val="007106B3"/>
    <w:rsid w:val="00717BCD"/>
    <w:rsid w:val="00717BE8"/>
    <w:rsid w:val="0072317D"/>
    <w:rsid w:val="007279C1"/>
    <w:rsid w:val="00735FCA"/>
    <w:rsid w:val="00745189"/>
    <w:rsid w:val="007649D4"/>
    <w:rsid w:val="0076793E"/>
    <w:rsid w:val="0078606C"/>
    <w:rsid w:val="007978CB"/>
    <w:rsid w:val="00797FAD"/>
    <w:rsid w:val="007A5C0A"/>
    <w:rsid w:val="007A7150"/>
    <w:rsid w:val="007B5728"/>
    <w:rsid w:val="007C158E"/>
    <w:rsid w:val="007C40D4"/>
    <w:rsid w:val="007C5213"/>
    <w:rsid w:val="007D2D5D"/>
    <w:rsid w:val="007D4101"/>
    <w:rsid w:val="007D4DE1"/>
    <w:rsid w:val="007E4306"/>
    <w:rsid w:val="00802A13"/>
    <w:rsid w:val="008175E4"/>
    <w:rsid w:val="0082174A"/>
    <w:rsid w:val="00823915"/>
    <w:rsid w:val="008263A0"/>
    <w:rsid w:val="008403A0"/>
    <w:rsid w:val="00845A9D"/>
    <w:rsid w:val="00851B6C"/>
    <w:rsid w:val="00856F5C"/>
    <w:rsid w:val="00871788"/>
    <w:rsid w:val="008777CA"/>
    <w:rsid w:val="00884837"/>
    <w:rsid w:val="00886134"/>
    <w:rsid w:val="008A627E"/>
    <w:rsid w:val="008B4F9B"/>
    <w:rsid w:val="009061F7"/>
    <w:rsid w:val="009121CE"/>
    <w:rsid w:val="009168B7"/>
    <w:rsid w:val="00920B18"/>
    <w:rsid w:val="009467A0"/>
    <w:rsid w:val="00946CA9"/>
    <w:rsid w:val="0095436E"/>
    <w:rsid w:val="00962753"/>
    <w:rsid w:val="00963B08"/>
    <w:rsid w:val="0098307B"/>
    <w:rsid w:val="00986CAF"/>
    <w:rsid w:val="00994DB5"/>
    <w:rsid w:val="009A2312"/>
    <w:rsid w:val="009B140D"/>
    <w:rsid w:val="009B7427"/>
    <w:rsid w:val="009C57AE"/>
    <w:rsid w:val="009D749A"/>
    <w:rsid w:val="009F3534"/>
    <w:rsid w:val="009F49AE"/>
    <w:rsid w:val="00A070EB"/>
    <w:rsid w:val="00A076E4"/>
    <w:rsid w:val="00A13178"/>
    <w:rsid w:val="00A13FFB"/>
    <w:rsid w:val="00A32B72"/>
    <w:rsid w:val="00A442E1"/>
    <w:rsid w:val="00A55D41"/>
    <w:rsid w:val="00A575F1"/>
    <w:rsid w:val="00A66603"/>
    <w:rsid w:val="00A72FD8"/>
    <w:rsid w:val="00A74713"/>
    <w:rsid w:val="00A94E76"/>
    <w:rsid w:val="00A97C22"/>
    <w:rsid w:val="00AA0596"/>
    <w:rsid w:val="00AA2CE6"/>
    <w:rsid w:val="00AC3FB1"/>
    <w:rsid w:val="00AC47FA"/>
    <w:rsid w:val="00AD66DA"/>
    <w:rsid w:val="00AD6F22"/>
    <w:rsid w:val="00AD7E52"/>
    <w:rsid w:val="00AE2FD3"/>
    <w:rsid w:val="00B01357"/>
    <w:rsid w:val="00B16AB4"/>
    <w:rsid w:val="00B20E69"/>
    <w:rsid w:val="00B24B12"/>
    <w:rsid w:val="00B2741C"/>
    <w:rsid w:val="00B3475E"/>
    <w:rsid w:val="00B35DE9"/>
    <w:rsid w:val="00B57002"/>
    <w:rsid w:val="00B5716C"/>
    <w:rsid w:val="00B610D0"/>
    <w:rsid w:val="00B76901"/>
    <w:rsid w:val="00B87AA5"/>
    <w:rsid w:val="00B91EC8"/>
    <w:rsid w:val="00B931A0"/>
    <w:rsid w:val="00BA45A1"/>
    <w:rsid w:val="00BC124F"/>
    <w:rsid w:val="00BC7C17"/>
    <w:rsid w:val="00BD0681"/>
    <w:rsid w:val="00BD0B17"/>
    <w:rsid w:val="00BD7ACA"/>
    <w:rsid w:val="00BF17D2"/>
    <w:rsid w:val="00C22508"/>
    <w:rsid w:val="00C23E55"/>
    <w:rsid w:val="00C2656D"/>
    <w:rsid w:val="00C26937"/>
    <w:rsid w:val="00C317EE"/>
    <w:rsid w:val="00C46728"/>
    <w:rsid w:val="00C470E0"/>
    <w:rsid w:val="00C53F79"/>
    <w:rsid w:val="00C5423F"/>
    <w:rsid w:val="00C54594"/>
    <w:rsid w:val="00C54C60"/>
    <w:rsid w:val="00C571DD"/>
    <w:rsid w:val="00C61BCF"/>
    <w:rsid w:val="00C6217C"/>
    <w:rsid w:val="00C66494"/>
    <w:rsid w:val="00C83A8E"/>
    <w:rsid w:val="00C86756"/>
    <w:rsid w:val="00CA0DA9"/>
    <w:rsid w:val="00CA67B0"/>
    <w:rsid w:val="00CA7202"/>
    <w:rsid w:val="00CC29A4"/>
    <w:rsid w:val="00CD0C25"/>
    <w:rsid w:val="00CD0F3D"/>
    <w:rsid w:val="00CD1561"/>
    <w:rsid w:val="00CD5BF1"/>
    <w:rsid w:val="00CD60BE"/>
    <w:rsid w:val="00CD66F9"/>
    <w:rsid w:val="00CE041E"/>
    <w:rsid w:val="00CE3E25"/>
    <w:rsid w:val="00CF03A6"/>
    <w:rsid w:val="00D0613E"/>
    <w:rsid w:val="00D11302"/>
    <w:rsid w:val="00D14616"/>
    <w:rsid w:val="00D1492E"/>
    <w:rsid w:val="00D25233"/>
    <w:rsid w:val="00D449C6"/>
    <w:rsid w:val="00D45394"/>
    <w:rsid w:val="00D54CFC"/>
    <w:rsid w:val="00D63A97"/>
    <w:rsid w:val="00D64488"/>
    <w:rsid w:val="00D72C42"/>
    <w:rsid w:val="00D82F70"/>
    <w:rsid w:val="00D879F5"/>
    <w:rsid w:val="00D91F23"/>
    <w:rsid w:val="00D95F8F"/>
    <w:rsid w:val="00DA72F0"/>
    <w:rsid w:val="00DB5232"/>
    <w:rsid w:val="00DC3619"/>
    <w:rsid w:val="00DC44B8"/>
    <w:rsid w:val="00DC5DDD"/>
    <w:rsid w:val="00DD2A9F"/>
    <w:rsid w:val="00DD5D1D"/>
    <w:rsid w:val="00DE00E3"/>
    <w:rsid w:val="00DE035B"/>
    <w:rsid w:val="00DE6D84"/>
    <w:rsid w:val="00DE7FE0"/>
    <w:rsid w:val="00DF4380"/>
    <w:rsid w:val="00DF44E3"/>
    <w:rsid w:val="00DF6112"/>
    <w:rsid w:val="00DF7F1D"/>
    <w:rsid w:val="00E02096"/>
    <w:rsid w:val="00E05BEC"/>
    <w:rsid w:val="00E068A0"/>
    <w:rsid w:val="00E06AA8"/>
    <w:rsid w:val="00E1242D"/>
    <w:rsid w:val="00E126CB"/>
    <w:rsid w:val="00E20B16"/>
    <w:rsid w:val="00E22CEF"/>
    <w:rsid w:val="00E23F08"/>
    <w:rsid w:val="00E24562"/>
    <w:rsid w:val="00E26EA5"/>
    <w:rsid w:val="00E43974"/>
    <w:rsid w:val="00E47E9C"/>
    <w:rsid w:val="00E57568"/>
    <w:rsid w:val="00E6278E"/>
    <w:rsid w:val="00E644C6"/>
    <w:rsid w:val="00E66434"/>
    <w:rsid w:val="00E700F9"/>
    <w:rsid w:val="00E71F17"/>
    <w:rsid w:val="00E7673A"/>
    <w:rsid w:val="00E85A62"/>
    <w:rsid w:val="00E97E46"/>
    <w:rsid w:val="00EA0CF0"/>
    <w:rsid w:val="00EB1A88"/>
    <w:rsid w:val="00EB3844"/>
    <w:rsid w:val="00EE2EA5"/>
    <w:rsid w:val="00EF0EE2"/>
    <w:rsid w:val="00F0101F"/>
    <w:rsid w:val="00F15D34"/>
    <w:rsid w:val="00F201E0"/>
    <w:rsid w:val="00F2789A"/>
    <w:rsid w:val="00F335F4"/>
    <w:rsid w:val="00F44F2C"/>
    <w:rsid w:val="00F467A0"/>
    <w:rsid w:val="00F56E6F"/>
    <w:rsid w:val="00F57C18"/>
    <w:rsid w:val="00F703C0"/>
    <w:rsid w:val="00F77F05"/>
    <w:rsid w:val="00F8386A"/>
    <w:rsid w:val="00FA1516"/>
    <w:rsid w:val="00FB2B3B"/>
    <w:rsid w:val="00FB456D"/>
    <w:rsid w:val="00FB68F6"/>
    <w:rsid w:val="00FC4995"/>
    <w:rsid w:val="00FC5CEA"/>
    <w:rsid w:val="00FC6A08"/>
    <w:rsid w:val="00FE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08E2"/>
    <w:rPr>
      <w:b/>
      <w:bCs/>
      <w:kern w:val="44"/>
      <w:sz w:val="44"/>
      <w:szCs w:val="44"/>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B16AB4"/>
    <w:rPr>
      <w:b/>
      <w:bCs/>
      <w:sz w:val="28"/>
      <w:szCs w:val="28"/>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paragraph" w:styleId="a9">
    <w:name w:val="No Spacing"/>
    <w:uiPriority w:val="1"/>
    <w:qFormat/>
    <w:rsid w:val="00871788"/>
    <w:pPr>
      <w:widowControl w:val="0"/>
      <w:jc w:val="both"/>
    </w:pPr>
  </w:style>
  <w:style w:type="character" w:customStyle="1" w:styleId="Char1">
    <w:name w:val="批注文字 Char"/>
    <w:basedOn w:val="a0"/>
    <w:link w:val="aa"/>
    <w:uiPriority w:val="99"/>
    <w:rsid w:val="00146B64"/>
  </w:style>
  <w:style w:type="paragraph" w:styleId="aa">
    <w:name w:val="annotation text"/>
    <w:basedOn w:val="a"/>
    <w:link w:val="Char1"/>
    <w:uiPriority w:val="99"/>
    <w:unhideWhenUsed/>
    <w:rsid w:val="00146B64"/>
    <w:pPr>
      <w:jc w:val="left"/>
    </w:pPr>
  </w:style>
  <w:style w:type="character" w:customStyle="1" w:styleId="Char2">
    <w:name w:val="批注主题 Char"/>
    <w:basedOn w:val="Char1"/>
    <w:link w:val="ab"/>
    <w:uiPriority w:val="99"/>
    <w:semiHidden/>
    <w:rsid w:val="00146B64"/>
    <w:rPr>
      <w:b/>
      <w:bCs/>
    </w:rPr>
  </w:style>
  <w:style w:type="paragraph" w:styleId="ab">
    <w:name w:val="annotation subject"/>
    <w:basedOn w:val="aa"/>
    <w:next w:val="aa"/>
    <w:link w:val="Char2"/>
    <w:uiPriority w:val="99"/>
    <w:semiHidden/>
    <w:unhideWhenUsed/>
    <w:rsid w:val="00146B64"/>
    <w:rPr>
      <w:b/>
      <w:bCs/>
    </w:rPr>
  </w:style>
  <w:style w:type="character" w:customStyle="1" w:styleId="Char3">
    <w:name w:val="批注框文本 Char"/>
    <w:basedOn w:val="a0"/>
    <w:link w:val="ac"/>
    <w:rsid w:val="00146B64"/>
    <w:rPr>
      <w:sz w:val="18"/>
      <w:szCs w:val="18"/>
    </w:rPr>
  </w:style>
  <w:style w:type="paragraph" w:styleId="ac">
    <w:name w:val="Balloon Text"/>
    <w:basedOn w:val="a"/>
    <w:link w:val="Char3"/>
    <w:unhideWhenUsed/>
    <w:rsid w:val="00146B64"/>
    <w:rPr>
      <w:sz w:val="18"/>
      <w:szCs w:val="18"/>
    </w:rPr>
  </w:style>
  <w:style w:type="character" w:customStyle="1" w:styleId="Char4">
    <w:name w:val="宏文本 Char"/>
    <w:basedOn w:val="a0"/>
    <w:link w:val="ad"/>
    <w:semiHidden/>
    <w:rsid w:val="00146B64"/>
    <w:rPr>
      <w:rFonts w:ascii="Times New Roman" w:eastAsia="宋体" w:hAnsi="Times New Roman" w:cs="Times New Roman"/>
      <w:kern w:val="0"/>
      <w:sz w:val="20"/>
      <w:szCs w:val="20"/>
    </w:rPr>
  </w:style>
  <w:style w:type="paragraph" w:styleId="ad">
    <w:name w:val="macro"/>
    <w:link w:val="Char4"/>
    <w:semiHidden/>
    <w:rsid w:val="00146B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5">
    <w:name w:val="纯文本 Char"/>
    <w:basedOn w:val="a0"/>
    <w:link w:val="ae"/>
    <w:rsid w:val="00146B64"/>
    <w:rPr>
      <w:rFonts w:ascii="宋体" w:eastAsia="宋体" w:hAnsi="Courier New" w:cs="Courier New"/>
      <w:szCs w:val="21"/>
    </w:rPr>
  </w:style>
  <w:style w:type="paragraph" w:styleId="ae">
    <w:name w:val="Plain Text"/>
    <w:basedOn w:val="a"/>
    <w:link w:val="Char5"/>
    <w:rsid w:val="00146B64"/>
    <w:rPr>
      <w:rFonts w:ascii="宋体" w:eastAsia="宋体" w:hAnsi="Courier New" w:cs="Courier New"/>
      <w:szCs w:val="21"/>
    </w:rPr>
  </w:style>
  <w:style w:type="character" w:customStyle="1" w:styleId="11">
    <w:name w:val="纯文本 字符1"/>
    <w:basedOn w:val="a0"/>
    <w:uiPriority w:val="99"/>
    <w:semiHidden/>
    <w:rsid w:val="00146B64"/>
    <w:rPr>
      <w:rFonts w:asciiTheme="minorEastAsia" w:hAnsi="Courier New" w:cs="Courier New"/>
    </w:rPr>
  </w:style>
  <w:style w:type="character" w:styleId="af">
    <w:name w:val="annotation reference"/>
    <w:basedOn w:val="a0"/>
    <w:uiPriority w:val="99"/>
    <w:semiHidden/>
    <w:unhideWhenUsed/>
    <w:rsid w:val="008A627E"/>
    <w:rPr>
      <w:sz w:val="21"/>
      <w:szCs w:val="21"/>
    </w:rPr>
  </w:style>
  <w:style w:type="character" w:styleId="af0">
    <w:name w:val="FollowedHyperlink"/>
    <w:basedOn w:val="a0"/>
    <w:uiPriority w:val="99"/>
    <w:semiHidden/>
    <w:unhideWhenUsed/>
    <w:rsid w:val="008A627E"/>
    <w:rPr>
      <w:color w:val="800080" w:themeColor="followedHyperlink"/>
      <w:u w:val="single"/>
    </w:rPr>
  </w:style>
  <w:style w:type="character" w:customStyle="1" w:styleId="20">
    <w:name w:val="未处理的提及2"/>
    <w:basedOn w:val="a0"/>
    <w:uiPriority w:val="99"/>
    <w:semiHidden/>
    <w:unhideWhenUsed/>
    <w:rsid w:val="008A627E"/>
    <w:rPr>
      <w:color w:val="605E5C"/>
      <w:shd w:val="clear" w:color="auto" w:fill="E1DFDD"/>
    </w:rPr>
  </w:style>
  <w:style w:type="character" w:customStyle="1" w:styleId="Char10">
    <w:name w:val="纯文本 Char1"/>
    <w:basedOn w:val="a0"/>
    <w:uiPriority w:val="99"/>
    <w:semiHidden/>
    <w:rsid w:val="008A627E"/>
    <w:rPr>
      <w:rFonts w:ascii="宋体" w:eastAsia="宋体" w:hAnsi="Courier New" w:cs="Courier New"/>
      <w:szCs w:val="21"/>
    </w:rPr>
  </w:style>
  <w:style w:type="character" w:customStyle="1" w:styleId="30">
    <w:name w:val="未处理的提及3"/>
    <w:basedOn w:val="a0"/>
    <w:uiPriority w:val="99"/>
    <w:semiHidden/>
    <w:unhideWhenUsed/>
    <w:rsid w:val="008A627E"/>
    <w:rPr>
      <w:color w:val="605E5C"/>
      <w:shd w:val="clear" w:color="auto" w:fill="E1DFDD"/>
    </w:rPr>
  </w:style>
  <w:style w:type="character" w:customStyle="1" w:styleId="40">
    <w:name w:val="未处理的提及4"/>
    <w:basedOn w:val="a0"/>
    <w:uiPriority w:val="99"/>
    <w:semiHidden/>
    <w:unhideWhenUsed/>
    <w:rsid w:val="008A627E"/>
    <w:rPr>
      <w:color w:val="605E5C"/>
      <w:shd w:val="clear" w:color="auto" w:fill="E1DFDD"/>
    </w:rPr>
  </w:style>
  <w:style w:type="character" w:customStyle="1" w:styleId="50">
    <w:name w:val="未处理的提及5"/>
    <w:basedOn w:val="a0"/>
    <w:uiPriority w:val="99"/>
    <w:semiHidden/>
    <w:unhideWhenUsed/>
    <w:rsid w:val="008A627E"/>
    <w:rPr>
      <w:color w:val="605E5C"/>
      <w:shd w:val="clear" w:color="auto" w:fill="E1DFDD"/>
    </w:rPr>
  </w:style>
  <w:style w:type="character" w:customStyle="1" w:styleId="60">
    <w:name w:val="未处理的提及6"/>
    <w:basedOn w:val="a0"/>
    <w:uiPriority w:val="99"/>
    <w:semiHidden/>
    <w:unhideWhenUsed/>
    <w:rsid w:val="008A627E"/>
    <w:rPr>
      <w:color w:val="605E5C"/>
      <w:shd w:val="clear" w:color="auto" w:fill="E1DFDD"/>
    </w:rPr>
  </w:style>
  <w:style w:type="character" w:customStyle="1" w:styleId="70">
    <w:name w:val="未处理的提及7"/>
    <w:basedOn w:val="a0"/>
    <w:uiPriority w:val="99"/>
    <w:semiHidden/>
    <w:unhideWhenUsed/>
    <w:rsid w:val="008A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1036.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28.html" TargetMode="External"/><Relationship Id="rId39" Type="http://schemas.openxmlformats.org/officeDocument/2006/relationships/hyperlink" Target="http://ssfb86.com/index/News/detail/newsid/1036.html" TargetMode="External"/><Relationship Id="rId3" Type="http://schemas.openxmlformats.org/officeDocument/2006/relationships/styles" Target="styles.xml"/><Relationship Id="rId21" Type="http://schemas.openxmlformats.org/officeDocument/2006/relationships/hyperlink" Target="http://ssfb86.com/index/News/detail/newsid/828.html" TargetMode="External"/><Relationship Id="rId34" Type="http://schemas.openxmlformats.org/officeDocument/2006/relationships/hyperlink" Target="http://ssfb86.com/index/News/detail/newsid/1036.html" TargetMode="External"/><Relationship Id="rId42" Type="http://schemas.openxmlformats.org/officeDocument/2006/relationships/hyperlink" Target="http://ssfb86.com/index/News/detail/newsid/828.html" TargetMode="External"/><Relationship Id="rId7" Type="http://schemas.openxmlformats.org/officeDocument/2006/relationships/footnotes" Target="footnotes.xml"/><Relationship Id="rId12" Type="http://schemas.openxmlformats.org/officeDocument/2006/relationships/hyperlink" Target="http://ssfb86.com/index/News/detail/newsid/1036.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828.html" TargetMode="External"/><Relationship Id="rId33" Type="http://schemas.openxmlformats.org/officeDocument/2006/relationships/hyperlink" Target="http://ssfb86.com/index/News/detail/newsid/828.html" TargetMode="External"/><Relationship Id="rId38" Type="http://schemas.openxmlformats.org/officeDocument/2006/relationships/hyperlink" Target="http://ssfb86.com/index/News/detail/newsid/1036.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fb86.com/index/News/detail/newsid/4666.html" TargetMode="External"/><Relationship Id="rId20" Type="http://schemas.openxmlformats.org/officeDocument/2006/relationships/hyperlink" Target="http://ssfb86.com/index/News/detail/newsid/828.html" TargetMode="External"/><Relationship Id="rId29" Type="http://schemas.openxmlformats.org/officeDocument/2006/relationships/hyperlink" Target="http://ssfb86.com/index/News/detail/newsid/1036.html" TargetMode="External"/><Relationship Id="rId41" Type="http://schemas.openxmlformats.org/officeDocument/2006/relationships/hyperlink" Target="http://ssfb86.com/index/News/detail/newsid/103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828.html" TargetMode="External"/><Relationship Id="rId24" Type="http://schemas.openxmlformats.org/officeDocument/2006/relationships/hyperlink" Target="http://ssfb86.com/index/News/detail/newsid/828.html" TargetMode="External"/><Relationship Id="rId32" Type="http://schemas.openxmlformats.org/officeDocument/2006/relationships/hyperlink" Target="http://ssfb86.com/index/News/detail/newsid/828.html" TargetMode="External"/><Relationship Id="rId37" Type="http://schemas.openxmlformats.org/officeDocument/2006/relationships/hyperlink" Target="http://ssfb86.com/index/News/detail/newsid/1036.html" TargetMode="External"/><Relationship Id="rId40" Type="http://schemas.openxmlformats.org/officeDocument/2006/relationships/hyperlink" Target="http://ssfb86.com/index/News/detail/newsid/828.htm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fb86.com/index/News/detail/newsid/1036.html" TargetMode="External"/><Relationship Id="rId23" Type="http://schemas.openxmlformats.org/officeDocument/2006/relationships/hyperlink" Target="http://ssfb86.com/index/News/detail/newsid/1036.html" TargetMode="External"/><Relationship Id="rId28" Type="http://schemas.openxmlformats.org/officeDocument/2006/relationships/hyperlink" Target="http://ssfb86.com/index/News/detail/newsid/1036.html" TargetMode="External"/><Relationship Id="rId36" Type="http://schemas.openxmlformats.org/officeDocument/2006/relationships/hyperlink" Target="http://ssfb86.com/index/News/detail/newsid/1036.html" TargetMode="External"/><Relationship Id="rId10" Type="http://schemas.openxmlformats.org/officeDocument/2006/relationships/hyperlink" Target="http://ssfb86.com/index/News/detail/newsid/1036.html" TargetMode="External"/><Relationship Id="rId19" Type="http://schemas.openxmlformats.org/officeDocument/2006/relationships/hyperlink" Target="http://ssfb86.com/index/News/detail/newsid/828.html" TargetMode="External"/><Relationship Id="rId31" Type="http://schemas.openxmlformats.org/officeDocument/2006/relationships/hyperlink" Target="http://ssfb86.com/index/News/detail/newsid/1036.htm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036.html" TargetMode="External"/><Relationship Id="rId22" Type="http://schemas.openxmlformats.org/officeDocument/2006/relationships/hyperlink" Target="http://ssfb86.com/index/News/detail/newsid/1036.html" TargetMode="External"/><Relationship Id="rId27" Type="http://schemas.openxmlformats.org/officeDocument/2006/relationships/hyperlink" Target="http://ssfb86.com/index/News/detail/newsid/1036.html" TargetMode="External"/><Relationship Id="rId30" Type="http://schemas.openxmlformats.org/officeDocument/2006/relationships/hyperlink" Target="http://ssfb86.com/index/News/detail/newsid/828.html" TargetMode="External"/><Relationship Id="rId35" Type="http://schemas.openxmlformats.org/officeDocument/2006/relationships/hyperlink" Target="http://ssfb86.com/index/News/detail/newsid/828.html" TargetMode="External"/><Relationship Id="rId43" Type="http://schemas.openxmlformats.org/officeDocument/2006/relationships/hyperlink" Target="http://ssfb86.com/index/News/detail/newsid/82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AE40B-B20C-48A3-A6F2-7734ADB9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9</cp:revision>
  <dcterms:created xsi:type="dcterms:W3CDTF">2020-08-31T14:22:00Z</dcterms:created>
  <dcterms:modified xsi:type="dcterms:W3CDTF">2020-09-11T06:24:00Z</dcterms:modified>
</cp:coreProperties>
</file>