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22FAD" w14:textId="77777777" w:rsidR="00043BFA" w:rsidRDefault="00043BFA" w:rsidP="00043BFA">
      <w:pPr>
        <w:spacing w:beforeLines="50" w:before="156" w:line="480" w:lineRule="atLeast"/>
        <w:rPr>
          <w:rFonts w:asciiTheme="minorEastAsia" w:hAnsiTheme="minorEastAsia"/>
          <w:sz w:val="24"/>
          <w:szCs w:val="24"/>
        </w:rPr>
      </w:pPr>
    </w:p>
    <w:p w14:paraId="6F9127E5" w14:textId="1C0C078E" w:rsidR="00043BFA" w:rsidRPr="00043BFA" w:rsidRDefault="000F560D" w:rsidP="00043BFA">
      <w:pPr>
        <w:spacing w:beforeLines="50" w:before="156" w:line="480" w:lineRule="atLeast"/>
        <w:jc w:val="center"/>
        <w:rPr>
          <w:rFonts w:asciiTheme="minorEastAsia" w:hAnsiTheme="minorEastAsia"/>
          <w:sz w:val="44"/>
          <w:szCs w:val="44"/>
        </w:rPr>
      </w:pPr>
      <w:r>
        <w:rPr>
          <w:rFonts w:asciiTheme="minorEastAsia" w:hAnsiTheme="minorEastAsia"/>
          <w:sz w:val="44"/>
          <w:szCs w:val="44"/>
        </w:rPr>
        <w:t>2</w:t>
      </w:r>
      <w:r w:rsidR="00043BFA" w:rsidRPr="00043BFA">
        <w:rPr>
          <w:rFonts w:asciiTheme="minorEastAsia" w:hAnsiTheme="minorEastAsia"/>
          <w:sz w:val="44"/>
          <w:szCs w:val="44"/>
        </w:rPr>
        <w:t>.</w:t>
      </w:r>
      <w:r w:rsidR="00B02DA4">
        <w:rPr>
          <w:rFonts w:asciiTheme="minorEastAsia" w:hAnsiTheme="minorEastAsia"/>
          <w:sz w:val="44"/>
          <w:szCs w:val="44"/>
        </w:rPr>
        <w:t>3</w:t>
      </w:r>
      <w:r w:rsidR="00043BFA" w:rsidRPr="00043BFA">
        <w:rPr>
          <w:rFonts w:asciiTheme="minorEastAsia" w:hAnsiTheme="minorEastAsia"/>
          <w:sz w:val="44"/>
          <w:szCs w:val="44"/>
        </w:rPr>
        <w:t xml:space="preserve">  </w:t>
      </w:r>
      <w:r w:rsidR="00B02DA4">
        <w:rPr>
          <w:rFonts w:asciiTheme="minorEastAsia" w:hAnsiTheme="minorEastAsia" w:hint="eastAsia"/>
          <w:sz w:val="44"/>
          <w:szCs w:val="44"/>
        </w:rPr>
        <w:t>防范税收风险的出口免税</w:t>
      </w:r>
      <w:r w:rsidR="00F14A59">
        <w:rPr>
          <w:rFonts w:asciiTheme="minorEastAsia" w:hAnsiTheme="minorEastAsia" w:hint="eastAsia"/>
          <w:sz w:val="44"/>
          <w:szCs w:val="44"/>
        </w:rPr>
        <w:t>、及监管</w:t>
      </w:r>
    </w:p>
    <w:p w14:paraId="5B0CB7EB" w14:textId="77777777" w:rsidR="00043BFA" w:rsidRDefault="00043BFA" w:rsidP="00043BFA">
      <w:pPr>
        <w:spacing w:beforeLines="50" w:before="156" w:line="480" w:lineRule="atLeast"/>
        <w:rPr>
          <w:rFonts w:asciiTheme="minorEastAsia" w:hAnsiTheme="minorEastAsia"/>
          <w:sz w:val="24"/>
          <w:szCs w:val="24"/>
        </w:rPr>
      </w:pPr>
    </w:p>
    <w:p w14:paraId="637E4324"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为进一步堵塞税收漏洞，防范打击虚开增值税专用发票和骗取出口退税违法行为，现将有关增值税政策通知如下：</w:t>
      </w:r>
    </w:p>
    <w:p w14:paraId="7DE2B59C" w14:textId="77777777" w:rsidR="00F14A59" w:rsidRPr="00F14A59" w:rsidRDefault="00F14A59" w:rsidP="00F14A59">
      <w:pPr>
        <w:pStyle w:val="2"/>
        <w:spacing w:before="50" w:after="0" w:line="480" w:lineRule="atLeast"/>
        <w:rPr>
          <w:sz w:val="24"/>
          <w:szCs w:val="24"/>
        </w:rPr>
      </w:pPr>
      <w:r w:rsidRPr="00F14A59">
        <w:rPr>
          <w:rFonts w:hint="eastAsia"/>
          <w:sz w:val="24"/>
          <w:szCs w:val="24"/>
        </w:rPr>
        <w:t>一、政策内容</w:t>
      </w:r>
    </w:p>
    <w:p w14:paraId="7D5E1356" w14:textId="25E6F936" w:rsidR="00F14A59" w:rsidRPr="00F14A59" w:rsidRDefault="00F14A59" w:rsidP="00F14A59">
      <w:pPr>
        <w:pStyle w:val="2"/>
        <w:spacing w:before="50" w:after="0" w:line="480" w:lineRule="atLeast"/>
        <w:rPr>
          <w:sz w:val="24"/>
          <w:szCs w:val="24"/>
        </w:rPr>
      </w:pPr>
      <w:r w:rsidRPr="00F14A59">
        <w:rPr>
          <w:rFonts w:hint="eastAsia"/>
          <w:sz w:val="24"/>
          <w:szCs w:val="24"/>
        </w:rPr>
        <w:t>（一）</w:t>
      </w:r>
      <w:r w:rsidR="008C35CE">
        <w:rPr>
          <w:rFonts w:hint="eastAsia"/>
          <w:sz w:val="24"/>
          <w:szCs w:val="24"/>
        </w:rPr>
        <w:t>改变</w:t>
      </w:r>
      <w:r w:rsidRPr="00F14A59">
        <w:rPr>
          <w:rFonts w:hint="eastAsia"/>
          <w:sz w:val="24"/>
          <w:szCs w:val="24"/>
        </w:rPr>
        <w:t>出口退（免）税</w:t>
      </w:r>
      <w:r w:rsidR="008C35CE">
        <w:rPr>
          <w:rFonts w:hint="eastAsia"/>
          <w:sz w:val="24"/>
          <w:szCs w:val="24"/>
        </w:rPr>
        <w:t>的政策</w:t>
      </w:r>
    </w:p>
    <w:p w14:paraId="1D18B937" w14:textId="77777777" w:rsidR="00F14A59" w:rsidRPr="00F14A59" w:rsidRDefault="00F14A59" w:rsidP="00F14A59">
      <w:pPr>
        <w:pStyle w:val="3"/>
        <w:spacing w:before="50" w:after="0" w:line="480" w:lineRule="atLeast"/>
        <w:rPr>
          <w:sz w:val="24"/>
          <w:szCs w:val="24"/>
        </w:rPr>
      </w:pPr>
      <w:bookmarkStart w:id="0" w:name="_GoBack"/>
      <w:bookmarkEnd w:id="0"/>
      <w:r w:rsidRPr="00F14A59">
        <w:rPr>
          <w:rFonts w:hint="eastAsia"/>
          <w:sz w:val="24"/>
          <w:szCs w:val="24"/>
        </w:rPr>
        <w:t>1.</w:t>
      </w:r>
      <w:r w:rsidRPr="00F14A59">
        <w:rPr>
          <w:rFonts w:hint="eastAsia"/>
          <w:sz w:val="24"/>
          <w:szCs w:val="24"/>
        </w:rPr>
        <w:t>发生增值税违法行为</w:t>
      </w:r>
    </w:p>
    <w:p w14:paraId="588626E8"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增值税纳税人发生</w:t>
      </w:r>
      <w:r w:rsidRPr="002E543C">
        <w:rPr>
          <w:rFonts w:asciiTheme="minorEastAsia" w:hAnsiTheme="minorEastAsia" w:cs="宋体" w:hint="eastAsia"/>
          <w:b/>
          <w:color w:val="000000" w:themeColor="text1"/>
          <w:kern w:val="0"/>
          <w:sz w:val="24"/>
          <w:szCs w:val="24"/>
        </w:rPr>
        <w:t>虚开增值税专用发票或者其他增值税扣税凭证、骗取国家出口退税款行为（以下简称增值税违法行为</w:t>
      </w:r>
      <w:r w:rsidRPr="00F14A59">
        <w:rPr>
          <w:rFonts w:asciiTheme="minorEastAsia" w:hAnsiTheme="minorEastAsia" w:cs="宋体" w:hint="eastAsia"/>
          <w:color w:val="000000" w:themeColor="text1"/>
          <w:kern w:val="0"/>
          <w:sz w:val="24"/>
          <w:szCs w:val="24"/>
        </w:rPr>
        <w:t>），</w:t>
      </w:r>
      <w:r w:rsidRPr="002E543C">
        <w:rPr>
          <w:rFonts w:asciiTheme="minorEastAsia" w:hAnsiTheme="minorEastAsia" w:cs="宋体" w:hint="eastAsia"/>
          <w:b/>
          <w:color w:val="000000" w:themeColor="text1"/>
          <w:kern w:val="0"/>
          <w:sz w:val="24"/>
          <w:szCs w:val="24"/>
        </w:rPr>
        <w:t>被税务机关行政处罚或审判机关刑事处罚的</w:t>
      </w:r>
      <w:r w:rsidRPr="00F14A59">
        <w:rPr>
          <w:rFonts w:asciiTheme="minorEastAsia" w:hAnsiTheme="minorEastAsia" w:cs="宋体" w:hint="eastAsia"/>
          <w:color w:val="000000" w:themeColor="text1"/>
          <w:kern w:val="0"/>
          <w:sz w:val="24"/>
          <w:szCs w:val="24"/>
        </w:rPr>
        <w:t>，其销售的货物、提供的应税劳务和营业税改征增值税应税服务（以下统称货物劳务服务）执行以下政策：</w:t>
      </w:r>
    </w:p>
    <w:p w14:paraId="2D8F6767" w14:textId="487A7588"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bookmarkStart w:id="1" w:name="_Hlk52693375"/>
      <w:r w:rsidR="00376BB8" w:rsidRPr="00376BB8">
        <w:rPr>
          <w:rFonts w:asciiTheme="minorEastAsia" w:hAnsiTheme="minorEastAsia"/>
          <w:color w:val="0070C0"/>
          <w:sz w:val="24"/>
          <w:szCs w:val="24"/>
          <w:shd w:val="clear" w:color="auto" w:fill="FFFFFF"/>
        </w:rPr>
        <w:fldChar w:fldCharType="begin"/>
      </w:r>
      <w:r w:rsidR="00376BB8" w:rsidRPr="00376BB8">
        <w:rPr>
          <w:rFonts w:asciiTheme="minorEastAsia" w:hAnsiTheme="minorEastAsia"/>
          <w:color w:val="0070C0"/>
          <w:sz w:val="24"/>
          <w:szCs w:val="24"/>
          <w:shd w:val="clear" w:color="auto" w:fill="FFFFFF"/>
        </w:rPr>
        <w:instrText xml:space="preserve"> HYPERLINK "http://ssfb86.com/index/News/detail/newsid/1292.html" </w:instrText>
      </w:r>
      <w:r w:rsidR="00376BB8" w:rsidRPr="00376BB8">
        <w:rPr>
          <w:rFonts w:asciiTheme="minorEastAsia" w:hAnsiTheme="minorEastAsia"/>
          <w:color w:val="0070C0"/>
          <w:sz w:val="24"/>
          <w:szCs w:val="24"/>
          <w:shd w:val="clear" w:color="auto" w:fill="FFFFFF"/>
        </w:rPr>
        <w:fldChar w:fldCharType="separate"/>
      </w:r>
      <w:r w:rsidRPr="00376BB8">
        <w:rPr>
          <w:rStyle w:val="a5"/>
          <w:rFonts w:asciiTheme="minorEastAsia" w:hAnsiTheme="minorEastAsia" w:hint="eastAsia"/>
          <w:color w:val="0070C0"/>
          <w:sz w:val="24"/>
          <w:szCs w:val="24"/>
          <w:shd w:val="clear" w:color="auto" w:fill="FFFFFF"/>
        </w:rPr>
        <w:t>财税[2013]112号</w:t>
      </w:r>
      <w:r w:rsidR="00376BB8" w:rsidRPr="00376BB8">
        <w:rPr>
          <w:rFonts w:asciiTheme="minorEastAsia" w:hAnsiTheme="minorEastAsia"/>
          <w:color w:val="0070C0"/>
          <w:sz w:val="24"/>
          <w:szCs w:val="24"/>
          <w:shd w:val="clear" w:color="auto" w:fill="FFFFFF"/>
        </w:rPr>
        <w:fldChar w:fldCharType="end"/>
      </w:r>
      <w:bookmarkEnd w:id="1"/>
      <w:r w:rsidRPr="00F14A59">
        <w:rPr>
          <w:rFonts w:asciiTheme="minorEastAsia" w:hAnsiTheme="minorEastAsia" w:hint="eastAsia"/>
          <w:color w:val="000000" w:themeColor="text1"/>
          <w:sz w:val="24"/>
          <w:szCs w:val="24"/>
          <w:shd w:val="clear" w:color="auto" w:fill="FFFFFF"/>
        </w:rPr>
        <w:t>第一条）</w:t>
      </w:r>
    </w:p>
    <w:p w14:paraId="717E9B14" w14:textId="77777777" w:rsidR="00F14A59" w:rsidRPr="00101F8E" w:rsidRDefault="00F14A59" w:rsidP="00101F8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出口企业或其他单位发</w:t>
      </w:r>
      <w:commentRangeStart w:id="2"/>
      <w:r w:rsidRPr="00F14A59">
        <w:rPr>
          <w:rFonts w:asciiTheme="minorEastAsia" w:hAnsiTheme="minorEastAsia" w:cs="宋体" w:hint="eastAsia"/>
          <w:color w:val="000000" w:themeColor="text1"/>
          <w:kern w:val="0"/>
          <w:sz w:val="24"/>
          <w:szCs w:val="24"/>
        </w:rPr>
        <w:t>生增值税违法行为</w:t>
      </w:r>
      <w:commentRangeEnd w:id="2"/>
      <w:r w:rsidR="00744E4B">
        <w:rPr>
          <w:rStyle w:val="aa"/>
        </w:rPr>
        <w:commentReference w:id="2"/>
      </w:r>
      <w:r w:rsidRPr="002E543C">
        <w:rPr>
          <w:rFonts w:asciiTheme="minorEastAsia" w:hAnsiTheme="minorEastAsia" w:cs="宋体" w:hint="eastAsia"/>
          <w:b/>
          <w:color w:val="000000" w:themeColor="text1"/>
          <w:kern w:val="0"/>
          <w:sz w:val="24"/>
          <w:szCs w:val="24"/>
        </w:rPr>
        <w:t>对应的出口货物劳务服务，视同内销，按规定征收增值税</w:t>
      </w:r>
      <w:r w:rsidRPr="00F14A59">
        <w:rPr>
          <w:rFonts w:asciiTheme="minorEastAsia" w:hAnsiTheme="minorEastAsia" w:cs="宋体" w:hint="eastAsia"/>
          <w:color w:val="000000" w:themeColor="text1"/>
          <w:kern w:val="0"/>
          <w:sz w:val="24"/>
          <w:szCs w:val="24"/>
        </w:rPr>
        <w:t>（骗取出口退税的按查处骗税的规定处理）。出口企业或其他单位在本通知生效后</w:t>
      </w:r>
      <w:r w:rsidRPr="002E543C">
        <w:rPr>
          <w:rFonts w:asciiTheme="minorEastAsia" w:hAnsiTheme="minorEastAsia" w:cs="宋体" w:hint="eastAsia"/>
          <w:b/>
          <w:color w:val="000000" w:themeColor="text1"/>
          <w:kern w:val="0"/>
          <w:sz w:val="24"/>
          <w:szCs w:val="24"/>
        </w:rPr>
        <w:t>发生2次增值税违法行为</w:t>
      </w:r>
      <w:r w:rsidRPr="00F14A59">
        <w:rPr>
          <w:rFonts w:asciiTheme="minorEastAsia" w:hAnsiTheme="minorEastAsia" w:cs="宋体" w:hint="eastAsia"/>
          <w:color w:val="000000" w:themeColor="text1"/>
          <w:kern w:val="0"/>
          <w:sz w:val="24"/>
          <w:szCs w:val="24"/>
        </w:rPr>
        <w:t>的，自税务机关</w:t>
      </w:r>
      <w:r w:rsidRPr="002E543C">
        <w:rPr>
          <w:rFonts w:asciiTheme="minorEastAsia" w:hAnsiTheme="minorEastAsia" w:cs="宋体" w:hint="eastAsia"/>
          <w:b/>
          <w:color w:val="000000" w:themeColor="text1"/>
          <w:kern w:val="0"/>
          <w:sz w:val="24"/>
          <w:szCs w:val="24"/>
        </w:rPr>
        <w:t>行政处罚决定或审判机关判决或裁定生效之日的</w:t>
      </w:r>
      <w:commentRangeStart w:id="3"/>
      <w:r w:rsidRPr="002E543C">
        <w:rPr>
          <w:rFonts w:asciiTheme="minorEastAsia" w:hAnsiTheme="minorEastAsia" w:cs="宋体" w:hint="eastAsia"/>
          <w:b/>
          <w:color w:val="000000" w:themeColor="text1"/>
          <w:kern w:val="0"/>
          <w:sz w:val="24"/>
          <w:szCs w:val="24"/>
        </w:rPr>
        <w:t>次日起</w:t>
      </w:r>
      <w:commentRangeEnd w:id="3"/>
      <w:r w:rsidR="00A06BDB">
        <w:rPr>
          <w:rStyle w:val="aa"/>
        </w:rPr>
        <w:commentReference w:id="3"/>
      </w:r>
      <w:r w:rsidRPr="002E543C">
        <w:rPr>
          <w:rFonts w:asciiTheme="minorEastAsia" w:hAnsiTheme="minorEastAsia" w:cs="宋体" w:hint="eastAsia"/>
          <w:b/>
          <w:color w:val="000000" w:themeColor="text1"/>
          <w:kern w:val="0"/>
          <w:sz w:val="24"/>
          <w:szCs w:val="24"/>
        </w:rPr>
        <w:t>，其出口的所有适用出口退（免）税政策的货物劳务服务，一律改为适用增值税免税政策</w:t>
      </w:r>
      <w:r w:rsidRPr="00101F8E">
        <w:rPr>
          <w:rFonts w:asciiTheme="minorEastAsia" w:hAnsiTheme="minorEastAsia" w:cs="宋体" w:hint="eastAsia"/>
          <w:color w:val="000000" w:themeColor="text1"/>
          <w:kern w:val="0"/>
          <w:sz w:val="24"/>
          <w:szCs w:val="24"/>
        </w:rPr>
        <w:t>。纳税人如果已被停止出口退税权的，适用增值税免税政策的</w:t>
      </w:r>
      <w:r w:rsidRPr="002E543C">
        <w:rPr>
          <w:rFonts w:asciiTheme="minorEastAsia" w:hAnsiTheme="minorEastAsia" w:cs="宋体" w:hint="eastAsia"/>
          <w:b/>
          <w:color w:val="000000" w:themeColor="text1"/>
          <w:kern w:val="0"/>
          <w:sz w:val="24"/>
          <w:szCs w:val="24"/>
        </w:rPr>
        <w:t>起始时间为停止出口退税权期满后的次日</w:t>
      </w:r>
      <w:r w:rsidRPr="00101F8E">
        <w:rPr>
          <w:rFonts w:asciiTheme="minorEastAsia" w:hAnsiTheme="minorEastAsia" w:cs="宋体" w:hint="eastAsia"/>
          <w:color w:val="000000" w:themeColor="text1"/>
          <w:kern w:val="0"/>
          <w:sz w:val="24"/>
          <w:szCs w:val="24"/>
        </w:rPr>
        <w:t>。</w:t>
      </w:r>
    </w:p>
    <w:p w14:paraId="2110451B" w14:textId="77598C8D" w:rsidR="00F14A59" w:rsidRPr="00101F8E" w:rsidRDefault="00F14A59" w:rsidP="00101F8E">
      <w:pPr>
        <w:spacing w:before="50" w:line="480" w:lineRule="atLeast"/>
        <w:jc w:val="right"/>
        <w:rPr>
          <w:rFonts w:asciiTheme="minorEastAsia" w:hAnsiTheme="minorEastAsia"/>
          <w:color w:val="000000" w:themeColor="text1"/>
          <w:sz w:val="24"/>
          <w:szCs w:val="24"/>
          <w:shd w:val="clear" w:color="auto" w:fill="FFFFFF"/>
        </w:rPr>
      </w:pPr>
      <w:r w:rsidRPr="00101F8E">
        <w:rPr>
          <w:rFonts w:asciiTheme="minorEastAsia" w:hAnsiTheme="minorEastAsia" w:hint="eastAsia"/>
          <w:color w:val="000000" w:themeColor="text1"/>
          <w:sz w:val="24"/>
          <w:szCs w:val="24"/>
          <w:shd w:val="clear" w:color="auto" w:fill="FFFFFF"/>
        </w:rPr>
        <w:t>（</w:t>
      </w:r>
      <w:hyperlink r:id="rId8" w:history="1">
        <w:r w:rsidR="00376BB8" w:rsidRPr="00101F8E">
          <w:rPr>
            <w:rStyle w:val="a5"/>
            <w:rFonts w:asciiTheme="minorEastAsia" w:hAnsiTheme="minorEastAsia" w:hint="eastAsia"/>
            <w:color w:val="0070C0"/>
            <w:sz w:val="24"/>
            <w:szCs w:val="24"/>
            <w:shd w:val="clear" w:color="auto" w:fill="FFFFFF"/>
          </w:rPr>
          <w:t>财税[2013]112号</w:t>
        </w:r>
      </w:hyperlink>
      <w:r w:rsidRPr="00101F8E">
        <w:rPr>
          <w:rFonts w:asciiTheme="minorEastAsia" w:hAnsiTheme="minorEastAsia" w:hint="eastAsia"/>
          <w:color w:val="000000" w:themeColor="text1"/>
          <w:sz w:val="24"/>
          <w:szCs w:val="24"/>
          <w:shd w:val="clear" w:color="auto" w:fill="FFFFFF"/>
        </w:rPr>
        <w:t>第一条第二款）</w:t>
      </w:r>
    </w:p>
    <w:p w14:paraId="13D5DFED" w14:textId="3DDD80AB" w:rsidR="00101F8E" w:rsidRPr="00101F8E" w:rsidRDefault="00101F8E" w:rsidP="00101F8E">
      <w:pPr>
        <w:pStyle w:val="4"/>
        <w:spacing w:before="50" w:after="0" w:line="480" w:lineRule="atLeast"/>
        <w:rPr>
          <w:sz w:val="24"/>
          <w:szCs w:val="24"/>
        </w:rPr>
      </w:pPr>
      <w:r w:rsidRPr="00101F8E">
        <w:rPr>
          <w:rFonts w:hint="eastAsia"/>
          <w:sz w:val="24"/>
          <w:szCs w:val="24"/>
        </w:rPr>
        <w:t>附注：</w:t>
      </w:r>
      <w:r w:rsidR="005000BF">
        <w:rPr>
          <w:rFonts w:hint="eastAsia"/>
          <w:sz w:val="24"/>
          <w:szCs w:val="24"/>
        </w:rPr>
        <w:t>虚</w:t>
      </w:r>
      <w:r w:rsidRPr="00101F8E">
        <w:rPr>
          <w:rFonts w:hint="eastAsia"/>
          <w:sz w:val="24"/>
          <w:szCs w:val="24"/>
        </w:rPr>
        <w:t>开增值税专用发票或其他增值税扣税凭证</w:t>
      </w:r>
    </w:p>
    <w:p w14:paraId="7218A687" w14:textId="0EFC4CA2" w:rsidR="00101F8E" w:rsidRPr="00F14A59" w:rsidRDefault="00101F8E" w:rsidP="00101F8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101F8E">
        <w:rPr>
          <w:rFonts w:asciiTheme="minorEastAsia" w:hAnsiTheme="minorEastAsia" w:cs="宋体" w:hint="eastAsia"/>
          <w:color w:val="000000" w:themeColor="text1"/>
          <w:kern w:val="0"/>
          <w:sz w:val="24"/>
          <w:szCs w:val="24"/>
        </w:rPr>
        <w:t>本通知所称虚开增值税专用发票或其他增值税扣税凭证，是指有为他人虚开、为自己虚开、让他人为自己虚开、介绍他人虚开增值</w:t>
      </w:r>
      <w:r w:rsidRPr="00F14A59">
        <w:rPr>
          <w:rFonts w:asciiTheme="minorEastAsia" w:hAnsiTheme="minorEastAsia" w:cs="宋体" w:hint="eastAsia"/>
          <w:color w:val="000000" w:themeColor="text1"/>
          <w:kern w:val="0"/>
          <w:sz w:val="24"/>
          <w:szCs w:val="24"/>
        </w:rPr>
        <w:t>税专用发票或其他增值税扣税凭证行为之一的，但纳税人善意取得虚开增值税专用发票或其他增值税扣税凭证的除外。</w:t>
      </w:r>
    </w:p>
    <w:p w14:paraId="72DF0D93" w14:textId="2425F10B" w:rsidR="00101F8E" w:rsidRPr="00F14A59" w:rsidRDefault="00101F8E"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lastRenderedPageBreak/>
        <w:t>（</w:t>
      </w:r>
      <w:hyperlink r:id="rId9" w:history="1">
        <w:r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第一条第四款）</w:t>
      </w:r>
    </w:p>
    <w:p w14:paraId="0C2D6D7E" w14:textId="496458E3" w:rsidR="008C35CE" w:rsidRPr="00F14A59" w:rsidRDefault="008C35CE" w:rsidP="008C35CE">
      <w:pPr>
        <w:pStyle w:val="3"/>
        <w:spacing w:before="50" w:after="0" w:line="480" w:lineRule="atLeast"/>
        <w:rPr>
          <w:sz w:val="24"/>
          <w:szCs w:val="24"/>
        </w:rPr>
      </w:pPr>
      <w:r>
        <w:rPr>
          <w:rFonts w:hint="eastAsia"/>
          <w:sz w:val="24"/>
          <w:szCs w:val="24"/>
        </w:rPr>
        <w:t>2</w:t>
      </w:r>
      <w:r w:rsidRPr="00F14A59">
        <w:rPr>
          <w:rFonts w:hint="eastAsia"/>
          <w:sz w:val="24"/>
          <w:szCs w:val="24"/>
        </w:rPr>
        <w:t>.</w:t>
      </w:r>
      <w:r w:rsidRPr="00F14A59">
        <w:rPr>
          <w:rFonts w:hint="eastAsia"/>
          <w:sz w:val="24"/>
          <w:szCs w:val="24"/>
        </w:rPr>
        <w:t>法定代表人不知情或为无民事行为能力、限制行为能力的人</w:t>
      </w:r>
    </w:p>
    <w:p w14:paraId="45CE2F60" w14:textId="77777777" w:rsidR="008C35CE" w:rsidRPr="00F14A59" w:rsidRDefault="008C35CE" w:rsidP="008C35C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出口企业或其他单位存在下列情况之一的，其出口适用增值税退（免）税政策的货物劳务服务，</w:t>
      </w:r>
      <w:commentRangeStart w:id="4"/>
      <w:r w:rsidRPr="00744E4B">
        <w:rPr>
          <w:rFonts w:asciiTheme="minorEastAsia" w:hAnsiTheme="minorEastAsia" w:cs="宋体" w:hint="eastAsia"/>
          <w:b/>
          <w:color w:val="000000" w:themeColor="text1"/>
          <w:kern w:val="0"/>
          <w:sz w:val="24"/>
          <w:szCs w:val="24"/>
        </w:rPr>
        <w:t>一律</w:t>
      </w:r>
      <w:commentRangeEnd w:id="4"/>
      <w:r w:rsidR="00744E4B">
        <w:rPr>
          <w:rStyle w:val="aa"/>
        </w:rPr>
        <w:commentReference w:id="4"/>
      </w:r>
      <w:r w:rsidRPr="00744E4B">
        <w:rPr>
          <w:rFonts w:asciiTheme="minorEastAsia" w:hAnsiTheme="minorEastAsia" w:cs="宋体" w:hint="eastAsia"/>
          <w:b/>
          <w:color w:val="000000" w:themeColor="text1"/>
          <w:kern w:val="0"/>
          <w:sz w:val="24"/>
          <w:szCs w:val="24"/>
        </w:rPr>
        <w:t>适用增值税免税</w:t>
      </w:r>
      <w:r w:rsidRPr="00F14A59">
        <w:rPr>
          <w:rFonts w:asciiTheme="minorEastAsia" w:hAnsiTheme="minorEastAsia" w:cs="宋体" w:hint="eastAsia"/>
          <w:color w:val="000000" w:themeColor="text1"/>
          <w:kern w:val="0"/>
          <w:sz w:val="24"/>
          <w:szCs w:val="24"/>
        </w:rPr>
        <w:t>政策：</w:t>
      </w:r>
    </w:p>
    <w:p w14:paraId="11FC53FB" w14:textId="77777777" w:rsidR="008C35CE" w:rsidRPr="00F14A59" w:rsidRDefault="008C35CE" w:rsidP="008C35CE">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10" w:history="1">
        <w:r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第六条）</w:t>
      </w:r>
    </w:p>
    <w:p w14:paraId="182E6DC6" w14:textId="77777777" w:rsidR="008C35CE" w:rsidRPr="00F14A59" w:rsidRDefault="008C35CE" w:rsidP="008C35C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（1）法定代表人不知道本人是法定代表人的；</w:t>
      </w:r>
    </w:p>
    <w:p w14:paraId="4835F123" w14:textId="77777777" w:rsidR="008C35CE" w:rsidRPr="00F14A59" w:rsidRDefault="008C35CE" w:rsidP="008C35CE">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11" w:history="1">
        <w:r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第六条第一款）</w:t>
      </w:r>
    </w:p>
    <w:p w14:paraId="5870ABFF" w14:textId="77777777" w:rsidR="008C35CE" w:rsidRPr="00F14A59" w:rsidRDefault="008C35CE" w:rsidP="008C35C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（2）法定代表人为无民事行为能力人或限制民事行为能力人的。</w:t>
      </w:r>
    </w:p>
    <w:p w14:paraId="75833F22" w14:textId="77777777" w:rsidR="008C35CE" w:rsidRPr="00F14A59" w:rsidRDefault="008C35CE" w:rsidP="008C35CE">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12" w:history="1">
        <w:r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第六条第二款）</w:t>
      </w:r>
    </w:p>
    <w:p w14:paraId="0837D396" w14:textId="4C5E654F" w:rsidR="00F14A59" w:rsidRPr="00F14A59" w:rsidRDefault="008C35CE" w:rsidP="00F14A59">
      <w:pPr>
        <w:pStyle w:val="3"/>
        <w:spacing w:before="50" w:after="0" w:line="480" w:lineRule="atLeast"/>
        <w:rPr>
          <w:sz w:val="24"/>
          <w:szCs w:val="24"/>
        </w:rPr>
      </w:pPr>
      <w:r>
        <w:rPr>
          <w:rFonts w:hint="eastAsia"/>
          <w:sz w:val="24"/>
          <w:szCs w:val="24"/>
        </w:rPr>
        <w:t>3</w:t>
      </w:r>
      <w:r w:rsidR="00F14A59" w:rsidRPr="00F14A59">
        <w:rPr>
          <w:rFonts w:hint="eastAsia"/>
          <w:sz w:val="24"/>
          <w:szCs w:val="24"/>
        </w:rPr>
        <w:t>.</w:t>
      </w:r>
      <w:r w:rsidR="00BB5ECE">
        <w:rPr>
          <w:rFonts w:hint="eastAsia"/>
          <w:sz w:val="24"/>
          <w:szCs w:val="24"/>
        </w:rPr>
        <w:t>供货方异常</w:t>
      </w:r>
    </w:p>
    <w:p w14:paraId="60BCCC80"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出口企业购进货物的供货纳税人有属于办理税务登记2年内被税务机关认定为非正常户或被认定为增值税一般纳税人2年内注销税务登记，且符合下列情形之一的，自主管其出口退税的税务机关书面通知之日起，在</w:t>
      </w:r>
      <w:r w:rsidRPr="00744E4B">
        <w:rPr>
          <w:rFonts w:asciiTheme="minorEastAsia" w:hAnsiTheme="minorEastAsia" w:cs="宋体" w:hint="eastAsia"/>
          <w:b/>
          <w:color w:val="000000" w:themeColor="text1"/>
          <w:kern w:val="0"/>
          <w:sz w:val="24"/>
          <w:szCs w:val="24"/>
        </w:rPr>
        <w:t>24个月内</w:t>
      </w:r>
      <w:r w:rsidRPr="00F14A59">
        <w:rPr>
          <w:rFonts w:asciiTheme="minorEastAsia" w:hAnsiTheme="minorEastAsia" w:cs="宋体" w:hint="eastAsia"/>
          <w:color w:val="000000" w:themeColor="text1"/>
          <w:kern w:val="0"/>
          <w:sz w:val="24"/>
          <w:szCs w:val="24"/>
        </w:rPr>
        <w:t>出口的适用增值税退（免）税政策的货物劳务服务，改为适用增值税免税政策。</w:t>
      </w:r>
    </w:p>
    <w:p w14:paraId="45FE2E61" w14:textId="3F7CC0D0"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13"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第二条第一款）</w:t>
      </w:r>
    </w:p>
    <w:p w14:paraId="43461DF3"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1）外贸企业使用上述供货纳税人开具的增值税专用发票申报出口退税，在连续12个月内达到200万元以上（含本数，下同）的，或使用上述供货纳税人开具的增值税专用发票，连续12个月内申报退税额占该期间全部申报退税额30%以上的；</w:t>
      </w:r>
    </w:p>
    <w:p w14:paraId="73F7BD87" w14:textId="3C8B49BA"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14"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第二条第一款第一项）</w:t>
      </w:r>
    </w:p>
    <w:p w14:paraId="022EE479"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（2）生产企业在连续12个月内申报出口退税额达到200万元以上，且从上述供货纳税人取得的增值税专用发票税额达到200万元以上或占该期间全部进项税额30%以上的；</w:t>
      </w:r>
    </w:p>
    <w:p w14:paraId="5BFFB652" w14:textId="5A206DFF"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15"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第二条第一款第二项）</w:t>
      </w:r>
    </w:p>
    <w:p w14:paraId="7C0242C0"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lastRenderedPageBreak/>
        <w:t>（3）外贸企业连续12个月内使用3户以上上述供货纳税人开具的增值税专用发票申报退税,且占该期间全部供货纳税人户数20%以上的；</w:t>
      </w:r>
    </w:p>
    <w:p w14:paraId="7DC7C438" w14:textId="18DD94C7"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16"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第二条第一款第三项）</w:t>
      </w:r>
    </w:p>
    <w:p w14:paraId="73BF9DF0"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（4）生产企业连续12个月内有3户以上上述供货纳税人，且占该期间全部供货纳税人户数20%以上的。</w:t>
      </w:r>
    </w:p>
    <w:p w14:paraId="191AFB4C" w14:textId="56F1188F"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17"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第一条第一款第四项）</w:t>
      </w:r>
    </w:p>
    <w:p w14:paraId="3B2756DF"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本条所称“连续12个月内”，外贸企业自使用上述供货纳税人开具的增值税专用发票申报退税的当月开始计算，生产企业自从上述供货纳税人取得的增值税专用发票认证当月开始计算。</w:t>
      </w:r>
    </w:p>
    <w:p w14:paraId="6F3C6EB1" w14:textId="0D77EF02"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18"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第一条第二款）</w:t>
      </w:r>
    </w:p>
    <w:p w14:paraId="6D71D4BB" w14:textId="5596709D" w:rsidR="00F14A59" w:rsidRPr="00F14A59" w:rsidRDefault="008C35CE" w:rsidP="00F14A59">
      <w:pPr>
        <w:pStyle w:val="3"/>
        <w:spacing w:before="50" w:after="0" w:line="480" w:lineRule="atLeast"/>
        <w:rPr>
          <w:sz w:val="24"/>
          <w:szCs w:val="24"/>
        </w:rPr>
      </w:pPr>
      <w:r>
        <w:rPr>
          <w:rFonts w:hint="eastAsia"/>
          <w:sz w:val="24"/>
          <w:szCs w:val="24"/>
        </w:rPr>
        <w:t>4</w:t>
      </w:r>
      <w:r w:rsidR="00F14A59" w:rsidRPr="00F14A59">
        <w:rPr>
          <w:rFonts w:hint="eastAsia"/>
          <w:sz w:val="24"/>
          <w:szCs w:val="24"/>
        </w:rPr>
        <w:t>.</w:t>
      </w:r>
      <w:r w:rsidR="00F14A59" w:rsidRPr="00F14A59">
        <w:rPr>
          <w:rFonts w:hint="eastAsia"/>
          <w:sz w:val="24"/>
          <w:szCs w:val="24"/>
        </w:rPr>
        <w:t>价格明显偏高，且无正当理由</w:t>
      </w:r>
    </w:p>
    <w:p w14:paraId="42FAF48F"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出口企业或其他单位出口的适用增值税退（免）税政策的货物劳务服务，如果货物劳务服务的国内收购价格或出口价格明显偏高且无正当理由的，</w:t>
      </w:r>
      <w:commentRangeStart w:id="5"/>
      <w:r w:rsidRPr="00744E4B">
        <w:rPr>
          <w:rFonts w:asciiTheme="minorEastAsia" w:hAnsiTheme="minorEastAsia" w:cs="宋体" w:hint="eastAsia"/>
          <w:b/>
          <w:color w:val="000000" w:themeColor="text1"/>
          <w:kern w:val="0"/>
          <w:sz w:val="24"/>
          <w:szCs w:val="24"/>
        </w:rPr>
        <w:t>该出口货物劳务服务适用增值税免税政策</w:t>
      </w:r>
      <w:commentRangeEnd w:id="5"/>
      <w:r w:rsidR="00744E4B">
        <w:rPr>
          <w:rStyle w:val="aa"/>
        </w:rPr>
        <w:commentReference w:id="5"/>
      </w:r>
      <w:r w:rsidRPr="00F14A59">
        <w:rPr>
          <w:rFonts w:asciiTheme="minorEastAsia" w:hAnsiTheme="minorEastAsia" w:cs="宋体" w:hint="eastAsia"/>
          <w:color w:val="000000" w:themeColor="text1"/>
          <w:kern w:val="0"/>
          <w:sz w:val="24"/>
          <w:szCs w:val="24"/>
        </w:rPr>
        <w:t>。主管税务机关按照下列方法确定货物劳务服务价格是否偏高：</w:t>
      </w:r>
    </w:p>
    <w:p w14:paraId="3084D7B5" w14:textId="1D469E80"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19"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第五条）</w:t>
      </w:r>
    </w:p>
    <w:p w14:paraId="735418B6"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（1）按照该企业最近时期购进或出口同类货物劳务服务的平均价格确定。</w:t>
      </w:r>
    </w:p>
    <w:p w14:paraId="7C44F5C6" w14:textId="79DECE35"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20"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第五条第一款）</w:t>
      </w:r>
    </w:p>
    <w:p w14:paraId="7C95B047"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（2）按照其他企业最近时期购进或出口同类货物劳务服务的平均价格确定。</w:t>
      </w:r>
    </w:p>
    <w:p w14:paraId="15987DAB" w14:textId="334D9528"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21"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第五条第二款）</w:t>
      </w:r>
    </w:p>
    <w:p w14:paraId="1619D5ED"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（3）按照组成计税价格确定。组成计税价格的公式为：</w:t>
      </w:r>
    </w:p>
    <w:p w14:paraId="78309F8A"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组成计税价格=成本×（1+成本利润率）</w:t>
      </w:r>
    </w:p>
    <w:p w14:paraId="7C65650B" w14:textId="10729A84"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22"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第五条第三款第一项）</w:t>
      </w:r>
    </w:p>
    <w:p w14:paraId="58E25732"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成本利润率由国家税务总局统一确定并公布。</w:t>
      </w:r>
    </w:p>
    <w:p w14:paraId="7E381145" w14:textId="0D33E15A"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23"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第五条第三款第二项）</w:t>
      </w:r>
    </w:p>
    <w:p w14:paraId="47FB8ACA" w14:textId="77777777" w:rsidR="00F14A59" w:rsidRPr="00F14A59" w:rsidRDefault="00F14A59" w:rsidP="00F14A59">
      <w:pPr>
        <w:pStyle w:val="2"/>
        <w:spacing w:before="50" w:after="0" w:line="480" w:lineRule="atLeast"/>
        <w:rPr>
          <w:sz w:val="24"/>
          <w:szCs w:val="24"/>
          <w:shd w:val="clear" w:color="auto" w:fill="FFFFFF"/>
        </w:rPr>
      </w:pPr>
      <w:r w:rsidRPr="00F14A59">
        <w:rPr>
          <w:rFonts w:hint="eastAsia"/>
          <w:sz w:val="24"/>
          <w:szCs w:val="24"/>
          <w:shd w:val="clear" w:color="auto" w:fill="FFFFFF"/>
        </w:rPr>
        <w:lastRenderedPageBreak/>
        <w:t>（二）出口预征税款</w:t>
      </w:r>
    </w:p>
    <w:p w14:paraId="180831A4"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自本通知生效后，有增值税违法行为的企业或税务机关重点监管企业，出口或销售给出口企业出口的货物劳务服务，在出口环节退（免）税或销售环节征税时，除按现行规定管理外，</w:t>
      </w:r>
      <w:r w:rsidRPr="00744E4B">
        <w:rPr>
          <w:rFonts w:asciiTheme="minorEastAsia" w:hAnsiTheme="minorEastAsia" w:cs="宋体" w:hint="eastAsia"/>
          <w:b/>
          <w:color w:val="000000" w:themeColor="text1"/>
          <w:kern w:val="0"/>
          <w:sz w:val="24"/>
          <w:szCs w:val="24"/>
        </w:rPr>
        <w:t>还应实行增值税“税收（出口货物专用）缴款书”管理，增值税税率为17%和13%的货物，税收（出口货物专用）缴款书的预缴率分别按6%和4%执行</w:t>
      </w:r>
      <w:r w:rsidRPr="00F14A59">
        <w:rPr>
          <w:rFonts w:asciiTheme="minorEastAsia" w:hAnsiTheme="minorEastAsia" w:cs="宋体" w:hint="eastAsia"/>
          <w:color w:val="000000" w:themeColor="text1"/>
          <w:kern w:val="0"/>
          <w:sz w:val="24"/>
          <w:szCs w:val="24"/>
        </w:rPr>
        <w:t>。有增值税违法行为的企业或税务机关重点监管企业的名单，由国家税务总局根据实际情况进行动态管理，并通过国家税务总局网站等方式向社会公告。具体办法由国家税务总局另行制定。</w:t>
      </w:r>
    </w:p>
    <w:p w14:paraId="0D651448" w14:textId="7ED32793"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24"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第三条）</w:t>
      </w:r>
    </w:p>
    <w:p w14:paraId="79C7CE5E" w14:textId="77777777" w:rsidR="00F14A59" w:rsidRPr="00F14A59" w:rsidRDefault="00F14A59" w:rsidP="00F14A59">
      <w:pPr>
        <w:pStyle w:val="2"/>
        <w:spacing w:before="50" w:after="0" w:line="480" w:lineRule="atLeast"/>
        <w:rPr>
          <w:sz w:val="24"/>
          <w:szCs w:val="24"/>
        </w:rPr>
      </w:pPr>
      <w:r w:rsidRPr="00F14A59">
        <w:rPr>
          <w:rFonts w:hint="eastAsia"/>
          <w:sz w:val="24"/>
          <w:szCs w:val="24"/>
        </w:rPr>
        <w:t>（三）重点监管</w:t>
      </w:r>
    </w:p>
    <w:p w14:paraId="0144DF8B"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执行本通知第一条、第二条、第三条政策的纳税人，</w:t>
      </w:r>
      <w:r w:rsidRPr="00744E4B">
        <w:rPr>
          <w:rFonts w:asciiTheme="minorEastAsia" w:hAnsiTheme="minorEastAsia" w:cs="宋体" w:hint="eastAsia"/>
          <w:b/>
          <w:color w:val="000000" w:themeColor="text1"/>
          <w:kern w:val="0"/>
          <w:sz w:val="24"/>
          <w:szCs w:val="24"/>
        </w:rPr>
        <w:t>如果变更《税务登记证》纳税人名称或法定代表人担任新成立企业的法定代表人的企业，应继续执行完本通知对应的第一条、第二条、第三条规定；</w:t>
      </w:r>
      <w:r w:rsidRPr="00F14A59">
        <w:rPr>
          <w:rFonts w:asciiTheme="minorEastAsia" w:hAnsiTheme="minorEastAsia" w:cs="宋体" w:hint="eastAsia"/>
          <w:color w:val="000000" w:themeColor="text1"/>
          <w:kern w:val="0"/>
          <w:sz w:val="24"/>
          <w:szCs w:val="24"/>
        </w:rPr>
        <w:t>执行本通知第一条政策的纳税人，如果注销税务登记，在原地址有经营原业务的新纳税人，除法定代表人为非注销税务登记纳税人法定代表人的企业外，主管税务机关应在12个月内，对其购进、销售、资金往来、纳税等情况进行重点监管。</w:t>
      </w:r>
    </w:p>
    <w:p w14:paraId="4A40807B" w14:textId="07385958"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25"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第四条第一款）</w:t>
      </w:r>
    </w:p>
    <w:p w14:paraId="278DD63D"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被停止出口退税权的纳税人在停止出口退税权期间，如果变更《税务登记证》纳税人名称或法定代表人担任新成立企业的法定代表人的企业，在被停止出口退税权的纳税人停止出口退税权期间出口的货物劳务服务，实行增值税征税政策。</w:t>
      </w:r>
    </w:p>
    <w:p w14:paraId="0760A227" w14:textId="756133A5"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26"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第四条第二款）</w:t>
      </w:r>
    </w:p>
    <w:p w14:paraId="232F8C65" w14:textId="6FA40EC2" w:rsidR="00F14A59" w:rsidRPr="00F14A59" w:rsidRDefault="00101F8E" w:rsidP="00F14A59">
      <w:pPr>
        <w:pStyle w:val="1"/>
        <w:spacing w:before="50" w:after="0" w:line="480" w:lineRule="atLeast"/>
        <w:rPr>
          <w:sz w:val="24"/>
          <w:szCs w:val="24"/>
          <w:shd w:val="clear" w:color="auto" w:fill="FFFFFF"/>
        </w:rPr>
      </w:pPr>
      <w:r>
        <w:rPr>
          <w:rFonts w:hint="eastAsia"/>
          <w:sz w:val="24"/>
          <w:szCs w:val="24"/>
        </w:rPr>
        <w:t>二</w:t>
      </w:r>
      <w:r w:rsidR="00F14A59" w:rsidRPr="00F14A59">
        <w:rPr>
          <w:rFonts w:hint="eastAsia"/>
          <w:sz w:val="24"/>
          <w:szCs w:val="24"/>
        </w:rPr>
        <w:t>、政策调整</w:t>
      </w:r>
    </w:p>
    <w:p w14:paraId="7229D648"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增值税纳税人发生增值税违法行为，被税务机关行政处罚或审判机关刑事处罚后，行政机关或审判机关对上述</w:t>
      </w:r>
      <w:r w:rsidRPr="00744E4B">
        <w:rPr>
          <w:rFonts w:asciiTheme="minorEastAsia" w:hAnsiTheme="minorEastAsia" w:cs="宋体" w:hint="eastAsia"/>
          <w:b/>
          <w:color w:val="000000" w:themeColor="text1"/>
          <w:kern w:val="0"/>
          <w:sz w:val="24"/>
          <w:szCs w:val="24"/>
        </w:rPr>
        <w:t>处罚决定有调整的，按调整后的决定适用政策，调整前已实行的政策可按调整后的适用政策执行</w:t>
      </w:r>
      <w:r w:rsidRPr="00F14A59">
        <w:rPr>
          <w:rFonts w:asciiTheme="minorEastAsia" w:hAnsiTheme="minorEastAsia" w:cs="宋体" w:hint="eastAsia"/>
          <w:color w:val="000000" w:themeColor="text1"/>
          <w:kern w:val="0"/>
          <w:sz w:val="24"/>
          <w:szCs w:val="24"/>
        </w:rPr>
        <w:t>。</w:t>
      </w:r>
    </w:p>
    <w:p w14:paraId="4A0E6EF5" w14:textId="04BD6544"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27"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第七条）</w:t>
      </w:r>
    </w:p>
    <w:p w14:paraId="26C38EF0" w14:textId="6E4FC604" w:rsidR="00F14A59" w:rsidRPr="00F14A59" w:rsidRDefault="00101F8E" w:rsidP="00F14A59">
      <w:pPr>
        <w:pStyle w:val="1"/>
        <w:spacing w:before="50" w:after="0" w:line="480" w:lineRule="atLeast"/>
        <w:rPr>
          <w:sz w:val="24"/>
          <w:szCs w:val="24"/>
        </w:rPr>
      </w:pPr>
      <w:r>
        <w:rPr>
          <w:rFonts w:hint="eastAsia"/>
          <w:sz w:val="24"/>
          <w:szCs w:val="24"/>
        </w:rPr>
        <w:lastRenderedPageBreak/>
        <w:t>三</w:t>
      </w:r>
      <w:r w:rsidR="00F14A59" w:rsidRPr="00F14A59">
        <w:rPr>
          <w:rFonts w:hint="eastAsia"/>
          <w:sz w:val="24"/>
          <w:szCs w:val="24"/>
        </w:rPr>
        <w:t>、执行日期</w:t>
      </w:r>
      <w:r w:rsidR="00F87158">
        <w:rPr>
          <w:rFonts w:hint="eastAsia"/>
          <w:sz w:val="24"/>
          <w:szCs w:val="24"/>
        </w:rPr>
        <w:t>、</w:t>
      </w:r>
      <w:r w:rsidR="00F14A59" w:rsidRPr="00F14A59">
        <w:rPr>
          <w:rFonts w:hint="eastAsia"/>
          <w:sz w:val="24"/>
          <w:szCs w:val="24"/>
        </w:rPr>
        <w:t>政策衔接</w:t>
      </w:r>
    </w:p>
    <w:p w14:paraId="374F502D"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本通知自2014年1月1日起执行。</w:t>
      </w:r>
    </w:p>
    <w:p w14:paraId="78C390A8" w14:textId="660210AB"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28"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第八条）</w:t>
      </w:r>
    </w:p>
    <w:p w14:paraId="019173B9" w14:textId="77777777" w:rsidR="00F14A59" w:rsidRPr="00F14A59" w:rsidRDefault="00F14A59" w:rsidP="00F14A59">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F14A59">
        <w:rPr>
          <w:rFonts w:asciiTheme="minorEastAsia" w:hAnsiTheme="minorEastAsia" w:cs="宋体" w:hint="eastAsia"/>
          <w:color w:val="000000" w:themeColor="text1"/>
          <w:kern w:val="0"/>
          <w:sz w:val="24"/>
          <w:szCs w:val="24"/>
        </w:rPr>
        <w:t>本通知生效前已出口的上述供货纳税人的货物，出口企业可联系供货纳税人，由供货纳税人举证其销售的货物真实、纳税正常的证明材料，经供货纳税人的主管税务机关盖章认可，并在2014年7月底前按国家税务总局的函调管理办法回函后，税务机关可按规定办理退（免）税，在此之前，没有提供举证材料或举证材料没有被供货纳税人主管税务机关盖章认可并回函的，实行增值税免税政策。</w:t>
      </w:r>
    </w:p>
    <w:p w14:paraId="441128E5" w14:textId="47C41FE0" w:rsidR="00F14A59" w:rsidRPr="00F14A59" w:rsidRDefault="00F14A59" w:rsidP="00F14A59">
      <w:pPr>
        <w:spacing w:before="50" w:line="480" w:lineRule="atLeast"/>
        <w:jc w:val="right"/>
        <w:rPr>
          <w:rFonts w:asciiTheme="minorEastAsia" w:hAnsiTheme="minorEastAsia"/>
          <w:color w:val="000000" w:themeColor="text1"/>
          <w:sz w:val="24"/>
          <w:szCs w:val="24"/>
          <w:shd w:val="clear" w:color="auto" w:fill="FFFFFF"/>
        </w:rPr>
      </w:pPr>
      <w:r w:rsidRPr="00F14A59">
        <w:rPr>
          <w:rFonts w:asciiTheme="minorEastAsia" w:hAnsiTheme="minorEastAsia" w:hint="eastAsia"/>
          <w:color w:val="000000" w:themeColor="text1"/>
          <w:sz w:val="24"/>
          <w:szCs w:val="24"/>
          <w:shd w:val="clear" w:color="auto" w:fill="FFFFFF"/>
        </w:rPr>
        <w:t>（</w:t>
      </w:r>
      <w:hyperlink r:id="rId29" w:history="1">
        <w:r w:rsidR="00376BB8" w:rsidRPr="00376BB8">
          <w:rPr>
            <w:rStyle w:val="a5"/>
            <w:rFonts w:asciiTheme="minorEastAsia" w:hAnsiTheme="minorEastAsia" w:hint="eastAsia"/>
            <w:color w:val="0070C0"/>
            <w:sz w:val="24"/>
            <w:szCs w:val="24"/>
            <w:shd w:val="clear" w:color="auto" w:fill="FFFFFF"/>
          </w:rPr>
          <w:t>财税[2013]112号</w:t>
        </w:r>
      </w:hyperlink>
      <w:r w:rsidRPr="00F14A59">
        <w:rPr>
          <w:rFonts w:asciiTheme="minorEastAsia" w:hAnsiTheme="minorEastAsia" w:hint="eastAsia"/>
          <w:color w:val="000000" w:themeColor="text1"/>
          <w:sz w:val="24"/>
          <w:szCs w:val="24"/>
          <w:shd w:val="clear" w:color="auto" w:fill="FFFFFF"/>
        </w:rPr>
        <w:t>第一条第三款）</w:t>
      </w:r>
    </w:p>
    <w:p w14:paraId="615AA4DE" w14:textId="77777777" w:rsidR="00F14A59" w:rsidRPr="00F14A59" w:rsidRDefault="00F14A59" w:rsidP="00F14A59">
      <w:pPr>
        <w:spacing w:beforeLines="50" w:before="156" w:afterLines="50" w:after="156" w:line="540" w:lineRule="atLeast"/>
        <w:rPr>
          <w:rFonts w:asciiTheme="minorEastAsia" w:hAnsiTheme="minorEastAsia"/>
          <w:color w:val="000000" w:themeColor="text1"/>
          <w:sz w:val="24"/>
          <w:szCs w:val="24"/>
        </w:rPr>
      </w:pPr>
    </w:p>
    <w:p w14:paraId="2B967CA2" w14:textId="77777777" w:rsidR="00B02DA4" w:rsidRPr="00F14A59" w:rsidRDefault="00B02DA4"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p>
    <w:p w14:paraId="4E7F800A" w14:textId="473816E3" w:rsidR="00043BFA" w:rsidRDefault="00043BFA" w:rsidP="00043BFA">
      <w:pPr>
        <w:spacing w:beforeLines="50" w:before="156" w:line="480" w:lineRule="atLeast"/>
        <w:rPr>
          <w:rFonts w:asciiTheme="minorEastAsia" w:hAnsiTheme="minorEastAsia"/>
          <w:sz w:val="24"/>
          <w:szCs w:val="24"/>
        </w:rPr>
      </w:pPr>
    </w:p>
    <w:p w14:paraId="4DD2D99B" w14:textId="77777777" w:rsidR="00B02DA4" w:rsidRPr="002751EC" w:rsidRDefault="00B02DA4" w:rsidP="00043BFA">
      <w:pPr>
        <w:spacing w:beforeLines="50" w:before="156" w:line="480" w:lineRule="atLeast"/>
        <w:rPr>
          <w:rFonts w:asciiTheme="minorEastAsia" w:hAnsiTheme="minorEastAsia"/>
          <w:sz w:val="24"/>
          <w:szCs w:val="24"/>
        </w:rPr>
      </w:pPr>
    </w:p>
    <w:sectPr w:rsidR="00B02DA4" w:rsidRPr="002751EC">
      <w:footerReference w:type="default" r:id="rId3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OS" w:date="2021-01-06T18:02:00Z" w:initials="O">
    <w:p w14:paraId="481CEFBE" w14:textId="24B73982" w:rsidR="00744E4B" w:rsidRDefault="00744E4B">
      <w:pPr>
        <w:pStyle w:val="ab"/>
      </w:pPr>
      <w:r>
        <w:rPr>
          <w:rStyle w:val="aa"/>
        </w:rPr>
        <w:annotationRef/>
      </w:r>
      <w:r>
        <w:rPr>
          <w:rFonts w:hint="eastAsia"/>
        </w:rPr>
        <w:t>增值税违法行为</w:t>
      </w:r>
      <w:r>
        <w:rPr>
          <w:rFonts w:hint="eastAsia"/>
        </w:rPr>
        <w:t>+</w:t>
      </w:r>
      <w:r>
        <w:rPr>
          <w:rFonts w:hint="eastAsia"/>
        </w:rPr>
        <w:t>被行政（或刑事）处罚</w:t>
      </w:r>
    </w:p>
  </w:comment>
  <w:comment w:id="3" w:author="OS" w:date="2021-01-06T18:00:00Z" w:initials="O">
    <w:p w14:paraId="2C836904" w14:textId="5AC03317" w:rsidR="00A06BDB" w:rsidRDefault="00A06BDB">
      <w:pPr>
        <w:pStyle w:val="ab"/>
      </w:pPr>
      <w:r>
        <w:rPr>
          <w:rStyle w:val="aa"/>
        </w:rPr>
        <w:annotationRef/>
      </w:r>
      <w:r>
        <w:rPr>
          <w:rFonts w:hint="eastAsia"/>
        </w:rPr>
        <w:t>注意：没有截止日期</w:t>
      </w:r>
    </w:p>
  </w:comment>
  <w:comment w:id="4" w:author="OS" w:date="2021-01-06T18:04:00Z" w:initials="O">
    <w:p w14:paraId="5E9CEB0A" w14:textId="771A77FD" w:rsidR="00744E4B" w:rsidRDefault="00744E4B">
      <w:pPr>
        <w:pStyle w:val="ab"/>
      </w:pPr>
      <w:r>
        <w:rPr>
          <w:rStyle w:val="aa"/>
        </w:rPr>
        <w:annotationRef/>
      </w:r>
      <w:r>
        <w:rPr>
          <w:rFonts w:hint="eastAsia"/>
        </w:rPr>
        <w:t>——没有时限</w:t>
      </w:r>
    </w:p>
  </w:comment>
  <w:comment w:id="5" w:author="OS" w:date="2021-01-06T18:05:00Z" w:initials="O">
    <w:p w14:paraId="4D7A2051" w14:textId="0D347336" w:rsidR="00744E4B" w:rsidRDefault="00744E4B">
      <w:pPr>
        <w:pStyle w:val="ab"/>
      </w:pPr>
      <w:r>
        <w:rPr>
          <w:rStyle w:val="aa"/>
        </w:rPr>
        <w:annotationRef/>
      </w:r>
      <w:r>
        <w:rPr>
          <w:rFonts w:hint="eastAsia"/>
        </w:rPr>
        <w:t>仅限该货物、劳务、服务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901AE" w14:textId="77777777" w:rsidR="003B6430" w:rsidRDefault="003B6430" w:rsidP="00043BFA">
      <w:r>
        <w:separator/>
      </w:r>
    </w:p>
  </w:endnote>
  <w:endnote w:type="continuationSeparator" w:id="0">
    <w:p w14:paraId="1F21B4C5" w14:textId="77777777" w:rsidR="003B6430" w:rsidRDefault="003B6430" w:rsidP="0004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647931"/>
      <w:docPartObj>
        <w:docPartGallery w:val="Page Numbers (Bottom of Page)"/>
        <w:docPartUnique/>
      </w:docPartObj>
    </w:sdtPr>
    <w:sdtEndPr/>
    <w:sdtContent>
      <w:sdt>
        <w:sdtPr>
          <w:id w:val="1728636285"/>
          <w:docPartObj>
            <w:docPartGallery w:val="Page Numbers (Top of Page)"/>
            <w:docPartUnique/>
          </w:docPartObj>
        </w:sdtPr>
        <w:sdtEndPr/>
        <w:sdtContent>
          <w:p w14:paraId="76345722" w14:textId="7D83D5B9" w:rsidR="006920FD" w:rsidRDefault="006920F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44E4B">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44E4B">
              <w:rPr>
                <w:b/>
                <w:bCs/>
                <w:noProof/>
              </w:rPr>
              <w:t>5</w:t>
            </w:r>
            <w:r>
              <w:rPr>
                <w:b/>
                <w:bCs/>
                <w:sz w:val="24"/>
                <w:szCs w:val="24"/>
              </w:rPr>
              <w:fldChar w:fldCharType="end"/>
            </w:r>
          </w:p>
        </w:sdtContent>
      </w:sdt>
    </w:sdtContent>
  </w:sdt>
  <w:p w14:paraId="5271A982" w14:textId="77777777" w:rsidR="006920FD" w:rsidRDefault="006920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372C8" w14:textId="77777777" w:rsidR="003B6430" w:rsidRDefault="003B6430" w:rsidP="00043BFA">
      <w:r>
        <w:separator/>
      </w:r>
    </w:p>
  </w:footnote>
  <w:footnote w:type="continuationSeparator" w:id="0">
    <w:p w14:paraId="14C2E612" w14:textId="77777777" w:rsidR="003B6430" w:rsidRDefault="003B6430" w:rsidP="00043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9E"/>
    <w:rsid w:val="00031BB3"/>
    <w:rsid w:val="00043BFA"/>
    <w:rsid w:val="000F560D"/>
    <w:rsid w:val="00101F8E"/>
    <w:rsid w:val="0015599B"/>
    <w:rsid w:val="00264D5F"/>
    <w:rsid w:val="002751EC"/>
    <w:rsid w:val="002A7026"/>
    <w:rsid w:val="002E543C"/>
    <w:rsid w:val="00376BB8"/>
    <w:rsid w:val="003B6430"/>
    <w:rsid w:val="003C68A0"/>
    <w:rsid w:val="00422821"/>
    <w:rsid w:val="00426707"/>
    <w:rsid w:val="0048107F"/>
    <w:rsid w:val="004F4B08"/>
    <w:rsid w:val="005000BF"/>
    <w:rsid w:val="006914E3"/>
    <w:rsid w:val="006920FD"/>
    <w:rsid w:val="00744E4B"/>
    <w:rsid w:val="00823A43"/>
    <w:rsid w:val="00836468"/>
    <w:rsid w:val="008C35CE"/>
    <w:rsid w:val="00957C94"/>
    <w:rsid w:val="00980A3E"/>
    <w:rsid w:val="009953EE"/>
    <w:rsid w:val="00A06BDB"/>
    <w:rsid w:val="00A63630"/>
    <w:rsid w:val="00B02DA4"/>
    <w:rsid w:val="00B02F9E"/>
    <w:rsid w:val="00B11035"/>
    <w:rsid w:val="00BB5ECE"/>
    <w:rsid w:val="00C61C3E"/>
    <w:rsid w:val="00CB1F29"/>
    <w:rsid w:val="00D36D54"/>
    <w:rsid w:val="00D90C70"/>
    <w:rsid w:val="00DC197E"/>
    <w:rsid w:val="00DD6061"/>
    <w:rsid w:val="00DE0441"/>
    <w:rsid w:val="00E230CE"/>
    <w:rsid w:val="00E97C41"/>
    <w:rsid w:val="00F14A59"/>
    <w:rsid w:val="00F57C18"/>
    <w:rsid w:val="00F8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4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A702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702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920F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920F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6920F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BFA"/>
    <w:rPr>
      <w:sz w:val="18"/>
      <w:szCs w:val="18"/>
    </w:rPr>
  </w:style>
  <w:style w:type="paragraph" w:styleId="a4">
    <w:name w:val="footer"/>
    <w:basedOn w:val="a"/>
    <w:link w:val="Char0"/>
    <w:uiPriority w:val="99"/>
    <w:unhideWhenUsed/>
    <w:rsid w:val="00043BFA"/>
    <w:pPr>
      <w:tabs>
        <w:tab w:val="center" w:pos="4153"/>
        <w:tab w:val="right" w:pos="8306"/>
      </w:tabs>
      <w:snapToGrid w:val="0"/>
      <w:jc w:val="left"/>
    </w:pPr>
    <w:rPr>
      <w:sz w:val="18"/>
      <w:szCs w:val="18"/>
    </w:rPr>
  </w:style>
  <w:style w:type="character" w:customStyle="1" w:styleId="Char0">
    <w:name w:val="页脚 Char"/>
    <w:basedOn w:val="a0"/>
    <w:link w:val="a4"/>
    <w:uiPriority w:val="99"/>
    <w:rsid w:val="00043BFA"/>
    <w:rPr>
      <w:sz w:val="18"/>
      <w:szCs w:val="18"/>
    </w:rPr>
  </w:style>
  <w:style w:type="character" w:customStyle="1" w:styleId="3Char">
    <w:name w:val="标题 3 Char"/>
    <w:basedOn w:val="a0"/>
    <w:link w:val="3"/>
    <w:uiPriority w:val="9"/>
    <w:rsid w:val="006920FD"/>
    <w:rPr>
      <w:b/>
      <w:bCs/>
      <w:sz w:val="32"/>
      <w:szCs w:val="32"/>
    </w:rPr>
  </w:style>
  <w:style w:type="character" w:customStyle="1" w:styleId="4Char">
    <w:name w:val="标题 4 Char"/>
    <w:basedOn w:val="a0"/>
    <w:link w:val="4"/>
    <w:uiPriority w:val="9"/>
    <w:rsid w:val="006920FD"/>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920FD"/>
    <w:rPr>
      <w:b/>
      <w:bCs/>
      <w:sz w:val="28"/>
      <w:szCs w:val="28"/>
    </w:rPr>
  </w:style>
  <w:style w:type="character" w:styleId="a5">
    <w:name w:val="Hyperlink"/>
    <w:basedOn w:val="a0"/>
    <w:uiPriority w:val="99"/>
    <w:unhideWhenUsed/>
    <w:rsid w:val="006920FD"/>
    <w:rPr>
      <w:strike w:val="0"/>
      <w:dstrike w:val="0"/>
      <w:color w:val="000000"/>
      <w:u w:val="single"/>
      <w:effect w:val="none"/>
      <w:shd w:val="clear" w:color="auto" w:fill="auto"/>
    </w:rPr>
  </w:style>
  <w:style w:type="paragraph" w:styleId="a6">
    <w:name w:val="Normal (Web)"/>
    <w:basedOn w:val="a"/>
    <w:uiPriority w:val="99"/>
    <w:unhideWhenUsed/>
    <w:rsid w:val="006920FD"/>
    <w:pPr>
      <w:widowControl/>
      <w:spacing w:after="100"/>
      <w:jc w:val="left"/>
    </w:pPr>
    <w:rPr>
      <w:rFonts w:ascii="宋体" w:eastAsia="宋体" w:hAnsi="宋体" w:cs="宋体"/>
      <w:kern w:val="0"/>
      <w:sz w:val="24"/>
      <w:szCs w:val="24"/>
    </w:rPr>
  </w:style>
  <w:style w:type="paragraph" w:styleId="a7">
    <w:name w:val="footnote text"/>
    <w:basedOn w:val="a"/>
    <w:link w:val="Char1"/>
    <w:uiPriority w:val="99"/>
    <w:semiHidden/>
    <w:unhideWhenUsed/>
    <w:rsid w:val="006920FD"/>
    <w:pPr>
      <w:snapToGrid w:val="0"/>
      <w:jc w:val="left"/>
    </w:pPr>
    <w:rPr>
      <w:sz w:val="18"/>
      <w:szCs w:val="18"/>
    </w:rPr>
  </w:style>
  <w:style w:type="character" w:customStyle="1" w:styleId="Char1">
    <w:name w:val="脚注文本 Char"/>
    <w:basedOn w:val="a0"/>
    <w:link w:val="a7"/>
    <w:uiPriority w:val="99"/>
    <w:semiHidden/>
    <w:rsid w:val="006920FD"/>
    <w:rPr>
      <w:sz w:val="18"/>
      <w:szCs w:val="18"/>
    </w:rPr>
  </w:style>
  <w:style w:type="character" w:styleId="a8">
    <w:name w:val="footnote reference"/>
    <w:basedOn w:val="a0"/>
    <w:uiPriority w:val="99"/>
    <w:semiHidden/>
    <w:unhideWhenUsed/>
    <w:rsid w:val="006920FD"/>
    <w:rPr>
      <w:vertAlign w:val="superscript"/>
    </w:rPr>
  </w:style>
  <w:style w:type="character" w:customStyle="1" w:styleId="1Char">
    <w:name w:val="标题 1 Char"/>
    <w:basedOn w:val="a0"/>
    <w:link w:val="1"/>
    <w:uiPriority w:val="9"/>
    <w:rsid w:val="002A7026"/>
    <w:rPr>
      <w:b/>
      <w:bCs/>
      <w:kern w:val="44"/>
      <w:sz w:val="44"/>
      <w:szCs w:val="44"/>
    </w:rPr>
  </w:style>
  <w:style w:type="character" w:customStyle="1" w:styleId="2Char">
    <w:name w:val="标题 2 Char"/>
    <w:basedOn w:val="a0"/>
    <w:link w:val="2"/>
    <w:uiPriority w:val="9"/>
    <w:rsid w:val="002A7026"/>
    <w:rPr>
      <w:rFonts w:asciiTheme="majorHAnsi" w:eastAsiaTheme="majorEastAsia" w:hAnsiTheme="majorHAnsi" w:cstheme="majorBidi"/>
      <w:b/>
      <w:bCs/>
      <w:sz w:val="32"/>
      <w:szCs w:val="32"/>
    </w:rPr>
  </w:style>
  <w:style w:type="character" w:customStyle="1" w:styleId="UnresolvedMention">
    <w:name w:val="Unresolved Mention"/>
    <w:basedOn w:val="a0"/>
    <w:uiPriority w:val="99"/>
    <w:semiHidden/>
    <w:unhideWhenUsed/>
    <w:rsid w:val="00376BB8"/>
    <w:rPr>
      <w:color w:val="605E5C"/>
      <w:shd w:val="clear" w:color="auto" w:fill="E1DFDD"/>
    </w:rPr>
  </w:style>
  <w:style w:type="character" w:styleId="a9">
    <w:name w:val="FollowedHyperlink"/>
    <w:basedOn w:val="a0"/>
    <w:uiPriority w:val="99"/>
    <w:semiHidden/>
    <w:unhideWhenUsed/>
    <w:rsid w:val="00101F8E"/>
    <w:rPr>
      <w:color w:val="800080" w:themeColor="followedHyperlink"/>
      <w:u w:val="single"/>
    </w:rPr>
  </w:style>
  <w:style w:type="character" w:styleId="aa">
    <w:name w:val="annotation reference"/>
    <w:basedOn w:val="a0"/>
    <w:uiPriority w:val="99"/>
    <w:semiHidden/>
    <w:unhideWhenUsed/>
    <w:rsid w:val="00A06BDB"/>
    <w:rPr>
      <w:sz w:val="21"/>
      <w:szCs w:val="21"/>
    </w:rPr>
  </w:style>
  <w:style w:type="paragraph" w:styleId="ab">
    <w:name w:val="annotation text"/>
    <w:basedOn w:val="a"/>
    <w:link w:val="Char2"/>
    <w:uiPriority w:val="99"/>
    <w:semiHidden/>
    <w:unhideWhenUsed/>
    <w:rsid w:val="00A06BDB"/>
    <w:pPr>
      <w:jc w:val="left"/>
    </w:pPr>
  </w:style>
  <w:style w:type="character" w:customStyle="1" w:styleId="Char2">
    <w:name w:val="批注文字 Char"/>
    <w:basedOn w:val="a0"/>
    <w:link w:val="ab"/>
    <w:uiPriority w:val="99"/>
    <w:semiHidden/>
    <w:rsid w:val="00A06BDB"/>
  </w:style>
  <w:style w:type="paragraph" w:styleId="ac">
    <w:name w:val="annotation subject"/>
    <w:basedOn w:val="ab"/>
    <w:next w:val="ab"/>
    <w:link w:val="Char3"/>
    <w:uiPriority w:val="99"/>
    <w:semiHidden/>
    <w:unhideWhenUsed/>
    <w:rsid w:val="00A06BDB"/>
    <w:rPr>
      <w:b/>
      <w:bCs/>
    </w:rPr>
  </w:style>
  <w:style w:type="character" w:customStyle="1" w:styleId="Char3">
    <w:name w:val="批注主题 Char"/>
    <w:basedOn w:val="Char2"/>
    <w:link w:val="ac"/>
    <w:uiPriority w:val="99"/>
    <w:semiHidden/>
    <w:rsid w:val="00A06BDB"/>
    <w:rPr>
      <w:b/>
      <w:bCs/>
    </w:rPr>
  </w:style>
  <w:style w:type="paragraph" w:styleId="ad">
    <w:name w:val="Balloon Text"/>
    <w:basedOn w:val="a"/>
    <w:link w:val="Char4"/>
    <w:uiPriority w:val="99"/>
    <w:semiHidden/>
    <w:unhideWhenUsed/>
    <w:rsid w:val="00A06BDB"/>
    <w:rPr>
      <w:sz w:val="18"/>
      <w:szCs w:val="18"/>
    </w:rPr>
  </w:style>
  <w:style w:type="character" w:customStyle="1" w:styleId="Char4">
    <w:name w:val="批注框文本 Char"/>
    <w:basedOn w:val="a0"/>
    <w:link w:val="ad"/>
    <w:uiPriority w:val="99"/>
    <w:semiHidden/>
    <w:rsid w:val="00A06B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A702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702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920F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920F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6920F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BFA"/>
    <w:rPr>
      <w:sz w:val="18"/>
      <w:szCs w:val="18"/>
    </w:rPr>
  </w:style>
  <w:style w:type="paragraph" w:styleId="a4">
    <w:name w:val="footer"/>
    <w:basedOn w:val="a"/>
    <w:link w:val="Char0"/>
    <w:uiPriority w:val="99"/>
    <w:unhideWhenUsed/>
    <w:rsid w:val="00043BFA"/>
    <w:pPr>
      <w:tabs>
        <w:tab w:val="center" w:pos="4153"/>
        <w:tab w:val="right" w:pos="8306"/>
      </w:tabs>
      <w:snapToGrid w:val="0"/>
      <w:jc w:val="left"/>
    </w:pPr>
    <w:rPr>
      <w:sz w:val="18"/>
      <w:szCs w:val="18"/>
    </w:rPr>
  </w:style>
  <w:style w:type="character" w:customStyle="1" w:styleId="Char0">
    <w:name w:val="页脚 Char"/>
    <w:basedOn w:val="a0"/>
    <w:link w:val="a4"/>
    <w:uiPriority w:val="99"/>
    <w:rsid w:val="00043BFA"/>
    <w:rPr>
      <w:sz w:val="18"/>
      <w:szCs w:val="18"/>
    </w:rPr>
  </w:style>
  <w:style w:type="character" w:customStyle="1" w:styleId="3Char">
    <w:name w:val="标题 3 Char"/>
    <w:basedOn w:val="a0"/>
    <w:link w:val="3"/>
    <w:uiPriority w:val="9"/>
    <w:rsid w:val="006920FD"/>
    <w:rPr>
      <w:b/>
      <w:bCs/>
      <w:sz w:val="32"/>
      <w:szCs w:val="32"/>
    </w:rPr>
  </w:style>
  <w:style w:type="character" w:customStyle="1" w:styleId="4Char">
    <w:name w:val="标题 4 Char"/>
    <w:basedOn w:val="a0"/>
    <w:link w:val="4"/>
    <w:uiPriority w:val="9"/>
    <w:rsid w:val="006920FD"/>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920FD"/>
    <w:rPr>
      <w:b/>
      <w:bCs/>
      <w:sz w:val="28"/>
      <w:szCs w:val="28"/>
    </w:rPr>
  </w:style>
  <w:style w:type="character" w:styleId="a5">
    <w:name w:val="Hyperlink"/>
    <w:basedOn w:val="a0"/>
    <w:uiPriority w:val="99"/>
    <w:unhideWhenUsed/>
    <w:rsid w:val="006920FD"/>
    <w:rPr>
      <w:strike w:val="0"/>
      <w:dstrike w:val="0"/>
      <w:color w:val="000000"/>
      <w:u w:val="single"/>
      <w:effect w:val="none"/>
      <w:shd w:val="clear" w:color="auto" w:fill="auto"/>
    </w:rPr>
  </w:style>
  <w:style w:type="paragraph" w:styleId="a6">
    <w:name w:val="Normal (Web)"/>
    <w:basedOn w:val="a"/>
    <w:uiPriority w:val="99"/>
    <w:unhideWhenUsed/>
    <w:rsid w:val="006920FD"/>
    <w:pPr>
      <w:widowControl/>
      <w:spacing w:after="100"/>
      <w:jc w:val="left"/>
    </w:pPr>
    <w:rPr>
      <w:rFonts w:ascii="宋体" w:eastAsia="宋体" w:hAnsi="宋体" w:cs="宋体"/>
      <w:kern w:val="0"/>
      <w:sz w:val="24"/>
      <w:szCs w:val="24"/>
    </w:rPr>
  </w:style>
  <w:style w:type="paragraph" w:styleId="a7">
    <w:name w:val="footnote text"/>
    <w:basedOn w:val="a"/>
    <w:link w:val="Char1"/>
    <w:uiPriority w:val="99"/>
    <w:semiHidden/>
    <w:unhideWhenUsed/>
    <w:rsid w:val="006920FD"/>
    <w:pPr>
      <w:snapToGrid w:val="0"/>
      <w:jc w:val="left"/>
    </w:pPr>
    <w:rPr>
      <w:sz w:val="18"/>
      <w:szCs w:val="18"/>
    </w:rPr>
  </w:style>
  <w:style w:type="character" w:customStyle="1" w:styleId="Char1">
    <w:name w:val="脚注文本 Char"/>
    <w:basedOn w:val="a0"/>
    <w:link w:val="a7"/>
    <w:uiPriority w:val="99"/>
    <w:semiHidden/>
    <w:rsid w:val="006920FD"/>
    <w:rPr>
      <w:sz w:val="18"/>
      <w:szCs w:val="18"/>
    </w:rPr>
  </w:style>
  <w:style w:type="character" w:styleId="a8">
    <w:name w:val="footnote reference"/>
    <w:basedOn w:val="a0"/>
    <w:uiPriority w:val="99"/>
    <w:semiHidden/>
    <w:unhideWhenUsed/>
    <w:rsid w:val="006920FD"/>
    <w:rPr>
      <w:vertAlign w:val="superscript"/>
    </w:rPr>
  </w:style>
  <w:style w:type="character" w:customStyle="1" w:styleId="1Char">
    <w:name w:val="标题 1 Char"/>
    <w:basedOn w:val="a0"/>
    <w:link w:val="1"/>
    <w:uiPriority w:val="9"/>
    <w:rsid w:val="002A7026"/>
    <w:rPr>
      <w:b/>
      <w:bCs/>
      <w:kern w:val="44"/>
      <w:sz w:val="44"/>
      <w:szCs w:val="44"/>
    </w:rPr>
  </w:style>
  <w:style w:type="character" w:customStyle="1" w:styleId="2Char">
    <w:name w:val="标题 2 Char"/>
    <w:basedOn w:val="a0"/>
    <w:link w:val="2"/>
    <w:uiPriority w:val="9"/>
    <w:rsid w:val="002A7026"/>
    <w:rPr>
      <w:rFonts w:asciiTheme="majorHAnsi" w:eastAsiaTheme="majorEastAsia" w:hAnsiTheme="majorHAnsi" w:cstheme="majorBidi"/>
      <w:b/>
      <w:bCs/>
      <w:sz w:val="32"/>
      <w:szCs w:val="32"/>
    </w:rPr>
  </w:style>
  <w:style w:type="character" w:customStyle="1" w:styleId="UnresolvedMention">
    <w:name w:val="Unresolved Mention"/>
    <w:basedOn w:val="a0"/>
    <w:uiPriority w:val="99"/>
    <w:semiHidden/>
    <w:unhideWhenUsed/>
    <w:rsid w:val="00376BB8"/>
    <w:rPr>
      <w:color w:val="605E5C"/>
      <w:shd w:val="clear" w:color="auto" w:fill="E1DFDD"/>
    </w:rPr>
  </w:style>
  <w:style w:type="character" w:styleId="a9">
    <w:name w:val="FollowedHyperlink"/>
    <w:basedOn w:val="a0"/>
    <w:uiPriority w:val="99"/>
    <w:semiHidden/>
    <w:unhideWhenUsed/>
    <w:rsid w:val="00101F8E"/>
    <w:rPr>
      <w:color w:val="800080" w:themeColor="followedHyperlink"/>
      <w:u w:val="single"/>
    </w:rPr>
  </w:style>
  <w:style w:type="character" w:styleId="aa">
    <w:name w:val="annotation reference"/>
    <w:basedOn w:val="a0"/>
    <w:uiPriority w:val="99"/>
    <w:semiHidden/>
    <w:unhideWhenUsed/>
    <w:rsid w:val="00A06BDB"/>
    <w:rPr>
      <w:sz w:val="21"/>
      <w:szCs w:val="21"/>
    </w:rPr>
  </w:style>
  <w:style w:type="paragraph" w:styleId="ab">
    <w:name w:val="annotation text"/>
    <w:basedOn w:val="a"/>
    <w:link w:val="Char2"/>
    <w:uiPriority w:val="99"/>
    <w:semiHidden/>
    <w:unhideWhenUsed/>
    <w:rsid w:val="00A06BDB"/>
    <w:pPr>
      <w:jc w:val="left"/>
    </w:pPr>
  </w:style>
  <w:style w:type="character" w:customStyle="1" w:styleId="Char2">
    <w:name w:val="批注文字 Char"/>
    <w:basedOn w:val="a0"/>
    <w:link w:val="ab"/>
    <w:uiPriority w:val="99"/>
    <w:semiHidden/>
    <w:rsid w:val="00A06BDB"/>
  </w:style>
  <w:style w:type="paragraph" w:styleId="ac">
    <w:name w:val="annotation subject"/>
    <w:basedOn w:val="ab"/>
    <w:next w:val="ab"/>
    <w:link w:val="Char3"/>
    <w:uiPriority w:val="99"/>
    <w:semiHidden/>
    <w:unhideWhenUsed/>
    <w:rsid w:val="00A06BDB"/>
    <w:rPr>
      <w:b/>
      <w:bCs/>
    </w:rPr>
  </w:style>
  <w:style w:type="character" w:customStyle="1" w:styleId="Char3">
    <w:name w:val="批注主题 Char"/>
    <w:basedOn w:val="Char2"/>
    <w:link w:val="ac"/>
    <w:uiPriority w:val="99"/>
    <w:semiHidden/>
    <w:rsid w:val="00A06BDB"/>
    <w:rPr>
      <w:b/>
      <w:bCs/>
    </w:rPr>
  </w:style>
  <w:style w:type="paragraph" w:styleId="ad">
    <w:name w:val="Balloon Text"/>
    <w:basedOn w:val="a"/>
    <w:link w:val="Char4"/>
    <w:uiPriority w:val="99"/>
    <w:semiHidden/>
    <w:unhideWhenUsed/>
    <w:rsid w:val="00A06BDB"/>
    <w:rPr>
      <w:sz w:val="18"/>
      <w:szCs w:val="18"/>
    </w:rPr>
  </w:style>
  <w:style w:type="character" w:customStyle="1" w:styleId="Char4">
    <w:name w:val="批注框文本 Char"/>
    <w:basedOn w:val="a0"/>
    <w:link w:val="ad"/>
    <w:uiPriority w:val="99"/>
    <w:semiHidden/>
    <w:rsid w:val="00A06B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1292.html" TargetMode="External"/><Relationship Id="rId13" Type="http://schemas.openxmlformats.org/officeDocument/2006/relationships/hyperlink" Target="http://ssfb86.com/index/News/detail/newsid/1292.html" TargetMode="External"/><Relationship Id="rId18" Type="http://schemas.openxmlformats.org/officeDocument/2006/relationships/hyperlink" Target="http://ssfb86.com/index/News/detail/newsid/1292.html" TargetMode="External"/><Relationship Id="rId26" Type="http://schemas.openxmlformats.org/officeDocument/2006/relationships/hyperlink" Target="http://ssfb86.com/index/News/detail/newsid/1292.html" TargetMode="External"/><Relationship Id="rId3" Type="http://schemas.openxmlformats.org/officeDocument/2006/relationships/settings" Target="settings.xml"/><Relationship Id="rId21" Type="http://schemas.openxmlformats.org/officeDocument/2006/relationships/hyperlink" Target="http://ssfb86.com/index/News/detail/newsid/1292.html" TargetMode="External"/><Relationship Id="rId7" Type="http://schemas.openxmlformats.org/officeDocument/2006/relationships/comments" Target="comments.xml"/><Relationship Id="rId12" Type="http://schemas.openxmlformats.org/officeDocument/2006/relationships/hyperlink" Target="http://ssfb86.com/index/News/detail/newsid/1292.html" TargetMode="External"/><Relationship Id="rId17" Type="http://schemas.openxmlformats.org/officeDocument/2006/relationships/hyperlink" Target="http://ssfb86.com/index/News/detail/newsid/1292.html" TargetMode="External"/><Relationship Id="rId25" Type="http://schemas.openxmlformats.org/officeDocument/2006/relationships/hyperlink" Target="http://ssfb86.com/index/News/detail/newsid/1292.html" TargetMode="External"/><Relationship Id="rId2" Type="http://schemas.microsoft.com/office/2007/relationships/stylesWithEffects" Target="stylesWithEffects.xml"/><Relationship Id="rId16" Type="http://schemas.openxmlformats.org/officeDocument/2006/relationships/hyperlink" Target="http://ssfb86.com/index/News/detail/newsid/1292.html" TargetMode="External"/><Relationship Id="rId20" Type="http://schemas.openxmlformats.org/officeDocument/2006/relationships/hyperlink" Target="http://ssfb86.com/index/News/detail/newsid/1292.html" TargetMode="External"/><Relationship Id="rId29" Type="http://schemas.openxmlformats.org/officeDocument/2006/relationships/hyperlink" Target="http://ssfb86.com/index/News/detail/newsid/1292.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fb86.com/index/News/detail/newsid/1292.html" TargetMode="External"/><Relationship Id="rId24" Type="http://schemas.openxmlformats.org/officeDocument/2006/relationships/hyperlink" Target="http://ssfb86.com/index/News/detail/newsid/1292.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fb86.com/index/News/detail/newsid/1292.html" TargetMode="External"/><Relationship Id="rId23" Type="http://schemas.openxmlformats.org/officeDocument/2006/relationships/hyperlink" Target="http://ssfb86.com/index/News/detail/newsid/1292.html" TargetMode="External"/><Relationship Id="rId28" Type="http://schemas.openxmlformats.org/officeDocument/2006/relationships/hyperlink" Target="http://ssfb86.com/index/News/detail/newsid/1292.html" TargetMode="External"/><Relationship Id="rId10" Type="http://schemas.openxmlformats.org/officeDocument/2006/relationships/hyperlink" Target="http://ssfb86.com/index/News/detail/newsid/1292.html" TargetMode="External"/><Relationship Id="rId19" Type="http://schemas.openxmlformats.org/officeDocument/2006/relationships/hyperlink" Target="http://ssfb86.com/index/News/detail/newsid/1292.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fb86.com/index/News/detail/newsid/1292.html" TargetMode="External"/><Relationship Id="rId14" Type="http://schemas.openxmlformats.org/officeDocument/2006/relationships/hyperlink" Target="http://ssfb86.com/index/News/detail/newsid/1292.html" TargetMode="External"/><Relationship Id="rId22" Type="http://schemas.openxmlformats.org/officeDocument/2006/relationships/hyperlink" Target="http://ssfb86.com/index/News/detail/newsid/1292.html" TargetMode="External"/><Relationship Id="rId27" Type="http://schemas.openxmlformats.org/officeDocument/2006/relationships/hyperlink" Target="http://ssfb86.com/index/News/detail/newsid/1292.html"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OS</cp:lastModifiedBy>
  <cp:revision>16</cp:revision>
  <dcterms:created xsi:type="dcterms:W3CDTF">2020-07-26T23:52:00Z</dcterms:created>
  <dcterms:modified xsi:type="dcterms:W3CDTF">2021-01-06T10:10:00Z</dcterms:modified>
</cp:coreProperties>
</file>