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326AB" w14:textId="77777777" w:rsidR="00D630C4" w:rsidRDefault="00D630C4" w:rsidP="00D630C4">
      <w:pPr>
        <w:pStyle w:val="1"/>
        <w:ind w:firstLineChars="100" w:firstLine="241"/>
        <w:rPr>
          <w:sz w:val="24"/>
          <w:szCs w:val="24"/>
        </w:rPr>
      </w:pPr>
      <w:bookmarkStart w:id="0" w:name="_Toc11952168"/>
      <w:bookmarkStart w:id="1" w:name="_Toc17220659"/>
      <w:r>
        <w:rPr>
          <w:rFonts w:cs="黑体" w:hint="eastAsia"/>
          <w:sz w:val="24"/>
          <w:szCs w:val="24"/>
        </w:rPr>
        <w:t>附录</w:t>
      </w:r>
      <w:r>
        <w:rPr>
          <w:rFonts w:cs="黑体"/>
          <w:sz w:val="24"/>
          <w:szCs w:val="24"/>
        </w:rPr>
        <w:t xml:space="preserve"> </w:t>
      </w:r>
      <w:r>
        <w:rPr>
          <w:rFonts w:hint="eastAsia"/>
          <w:sz w:val="24"/>
          <w:szCs w:val="24"/>
        </w:rPr>
        <w:t>会计科目和主要账务处理</w:t>
      </w:r>
      <w:bookmarkEnd w:id="0"/>
      <w:bookmarkEnd w:id="1"/>
      <w:r>
        <w:rPr>
          <w:sz w:val="24"/>
          <w:szCs w:val="24"/>
        </w:rPr>
        <w:t xml:space="preserve"> </w:t>
      </w:r>
      <w:r>
        <w:rPr>
          <w:sz w:val="24"/>
          <w:szCs w:val="24"/>
        </w:rPr>
        <w:br/>
      </w:r>
    </w:p>
    <w:p w14:paraId="591F3C32" w14:textId="77777777" w:rsidR="00D630C4" w:rsidRDefault="00D630C4" w:rsidP="00D630C4">
      <w:pPr>
        <w:pStyle w:val="CM71"/>
        <w:jc w:val="center"/>
        <w:rPr>
          <w:rFonts w:ascii="华文中宋" w:eastAsia="华文中宋" w:cs="华文中宋"/>
          <w:color w:val="000000"/>
          <w:sz w:val="32"/>
          <w:szCs w:val="32"/>
        </w:rPr>
      </w:pPr>
      <w:r>
        <w:rPr>
          <w:rFonts w:ascii="华文中宋" w:eastAsia="华文中宋" w:cs="华文中宋" w:hint="eastAsia"/>
          <w:color w:val="000000"/>
          <w:sz w:val="32"/>
          <w:szCs w:val="32"/>
        </w:rPr>
        <w:t>一、会计科目</w:t>
      </w:r>
    </w:p>
    <w:p w14:paraId="1E552E58" w14:textId="77777777" w:rsidR="00D630C4" w:rsidRDefault="00D630C4" w:rsidP="00D630C4">
      <w:pPr>
        <w:pStyle w:val="CM71"/>
        <w:spacing w:line="546" w:lineRule="atLeast"/>
        <w:ind w:firstLine="560"/>
        <w:rPr>
          <w:rFonts w:ascii="仿宋_GB2312" w:eastAsia="仿宋_GB2312" w:cs="仿宋_GB2312"/>
          <w:color w:val="000000"/>
          <w:sz w:val="28"/>
          <w:szCs w:val="28"/>
        </w:rPr>
      </w:pPr>
      <w:r>
        <w:rPr>
          <w:rFonts w:ascii="仿宋_GB2312" w:eastAsia="仿宋_GB2312" w:cs="仿宋_GB2312" w:hint="eastAsia"/>
          <w:color w:val="000000"/>
          <w:sz w:val="28"/>
          <w:szCs w:val="28"/>
        </w:rPr>
        <w:t>会计科目和主要账务处理依据企业会计准则中确认和计量的规定制定，涵盖了各类企业的交易或者事项。企业在不违反会计准则中确认、计量和报告规定的前提下，可以根据本单位的实际情况自行增设、分拆、合并会计科目。企业不存在的交易或者事项，可不设置相关会计科目。对于明细科目，企业可以比照本附录中的规定自行设置。会计科目编号供企业填制会计凭证、登记会计账簿、查阅会计账目、采用会计软件系统参考，企业可结合实际情况自行确定会计科目编号。</w:t>
      </w:r>
    </w:p>
    <w:tbl>
      <w:tblPr>
        <w:tblW w:w="8305" w:type="dxa"/>
        <w:tblLayout w:type="fixed"/>
        <w:tblLook w:val="04A0" w:firstRow="1" w:lastRow="0" w:firstColumn="1" w:lastColumn="0" w:noHBand="0" w:noVBand="1"/>
      </w:tblPr>
      <w:tblGrid>
        <w:gridCol w:w="1643"/>
        <w:gridCol w:w="1800"/>
        <w:gridCol w:w="4862"/>
      </w:tblGrid>
      <w:tr w:rsidR="00D630C4" w14:paraId="50A7336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4DFBA30" w14:textId="77777777" w:rsidR="00D630C4" w:rsidRDefault="00D630C4" w:rsidP="00052D3C">
            <w:pPr>
              <w:pStyle w:val="Default"/>
              <w:jc w:val="center"/>
              <w:rPr>
                <w:rFonts w:ascii="仿宋_GB2312" w:eastAsia="仿宋_GB2312" w:cs="仿宋_GB2312"/>
                <w:sz w:val="22"/>
                <w:szCs w:val="22"/>
              </w:rPr>
            </w:pPr>
            <w:r>
              <w:rPr>
                <w:rFonts w:ascii="仿宋_GB2312" w:eastAsia="仿宋_GB2312" w:cs="仿宋_GB2312" w:hint="eastAsia"/>
                <w:sz w:val="22"/>
                <w:szCs w:val="22"/>
              </w:rPr>
              <w:t>顺序号</w:t>
            </w:r>
          </w:p>
        </w:tc>
        <w:tc>
          <w:tcPr>
            <w:tcW w:w="1800" w:type="dxa"/>
            <w:tcBorders>
              <w:top w:val="single" w:sz="4" w:space="0" w:color="000000"/>
              <w:left w:val="single" w:sz="4" w:space="0" w:color="000000"/>
              <w:bottom w:val="single" w:sz="4" w:space="0" w:color="000000"/>
              <w:right w:val="single" w:sz="4" w:space="0" w:color="000000"/>
            </w:tcBorders>
            <w:vAlign w:val="center"/>
          </w:tcPr>
          <w:p w14:paraId="55F6A392" w14:textId="77777777" w:rsidR="00D630C4" w:rsidRDefault="00D630C4" w:rsidP="00052D3C">
            <w:pPr>
              <w:pStyle w:val="Default"/>
              <w:jc w:val="center"/>
              <w:rPr>
                <w:rFonts w:ascii="仿宋_GB2312" w:eastAsia="仿宋_GB2312" w:cs="仿宋_GB2312"/>
                <w:sz w:val="22"/>
                <w:szCs w:val="22"/>
              </w:rPr>
            </w:pPr>
            <w:r>
              <w:rPr>
                <w:rFonts w:ascii="仿宋_GB2312" w:eastAsia="仿宋_GB2312" w:cs="仿宋_GB2312" w:hint="eastAsia"/>
                <w:sz w:val="22"/>
                <w:szCs w:val="22"/>
              </w:rPr>
              <w:t>编号</w:t>
            </w:r>
          </w:p>
        </w:tc>
        <w:tc>
          <w:tcPr>
            <w:tcW w:w="4862" w:type="dxa"/>
            <w:tcBorders>
              <w:top w:val="single" w:sz="4" w:space="0" w:color="000000"/>
              <w:left w:val="single" w:sz="4" w:space="0" w:color="000000"/>
              <w:bottom w:val="single" w:sz="4" w:space="0" w:color="000000"/>
              <w:right w:val="single" w:sz="4" w:space="0" w:color="000000"/>
            </w:tcBorders>
            <w:vAlign w:val="center"/>
          </w:tcPr>
          <w:p w14:paraId="71EDF39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会计科目名称</w:t>
            </w:r>
          </w:p>
        </w:tc>
      </w:tr>
      <w:tr w:rsidR="00D630C4" w14:paraId="20B0715C" w14:textId="77777777" w:rsidTr="00052D3C">
        <w:trPr>
          <w:trHeight w:val="325"/>
        </w:trPr>
        <w:tc>
          <w:tcPr>
            <w:tcW w:w="1643" w:type="dxa"/>
            <w:tcBorders>
              <w:top w:val="single" w:sz="4" w:space="0" w:color="000000"/>
              <w:bottom w:val="single" w:sz="4" w:space="0" w:color="000000"/>
              <w:right w:val="single" w:sz="4" w:space="0" w:color="000000"/>
            </w:tcBorders>
          </w:tcPr>
          <w:p w14:paraId="396D1718" w14:textId="77777777" w:rsidR="00D630C4" w:rsidRDefault="00D630C4" w:rsidP="00052D3C">
            <w:pPr>
              <w:pStyle w:val="Default"/>
              <w:jc w:val="center"/>
              <w:rPr>
                <w:rFonts w:cs="Times New Roman"/>
                <w:color w:val="auto"/>
              </w:rPr>
            </w:pPr>
          </w:p>
        </w:tc>
        <w:tc>
          <w:tcPr>
            <w:tcW w:w="1800" w:type="dxa"/>
            <w:tcBorders>
              <w:top w:val="single" w:sz="4" w:space="0" w:color="000000"/>
              <w:left w:val="single" w:sz="4" w:space="0" w:color="000000"/>
              <w:bottom w:val="single" w:sz="4" w:space="0" w:color="000000"/>
              <w:right w:val="single" w:sz="4" w:space="0" w:color="000000"/>
            </w:tcBorders>
          </w:tcPr>
          <w:p w14:paraId="291BD188" w14:textId="77777777" w:rsidR="00D630C4" w:rsidRDefault="00D630C4" w:rsidP="00052D3C">
            <w:pPr>
              <w:pStyle w:val="Default"/>
              <w:jc w:val="center"/>
              <w:rPr>
                <w:rFonts w:cs="Times New Roman"/>
                <w:color w:val="auto"/>
              </w:rPr>
            </w:pPr>
          </w:p>
        </w:tc>
        <w:tc>
          <w:tcPr>
            <w:tcW w:w="4862" w:type="dxa"/>
            <w:tcBorders>
              <w:top w:val="single" w:sz="4" w:space="0" w:color="000000"/>
              <w:left w:val="single" w:sz="4" w:space="0" w:color="000000"/>
              <w:bottom w:val="single" w:sz="4" w:space="0" w:color="000000"/>
              <w:right w:val="single" w:sz="4" w:space="0" w:color="000000"/>
            </w:tcBorders>
            <w:vAlign w:val="center"/>
          </w:tcPr>
          <w:p w14:paraId="2B4211C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一、资产类</w:t>
            </w:r>
          </w:p>
        </w:tc>
      </w:tr>
      <w:tr w:rsidR="00D630C4" w14:paraId="01251367"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BF9922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 </w:t>
            </w:r>
          </w:p>
        </w:tc>
        <w:tc>
          <w:tcPr>
            <w:tcW w:w="1800" w:type="dxa"/>
            <w:tcBorders>
              <w:top w:val="single" w:sz="4" w:space="0" w:color="000000"/>
              <w:left w:val="single" w:sz="4" w:space="0" w:color="000000"/>
              <w:bottom w:val="single" w:sz="4" w:space="0" w:color="000000"/>
              <w:right w:val="single" w:sz="4" w:space="0" w:color="000000"/>
            </w:tcBorders>
            <w:vAlign w:val="center"/>
          </w:tcPr>
          <w:p w14:paraId="2068400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1001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A6C206E"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库存现金</w:t>
            </w:r>
          </w:p>
        </w:tc>
      </w:tr>
      <w:tr w:rsidR="00D630C4" w14:paraId="026BD2FB"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665F811"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 </w:t>
            </w:r>
          </w:p>
        </w:tc>
        <w:tc>
          <w:tcPr>
            <w:tcW w:w="1800" w:type="dxa"/>
            <w:tcBorders>
              <w:top w:val="single" w:sz="4" w:space="0" w:color="000000"/>
              <w:left w:val="single" w:sz="4" w:space="0" w:color="000000"/>
              <w:bottom w:val="single" w:sz="4" w:space="0" w:color="000000"/>
              <w:right w:val="single" w:sz="4" w:space="0" w:color="000000"/>
            </w:tcBorders>
            <w:vAlign w:val="center"/>
          </w:tcPr>
          <w:p w14:paraId="10EA46A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1002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06A4FC33"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银行存款</w:t>
            </w:r>
          </w:p>
        </w:tc>
      </w:tr>
      <w:tr w:rsidR="00D630C4" w14:paraId="7CF1DC2C"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7D89916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 </w:t>
            </w:r>
          </w:p>
        </w:tc>
        <w:tc>
          <w:tcPr>
            <w:tcW w:w="1800" w:type="dxa"/>
            <w:tcBorders>
              <w:top w:val="single" w:sz="4" w:space="0" w:color="000000"/>
              <w:left w:val="single" w:sz="4" w:space="0" w:color="000000"/>
              <w:bottom w:val="single" w:sz="4" w:space="0" w:color="000000"/>
              <w:right w:val="single" w:sz="4" w:space="0" w:color="000000"/>
            </w:tcBorders>
            <w:vAlign w:val="center"/>
          </w:tcPr>
          <w:p w14:paraId="219CCF0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1003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17BE5C9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存放中央银行款项</w:t>
            </w:r>
          </w:p>
        </w:tc>
      </w:tr>
      <w:tr w:rsidR="00D630C4" w14:paraId="122A3A65"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6598785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 </w:t>
            </w:r>
          </w:p>
        </w:tc>
        <w:tc>
          <w:tcPr>
            <w:tcW w:w="1800" w:type="dxa"/>
            <w:tcBorders>
              <w:top w:val="single" w:sz="4" w:space="0" w:color="000000"/>
              <w:left w:val="single" w:sz="4" w:space="0" w:color="000000"/>
              <w:bottom w:val="single" w:sz="4" w:space="0" w:color="000000"/>
              <w:right w:val="single" w:sz="4" w:space="0" w:color="000000"/>
            </w:tcBorders>
            <w:vAlign w:val="center"/>
          </w:tcPr>
          <w:p w14:paraId="254DCB9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1011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4894BB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存放同业</w:t>
            </w:r>
          </w:p>
        </w:tc>
      </w:tr>
      <w:tr w:rsidR="00D630C4" w14:paraId="2FA8BB85"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90EEDC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 </w:t>
            </w:r>
          </w:p>
        </w:tc>
        <w:tc>
          <w:tcPr>
            <w:tcW w:w="1800" w:type="dxa"/>
            <w:tcBorders>
              <w:top w:val="single" w:sz="4" w:space="0" w:color="000000"/>
              <w:left w:val="single" w:sz="4" w:space="0" w:color="000000"/>
              <w:bottom w:val="single" w:sz="4" w:space="0" w:color="000000"/>
              <w:right w:val="single" w:sz="4" w:space="0" w:color="000000"/>
            </w:tcBorders>
            <w:vAlign w:val="center"/>
          </w:tcPr>
          <w:p w14:paraId="4CC5219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1012 </w:t>
            </w:r>
          </w:p>
        </w:tc>
        <w:tc>
          <w:tcPr>
            <w:tcW w:w="4862" w:type="dxa"/>
            <w:tcBorders>
              <w:top w:val="single" w:sz="4" w:space="0" w:color="000000"/>
              <w:left w:val="single" w:sz="4" w:space="0" w:color="000000"/>
              <w:bottom w:val="single" w:sz="4" w:space="0" w:color="000000"/>
              <w:right w:val="single" w:sz="4" w:space="0" w:color="000000"/>
            </w:tcBorders>
            <w:vAlign w:val="center"/>
          </w:tcPr>
          <w:p w14:paraId="41A69B83"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其他货币资金</w:t>
            </w:r>
          </w:p>
        </w:tc>
      </w:tr>
      <w:tr w:rsidR="00D630C4" w14:paraId="205229D1"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72EA95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 </w:t>
            </w:r>
          </w:p>
        </w:tc>
        <w:tc>
          <w:tcPr>
            <w:tcW w:w="1800" w:type="dxa"/>
            <w:tcBorders>
              <w:top w:val="single" w:sz="4" w:space="0" w:color="000000"/>
              <w:left w:val="single" w:sz="4" w:space="0" w:color="000000"/>
              <w:bottom w:val="single" w:sz="4" w:space="0" w:color="000000"/>
              <w:right w:val="single" w:sz="4" w:space="0" w:color="000000"/>
            </w:tcBorders>
            <w:vAlign w:val="center"/>
          </w:tcPr>
          <w:p w14:paraId="5424630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1021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2F6C78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结算备付金</w:t>
            </w:r>
          </w:p>
        </w:tc>
      </w:tr>
      <w:tr w:rsidR="00D630C4" w14:paraId="24D2C7A7"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B1AF63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 </w:t>
            </w:r>
          </w:p>
        </w:tc>
        <w:tc>
          <w:tcPr>
            <w:tcW w:w="1800" w:type="dxa"/>
            <w:tcBorders>
              <w:top w:val="single" w:sz="4" w:space="0" w:color="000000"/>
              <w:left w:val="single" w:sz="4" w:space="0" w:color="000000"/>
              <w:bottom w:val="single" w:sz="4" w:space="0" w:color="000000"/>
              <w:right w:val="single" w:sz="4" w:space="0" w:color="000000"/>
            </w:tcBorders>
            <w:vAlign w:val="center"/>
          </w:tcPr>
          <w:p w14:paraId="24656EA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1031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252FD7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存出保证金</w:t>
            </w:r>
          </w:p>
        </w:tc>
      </w:tr>
      <w:tr w:rsidR="00D630C4" w14:paraId="17A7EAB5"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5420A1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 </w:t>
            </w:r>
          </w:p>
        </w:tc>
        <w:tc>
          <w:tcPr>
            <w:tcW w:w="1800" w:type="dxa"/>
            <w:tcBorders>
              <w:top w:val="single" w:sz="4" w:space="0" w:color="000000"/>
              <w:left w:val="single" w:sz="4" w:space="0" w:color="000000"/>
              <w:bottom w:val="single" w:sz="4" w:space="0" w:color="000000"/>
              <w:right w:val="single" w:sz="4" w:space="0" w:color="000000"/>
            </w:tcBorders>
            <w:vAlign w:val="center"/>
          </w:tcPr>
          <w:p w14:paraId="1189E59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23934B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交易性金融资产</w:t>
            </w:r>
          </w:p>
        </w:tc>
      </w:tr>
      <w:tr w:rsidR="00D630C4" w14:paraId="481439C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FE3EB6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 </w:t>
            </w:r>
          </w:p>
        </w:tc>
        <w:tc>
          <w:tcPr>
            <w:tcW w:w="1800" w:type="dxa"/>
            <w:tcBorders>
              <w:top w:val="single" w:sz="4" w:space="0" w:color="000000"/>
              <w:left w:val="single" w:sz="4" w:space="0" w:color="000000"/>
              <w:bottom w:val="single" w:sz="4" w:space="0" w:color="000000"/>
              <w:right w:val="single" w:sz="4" w:space="0" w:color="000000"/>
            </w:tcBorders>
            <w:vAlign w:val="center"/>
          </w:tcPr>
          <w:p w14:paraId="05CAE3D4"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392F6D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买入返售金融资产</w:t>
            </w:r>
          </w:p>
        </w:tc>
      </w:tr>
      <w:tr w:rsidR="00D630C4" w14:paraId="210DD17D"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AF9261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 </w:t>
            </w:r>
          </w:p>
        </w:tc>
        <w:tc>
          <w:tcPr>
            <w:tcW w:w="1800" w:type="dxa"/>
            <w:tcBorders>
              <w:top w:val="single" w:sz="4" w:space="0" w:color="000000"/>
              <w:left w:val="single" w:sz="4" w:space="0" w:color="000000"/>
              <w:bottom w:val="single" w:sz="4" w:space="0" w:color="000000"/>
              <w:right w:val="single" w:sz="4" w:space="0" w:color="000000"/>
            </w:tcBorders>
            <w:vAlign w:val="center"/>
          </w:tcPr>
          <w:p w14:paraId="53370CE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1F7F8B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应收票据</w:t>
            </w:r>
          </w:p>
        </w:tc>
      </w:tr>
      <w:tr w:rsidR="00D630C4" w14:paraId="2A8F583A"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A2A5AB1"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11 </w:t>
            </w:r>
          </w:p>
        </w:tc>
        <w:tc>
          <w:tcPr>
            <w:tcW w:w="1800" w:type="dxa"/>
            <w:tcBorders>
              <w:top w:val="single" w:sz="4" w:space="0" w:color="000000"/>
              <w:left w:val="single" w:sz="4" w:space="0" w:color="000000"/>
              <w:bottom w:val="single" w:sz="4" w:space="0" w:color="000000"/>
              <w:right w:val="single" w:sz="4" w:space="0" w:color="000000"/>
            </w:tcBorders>
            <w:vAlign w:val="center"/>
          </w:tcPr>
          <w:p w14:paraId="35E5FE3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1122 </w:t>
            </w:r>
          </w:p>
        </w:tc>
        <w:tc>
          <w:tcPr>
            <w:tcW w:w="4862" w:type="dxa"/>
            <w:tcBorders>
              <w:top w:val="single" w:sz="4" w:space="0" w:color="000000"/>
              <w:left w:val="single" w:sz="4" w:space="0" w:color="000000"/>
              <w:bottom w:val="single" w:sz="4" w:space="0" w:color="000000"/>
              <w:right w:val="single" w:sz="4" w:space="0" w:color="000000"/>
            </w:tcBorders>
            <w:vAlign w:val="center"/>
          </w:tcPr>
          <w:p w14:paraId="5356232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应收账款</w:t>
            </w:r>
          </w:p>
        </w:tc>
      </w:tr>
      <w:tr w:rsidR="00D630C4" w14:paraId="172C64AE" w14:textId="77777777" w:rsidTr="00052D3C">
        <w:trPr>
          <w:trHeight w:val="338"/>
        </w:trPr>
        <w:tc>
          <w:tcPr>
            <w:tcW w:w="1643" w:type="dxa"/>
            <w:tcBorders>
              <w:top w:val="single" w:sz="4" w:space="0" w:color="000000"/>
              <w:bottom w:val="single" w:sz="4" w:space="0" w:color="000000"/>
              <w:right w:val="single" w:sz="4" w:space="0" w:color="000000"/>
            </w:tcBorders>
            <w:vAlign w:val="center"/>
          </w:tcPr>
          <w:p w14:paraId="5838605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 </w:t>
            </w:r>
          </w:p>
        </w:tc>
        <w:tc>
          <w:tcPr>
            <w:tcW w:w="1800" w:type="dxa"/>
            <w:tcBorders>
              <w:top w:val="single" w:sz="4" w:space="0" w:color="000000"/>
              <w:left w:val="single" w:sz="4" w:space="0" w:color="000000"/>
              <w:bottom w:val="single" w:sz="4" w:space="0" w:color="000000"/>
              <w:right w:val="single" w:sz="4" w:space="0" w:color="000000"/>
            </w:tcBorders>
            <w:vAlign w:val="center"/>
          </w:tcPr>
          <w:p w14:paraId="05D5D1F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1123 </w:t>
            </w:r>
          </w:p>
        </w:tc>
        <w:tc>
          <w:tcPr>
            <w:tcW w:w="4862" w:type="dxa"/>
            <w:tcBorders>
              <w:top w:val="single" w:sz="4" w:space="0" w:color="000000"/>
              <w:left w:val="single" w:sz="4" w:space="0" w:color="000000"/>
              <w:bottom w:val="single" w:sz="4" w:space="0" w:color="000000"/>
              <w:right w:val="single" w:sz="4" w:space="0" w:color="000000"/>
            </w:tcBorders>
            <w:vAlign w:val="center"/>
          </w:tcPr>
          <w:p w14:paraId="76E3AB3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预付账款</w:t>
            </w:r>
          </w:p>
        </w:tc>
      </w:tr>
      <w:tr w:rsidR="00D630C4" w14:paraId="248ABC2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1D1F18E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13 </w:t>
            </w:r>
          </w:p>
        </w:tc>
        <w:tc>
          <w:tcPr>
            <w:tcW w:w="1800" w:type="dxa"/>
            <w:tcBorders>
              <w:top w:val="single" w:sz="4" w:space="0" w:color="000000"/>
              <w:left w:val="single" w:sz="4" w:space="0" w:color="000000"/>
              <w:bottom w:val="single" w:sz="4" w:space="0" w:color="000000"/>
              <w:right w:val="single" w:sz="4" w:space="0" w:color="000000"/>
            </w:tcBorders>
            <w:vAlign w:val="center"/>
          </w:tcPr>
          <w:p w14:paraId="4D0AA6B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2CAA83B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应收股利</w:t>
            </w:r>
          </w:p>
        </w:tc>
      </w:tr>
      <w:tr w:rsidR="00D630C4" w14:paraId="5547376E"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961B78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 </w:t>
            </w:r>
          </w:p>
        </w:tc>
        <w:tc>
          <w:tcPr>
            <w:tcW w:w="1800" w:type="dxa"/>
            <w:tcBorders>
              <w:top w:val="single" w:sz="4" w:space="0" w:color="000000"/>
              <w:left w:val="single" w:sz="4" w:space="0" w:color="000000"/>
              <w:bottom w:val="single" w:sz="4" w:space="0" w:color="000000"/>
              <w:right w:val="single" w:sz="4" w:space="0" w:color="000000"/>
            </w:tcBorders>
            <w:vAlign w:val="center"/>
          </w:tcPr>
          <w:p w14:paraId="34CAA43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1132 </w:t>
            </w:r>
          </w:p>
        </w:tc>
        <w:tc>
          <w:tcPr>
            <w:tcW w:w="4862" w:type="dxa"/>
            <w:tcBorders>
              <w:top w:val="single" w:sz="4" w:space="0" w:color="000000"/>
              <w:left w:val="single" w:sz="4" w:space="0" w:color="000000"/>
              <w:bottom w:val="single" w:sz="4" w:space="0" w:color="000000"/>
              <w:right w:val="single" w:sz="4" w:space="0" w:color="000000"/>
            </w:tcBorders>
            <w:vAlign w:val="center"/>
          </w:tcPr>
          <w:p w14:paraId="5D099FE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应收利息</w:t>
            </w:r>
          </w:p>
        </w:tc>
      </w:tr>
      <w:tr w:rsidR="00D630C4" w14:paraId="1CB0A4FD"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82655B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 xml:space="preserve">15 </w:t>
            </w:r>
          </w:p>
        </w:tc>
        <w:tc>
          <w:tcPr>
            <w:tcW w:w="1800" w:type="dxa"/>
            <w:tcBorders>
              <w:top w:val="single" w:sz="4" w:space="0" w:color="000000"/>
              <w:left w:val="single" w:sz="4" w:space="0" w:color="000000"/>
              <w:bottom w:val="single" w:sz="4" w:space="0" w:color="000000"/>
              <w:right w:val="single" w:sz="4" w:space="0" w:color="000000"/>
            </w:tcBorders>
            <w:vAlign w:val="center"/>
          </w:tcPr>
          <w:p w14:paraId="61B4519B"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DABA39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应收代位追偿款</w:t>
            </w:r>
          </w:p>
        </w:tc>
      </w:tr>
      <w:tr w:rsidR="00D630C4" w14:paraId="0D8EA627"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FB6476A"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16 </w:t>
            </w:r>
          </w:p>
        </w:tc>
        <w:tc>
          <w:tcPr>
            <w:tcW w:w="1800" w:type="dxa"/>
            <w:tcBorders>
              <w:top w:val="single" w:sz="4" w:space="0" w:color="000000"/>
              <w:left w:val="single" w:sz="4" w:space="0" w:color="000000"/>
              <w:bottom w:val="single" w:sz="4" w:space="0" w:color="000000"/>
              <w:right w:val="single" w:sz="4" w:space="0" w:color="000000"/>
            </w:tcBorders>
            <w:vAlign w:val="center"/>
          </w:tcPr>
          <w:p w14:paraId="4EDE8E9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B12067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应收分保账款</w:t>
            </w:r>
          </w:p>
        </w:tc>
      </w:tr>
      <w:tr w:rsidR="00D630C4" w14:paraId="0DA05EF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488CC02"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17 </w:t>
            </w:r>
          </w:p>
        </w:tc>
        <w:tc>
          <w:tcPr>
            <w:tcW w:w="1800" w:type="dxa"/>
            <w:tcBorders>
              <w:top w:val="single" w:sz="4" w:space="0" w:color="000000"/>
              <w:left w:val="single" w:sz="4" w:space="0" w:color="000000"/>
              <w:bottom w:val="single" w:sz="4" w:space="0" w:color="000000"/>
              <w:right w:val="single" w:sz="4" w:space="0" w:color="000000"/>
            </w:tcBorders>
            <w:vAlign w:val="center"/>
          </w:tcPr>
          <w:p w14:paraId="7F07382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1212 </w:t>
            </w:r>
          </w:p>
        </w:tc>
        <w:tc>
          <w:tcPr>
            <w:tcW w:w="4862" w:type="dxa"/>
            <w:tcBorders>
              <w:top w:val="single" w:sz="4" w:space="0" w:color="000000"/>
              <w:left w:val="single" w:sz="4" w:space="0" w:color="000000"/>
              <w:bottom w:val="single" w:sz="4" w:space="0" w:color="000000"/>
              <w:right w:val="single" w:sz="4" w:space="0" w:color="000000"/>
            </w:tcBorders>
            <w:vAlign w:val="center"/>
          </w:tcPr>
          <w:p w14:paraId="5301F853"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应收分保合同准备金</w:t>
            </w:r>
          </w:p>
        </w:tc>
      </w:tr>
      <w:tr w:rsidR="00D630C4" w14:paraId="4D4FDA4E"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C69241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18 </w:t>
            </w:r>
          </w:p>
        </w:tc>
        <w:tc>
          <w:tcPr>
            <w:tcW w:w="1800" w:type="dxa"/>
            <w:tcBorders>
              <w:top w:val="single" w:sz="4" w:space="0" w:color="000000"/>
              <w:left w:val="single" w:sz="4" w:space="0" w:color="000000"/>
              <w:bottom w:val="single" w:sz="4" w:space="0" w:color="000000"/>
              <w:right w:val="single" w:sz="4" w:space="0" w:color="000000"/>
            </w:tcBorders>
            <w:vAlign w:val="center"/>
          </w:tcPr>
          <w:p w14:paraId="489B77A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F4B0D7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其他应收款</w:t>
            </w:r>
          </w:p>
        </w:tc>
      </w:tr>
      <w:tr w:rsidR="00D630C4" w14:paraId="5760CD41"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B76C0E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19 </w:t>
            </w:r>
          </w:p>
        </w:tc>
        <w:tc>
          <w:tcPr>
            <w:tcW w:w="1800" w:type="dxa"/>
            <w:tcBorders>
              <w:top w:val="single" w:sz="4" w:space="0" w:color="000000"/>
              <w:left w:val="single" w:sz="4" w:space="0" w:color="000000"/>
              <w:bottom w:val="single" w:sz="4" w:space="0" w:color="000000"/>
              <w:right w:val="single" w:sz="4" w:space="0" w:color="000000"/>
            </w:tcBorders>
            <w:vAlign w:val="center"/>
          </w:tcPr>
          <w:p w14:paraId="65D2F3D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8E2945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坏账准备</w:t>
            </w:r>
          </w:p>
        </w:tc>
      </w:tr>
      <w:tr w:rsidR="00D630C4" w14:paraId="331B0E41"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7AF0AA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20 </w:t>
            </w:r>
          </w:p>
        </w:tc>
        <w:tc>
          <w:tcPr>
            <w:tcW w:w="1800" w:type="dxa"/>
            <w:tcBorders>
              <w:top w:val="single" w:sz="4" w:space="0" w:color="000000"/>
              <w:left w:val="single" w:sz="4" w:space="0" w:color="000000"/>
              <w:bottom w:val="single" w:sz="4" w:space="0" w:color="000000"/>
              <w:right w:val="single" w:sz="4" w:space="0" w:color="000000"/>
            </w:tcBorders>
            <w:vAlign w:val="center"/>
          </w:tcPr>
          <w:p w14:paraId="5139ADC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2CCC425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贴现资产</w:t>
            </w:r>
          </w:p>
        </w:tc>
      </w:tr>
      <w:tr w:rsidR="00D630C4" w14:paraId="2BA94FD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FFEA1F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21 </w:t>
            </w:r>
          </w:p>
        </w:tc>
        <w:tc>
          <w:tcPr>
            <w:tcW w:w="1800" w:type="dxa"/>
            <w:tcBorders>
              <w:top w:val="single" w:sz="4" w:space="0" w:color="000000"/>
              <w:left w:val="single" w:sz="4" w:space="0" w:color="000000"/>
              <w:bottom w:val="single" w:sz="4" w:space="0" w:color="000000"/>
              <w:right w:val="single" w:sz="4" w:space="0" w:color="000000"/>
            </w:tcBorders>
            <w:vAlign w:val="center"/>
          </w:tcPr>
          <w:p w14:paraId="5699409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505017AE"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拆出资金</w:t>
            </w:r>
          </w:p>
        </w:tc>
      </w:tr>
      <w:tr w:rsidR="00D630C4" w14:paraId="52FCDAB0"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968DEF3"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22 </w:t>
            </w:r>
          </w:p>
        </w:tc>
        <w:tc>
          <w:tcPr>
            <w:tcW w:w="1800" w:type="dxa"/>
            <w:tcBorders>
              <w:top w:val="single" w:sz="4" w:space="0" w:color="000000"/>
              <w:left w:val="single" w:sz="4" w:space="0" w:color="000000"/>
              <w:bottom w:val="single" w:sz="4" w:space="0" w:color="000000"/>
              <w:right w:val="single" w:sz="4" w:space="0" w:color="000000"/>
            </w:tcBorders>
            <w:vAlign w:val="center"/>
          </w:tcPr>
          <w:p w14:paraId="673DBCB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467D60F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贷款</w:t>
            </w:r>
          </w:p>
        </w:tc>
      </w:tr>
      <w:tr w:rsidR="00D630C4" w14:paraId="3D8E6793"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95E634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23 </w:t>
            </w:r>
          </w:p>
        </w:tc>
        <w:tc>
          <w:tcPr>
            <w:tcW w:w="1800" w:type="dxa"/>
            <w:tcBorders>
              <w:top w:val="single" w:sz="4" w:space="0" w:color="000000"/>
              <w:left w:val="single" w:sz="4" w:space="0" w:color="000000"/>
              <w:bottom w:val="single" w:sz="4" w:space="0" w:color="000000"/>
              <w:right w:val="single" w:sz="4" w:space="0" w:color="000000"/>
            </w:tcBorders>
            <w:vAlign w:val="center"/>
          </w:tcPr>
          <w:p w14:paraId="4514B194"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1304 </w:t>
            </w:r>
          </w:p>
        </w:tc>
        <w:tc>
          <w:tcPr>
            <w:tcW w:w="4862" w:type="dxa"/>
            <w:tcBorders>
              <w:top w:val="single" w:sz="4" w:space="0" w:color="000000"/>
              <w:left w:val="single" w:sz="4" w:space="0" w:color="000000"/>
              <w:bottom w:val="single" w:sz="4" w:space="0" w:color="000000"/>
              <w:right w:val="single" w:sz="4" w:space="0" w:color="000000"/>
            </w:tcBorders>
            <w:vAlign w:val="center"/>
          </w:tcPr>
          <w:p w14:paraId="45ED597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贷款损失准备</w:t>
            </w:r>
          </w:p>
        </w:tc>
      </w:tr>
      <w:tr w:rsidR="00D630C4" w14:paraId="2286196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1B284C78"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24 </w:t>
            </w:r>
          </w:p>
        </w:tc>
        <w:tc>
          <w:tcPr>
            <w:tcW w:w="1800" w:type="dxa"/>
            <w:tcBorders>
              <w:top w:val="single" w:sz="4" w:space="0" w:color="000000"/>
              <w:left w:val="single" w:sz="4" w:space="0" w:color="000000"/>
              <w:bottom w:val="single" w:sz="4" w:space="0" w:color="000000"/>
              <w:right w:val="single" w:sz="4" w:space="0" w:color="000000"/>
            </w:tcBorders>
            <w:vAlign w:val="center"/>
          </w:tcPr>
          <w:p w14:paraId="740A57C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BD76D3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代理兑付证券</w:t>
            </w:r>
          </w:p>
        </w:tc>
      </w:tr>
      <w:tr w:rsidR="00D630C4" w14:paraId="71F49743"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D8A056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25 </w:t>
            </w:r>
          </w:p>
        </w:tc>
        <w:tc>
          <w:tcPr>
            <w:tcW w:w="1800" w:type="dxa"/>
            <w:tcBorders>
              <w:top w:val="single" w:sz="4" w:space="0" w:color="000000"/>
              <w:left w:val="single" w:sz="4" w:space="0" w:color="000000"/>
              <w:bottom w:val="single" w:sz="4" w:space="0" w:color="000000"/>
              <w:right w:val="single" w:sz="4" w:space="0" w:color="000000"/>
            </w:tcBorders>
            <w:vAlign w:val="center"/>
          </w:tcPr>
          <w:p w14:paraId="02FEDB2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6291AC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代理业务资产</w:t>
            </w:r>
          </w:p>
        </w:tc>
      </w:tr>
      <w:tr w:rsidR="00D630C4" w14:paraId="1BEDECA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F5BCFC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26 </w:t>
            </w:r>
          </w:p>
        </w:tc>
        <w:tc>
          <w:tcPr>
            <w:tcW w:w="1800" w:type="dxa"/>
            <w:tcBorders>
              <w:top w:val="single" w:sz="4" w:space="0" w:color="000000"/>
              <w:left w:val="single" w:sz="4" w:space="0" w:color="000000"/>
              <w:bottom w:val="single" w:sz="4" w:space="0" w:color="000000"/>
              <w:right w:val="single" w:sz="4" w:space="0" w:color="000000"/>
            </w:tcBorders>
            <w:vAlign w:val="center"/>
          </w:tcPr>
          <w:p w14:paraId="103FE0B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D9D706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材料采购</w:t>
            </w:r>
          </w:p>
        </w:tc>
      </w:tr>
      <w:tr w:rsidR="00D630C4" w14:paraId="4FE555CB"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119D407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27 </w:t>
            </w:r>
          </w:p>
        </w:tc>
        <w:tc>
          <w:tcPr>
            <w:tcW w:w="1800" w:type="dxa"/>
            <w:tcBorders>
              <w:top w:val="single" w:sz="4" w:space="0" w:color="000000"/>
              <w:left w:val="single" w:sz="4" w:space="0" w:color="000000"/>
              <w:bottom w:val="single" w:sz="4" w:space="0" w:color="000000"/>
              <w:right w:val="single" w:sz="4" w:space="0" w:color="000000"/>
            </w:tcBorders>
            <w:vAlign w:val="center"/>
          </w:tcPr>
          <w:p w14:paraId="58BE5DE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1A2671B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在途物资</w:t>
            </w:r>
          </w:p>
        </w:tc>
      </w:tr>
      <w:tr w:rsidR="00D630C4" w14:paraId="3D0F15D2"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C191E32"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28 </w:t>
            </w:r>
          </w:p>
        </w:tc>
        <w:tc>
          <w:tcPr>
            <w:tcW w:w="1800" w:type="dxa"/>
            <w:tcBorders>
              <w:top w:val="single" w:sz="4" w:space="0" w:color="000000"/>
              <w:left w:val="single" w:sz="4" w:space="0" w:color="000000"/>
              <w:bottom w:val="single" w:sz="4" w:space="0" w:color="000000"/>
              <w:right w:val="single" w:sz="4" w:space="0" w:color="000000"/>
            </w:tcBorders>
            <w:vAlign w:val="center"/>
          </w:tcPr>
          <w:p w14:paraId="5AA828A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002C42E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原材料</w:t>
            </w:r>
          </w:p>
        </w:tc>
      </w:tr>
      <w:tr w:rsidR="00D630C4" w14:paraId="69DC6554"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6C4EFD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29 </w:t>
            </w:r>
          </w:p>
        </w:tc>
        <w:tc>
          <w:tcPr>
            <w:tcW w:w="1800" w:type="dxa"/>
            <w:tcBorders>
              <w:top w:val="single" w:sz="4" w:space="0" w:color="000000"/>
              <w:left w:val="single" w:sz="4" w:space="0" w:color="000000"/>
              <w:bottom w:val="single" w:sz="4" w:space="0" w:color="000000"/>
              <w:right w:val="single" w:sz="4" w:space="0" w:color="000000"/>
            </w:tcBorders>
            <w:vAlign w:val="center"/>
          </w:tcPr>
          <w:p w14:paraId="4C319EB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1404 </w:t>
            </w:r>
          </w:p>
        </w:tc>
        <w:tc>
          <w:tcPr>
            <w:tcW w:w="4862" w:type="dxa"/>
            <w:tcBorders>
              <w:top w:val="single" w:sz="4" w:space="0" w:color="000000"/>
              <w:left w:val="single" w:sz="4" w:space="0" w:color="000000"/>
              <w:bottom w:val="single" w:sz="4" w:space="0" w:color="000000"/>
              <w:right w:val="single" w:sz="4" w:space="0" w:color="000000"/>
            </w:tcBorders>
            <w:vAlign w:val="center"/>
          </w:tcPr>
          <w:p w14:paraId="26A382C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材料成本差异</w:t>
            </w:r>
          </w:p>
        </w:tc>
      </w:tr>
      <w:tr w:rsidR="00D630C4" w14:paraId="717DB339"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728365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30 </w:t>
            </w:r>
          </w:p>
        </w:tc>
        <w:tc>
          <w:tcPr>
            <w:tcW w:w="1800" w:type="dxa"/>
            <w:tcBorders>
              <w:top w:val="single" w:sz="4" w:space="0" w:color="000000"/>
              <w:left w:val="single" w:sz="4" w:space="0" w:color="000000"/>
              <w:bottom w:val="single" w:sz="4" w:space="0" w:color="000000"/>
              <w:right w:val="single" w:sz="4" w:space="0" w:color="000000"/>
            </w:tcBorders>
            <w:vAlign w:val="center"/>
          </w:tcPr>
          <w:p w14:paraId="6CB94D84"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1405 </w:t>
            </w:r>
          </w:p>
        </w:tc>
        <w:tc>
          <w:tcPr>
            <w:tcW w:w="4862" w:type="dxa"/>
            <w:tcBorders>
              <w:top w:val="single" w:sz="4" w:space="0" w:color="000000"/>
              <w:left w:val="single" w:sz="4" w:space="0" w:color="000000"/>
              <w:bottom w:val="single" w:sz="4" w:space="0" w:color="000000"/>
              <w:right w:val="single" w:sz="4" w:space="0" w:color="000000"/>
            </w:tcBorders>
            <w:vAlign w:val="center"/>
          </w:tcPr>
          <w:p w14:paraId="1BDFBDB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库存商品</w:t>
            </w:r>
          </w:p>
        </w:tc>
      </w:tr>
      <w:tr w:rsidR="00D630C4" w14:paraId="72CED894"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7E51962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31 </w:t>
            </w:r>
          </w:p>
        </w:tc>
        <w:tc>
          <w:tcPr>
            <w:tcW w:w="1800" w:type="dxa"/>
            <w:tcBorders>
              <w:top w:val="single" w:sz="4" w:space="0" w:color="000000"/>
              <w:left w:val="single" w:sz="4" w:space="0" w:color="000000"/>
              <w:bottom w:val="single" w:sz="4" w:space="0" w:color="000000"/>
              <w:right w:val="single" w:sz="4" w:space="0" w:color="000000"/>
            </w:tcBorders>
            <w:vAlign w:val="center"/>
          </w:tcPr>
          <w:p w14:paraId="1AFB41F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1406 </w:t>
            </w:r>
          </w:p>
        </w:tc>
        <w:tc>
          <w:tcPr>
            <w:tcW w:w="4862" w:type="dxa"/>
            <w:tcBorders>
              <w:top w:val="single" w:sz="4" w:space="0" w:color="000000"/>
              <w:left w:val="single" w:sz="4" w:space="0" w:color="000000"/>
              <w:bottom w:val="single" w:sz="4" w:space="0" w:color="000000"/>
              <w:right w:val="single" w:sz="4" w:space="0" w:color="000000"/>
            </w:tcBorders>
            <w:vAlign w:val="center"/>
          </w:tcPr>
          <w:p w14:paraId="341DB5A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发出商品</w:t>
            </w:r>
          </w:p>
        </w:tc>
      </w:tr>
      <w:tr w:rsidR="00D630C4" w14:paraId="155239F0"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4578AD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32 </w:t>
            </w:r>
          </w:p>
        </w:tc>
        <w:tc>
          <w:tcPr>
            <w:tcW w:w="1800" w:type="dxa"/>
            <w:tcBorders>
              <w:top w:val="single" w:sz="4" w:space="0" w:color="000000"/>
              <w:left w:val="single" w:sz="4" w:space="0" w:color="000000"/>
              <w:bottom w:val="single" w:sz="4" w:space="0" w:color="000000"/>
              <w:right w:val="single" w:sz="4" w:space="0" w:color="000000"/>
            </w:tcBorders>
            <w:vAlign w:val="center"/>
          </w:tcPr>
          <w:p w14:paraId="2D765BA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1407 </w:t>
            </w:r>
          </w:p>
        </w:tc>
        <w:tc>
          <w:tcPr>
            <w:tcW w:w="4862" w:type="dxa"/>
            <w:tcBorders>
              <w:top w:val="single" w:sz="4" w:space="0" w:color="000000"/>
              <w:left w:val="single" w:sz="4" w:space="0" w:color="000000"/>
              <w:bottom w:val="single" w:sz="4" w:space="0" w:color="000000"/>
              <w:right w:val="single" w:sz="4" w:space="0" w:color="000000"/>
            </w:tcBorders>
            <w:vAlign w:val="center"/>
          </w:tcPr>
          <w:p w14:paraId="30A7180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商品进销差价</w:t>
            </w:r>
          </w:p>
        </w:tc>
      </w:tr>
      <w:tr w:rsidR="00D630C4" w14:paraId="4C428CBD"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E855AC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33 </w:t>
            </w:r>
          </w:p>
        </w:tc>
        <w:tc>
          <w:tcPr>
            <w:tcW w:w="1800" w:type="dxa"/>
            <w:tcBorders>
              <w:top w:val="single" w:sz="4" w:space="0" w:color="000000"/>
              <w:left w:val="single" w:sz="4" w:space="0" w:color="000000"/>
              <w:bottom w:val="single" w:sz="4" w:space="0" w:color="000000"/>
              <w:right w:val="single" w:sz="4" w:space="0" w:color="000000"/>
            </w:tcBorders>
            <w:vAlign w:val="center"/>
          </w:tcPr>
          <w:p w14:paraId="2CF8F6D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1408 </w:t>
            </w:r>
          </w:p>
        </w:tc>
        <w:tc>
          <w:tcPr>
            <w:tcW w:w="4862" w:type="dxa"/>
            <w:tcBorders>
              <w:top w:val="single" w:sz="4" w:space="0" w:color="000000"/>
              <w:left w:val="single" w:sz="4" w:space="0" w:color="000000"/>
              <w:bottom w:val="single" w:sz="4" w:space="0" w:color="000000"/>
              <w:right w:val="single" w:sz="4" w:space="0" w:color="000000"/>
            </w:tcBorders>
            <w:vAlign w:val="center"/>
          </w:tcPr>
          <w:p w14:paraId="6622487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委托加工物资</w:t>
            </w:r>
          </w:p>
        </w:tc>
      </w:tr>
      <w:tr w:rsidR="00D630C4" w14:paraId="336B945A"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01E1F81"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34 </w:t>
            </w:r>
          </w:p>
        </w:tc>
        <w:tc>
          <w:tcPr>
            <w:tcW w:w="1800" w:type="dxa"/>
            <w:tcBorders>
              <w:top w:val="single" w:sz="4" w:space="0" w:color="000000"/>
              <w:left w:val="single" w:sz="4" w:space="0" w:color="000000"/>
              <w:bottom w:val="single" w:sz="4" w:space="0" w:color="000000"/>
              <w:right w:val="single" w:sz="4" w:space="0" w:color="000000"/>
            </w:tcBorders>
            <w:vAlign w:val="center"/>
          </w:tcPr>
          <w:p w14:paraId="0EAB607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FA0B5CE"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周转材料</w:t>
            </w:r>
          </w:p>
        </w:tc>
      </w:tr>
      <w:tr w:rsidR="00D630C4" w14:paraId="54D2BF4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127057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35 </w:t>
            </w:r>
          </w:p>
        </w:tc>
        <w:tc>
          <w:tcPr>
            <w:tcW w:w="1800" w:type="dxa"/>
            <w:tcBorders>
              <w:top w:val="single" w:sz="4" w:space="0" w:color="000000"/>
              <w:left w:val="single" w:sz="4" w:space="0" w:color="000000"/>
              <w:bottom w:val="single" w:sz="4" w:space="0" w:color="000000"/>
              <w:right w:val="single" w:sz="4" w:space="0" w:color="000000"/>
            </w:tcBorders>
            <w:vAlign w:val="center"/>
          </w:tcPr>
          <w:p w14:paraId="110A0FC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A0C4C2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消耗性生物资产</w:t>
            </w:r>
          </w:p>
        </w:tc>
      </w:tr>
      <w:tr w:rsidR="00D630C4" w14:paraId="14A0D241"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3401B0D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36 </w:t>
            </w:r>
          </w:p>
        </w:tc>
        <w:tc>
          <w:tcPr>
            <w:tcW w:w="1800" w:type="dxa"/>
            <w:tcBorders>
              <w:top w:val="single" w:sz="4" w:space="0" w:color="000000"/>
              <w:left w:val="single" w:sz="4" w:space="0" w:color="000000"/>
              <w:bottom w:val="single" w:sz="4" w:space="0" w:color="000000"/>
              <w:right w:val="single" w:sz="4" w:space="0" w:color="000000"/>
            </w:tcBorders>
            <w:vAlign w:val="center"/>
          </w:tcPr>
          <w:p w14:paraId="3FEAB12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299A043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贵金属</w:t>
            </w:r>
          </w:p>
        </w:tc>
      </w:tr>
      <w:tr w:rsidR="00D630C4" w14:paraId="7981A1DE"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8AECF6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37 </w:t>
            </w:r>
          </w:p>
        </w:tc>
        <w:tc>
          <w:tcPr>
            <w:tcW w:w="1800" w:type="dxa"/>
            <w:tcBorders>
              <w:top w:val="single" w:sz="4" w:space="0" w:color="000000"/>
              <w:left w:val="single" w:sz="4" w:space="0" w:color="000000"/>
              <w:bottom w:val="single" w:sz="4" w:space="0" w:color="000000"/>
              <w:right w:val="single" w:sz="4" w:space="0" w:color="000000"/>
            </w:tcBorders>
            <w:vAlign w:val="center"/>
          </w:tcPr>
          <w:p w14:paraId="65572FF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1441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CD8856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抵债资产</w:t>
            </w:r>
          </w:p>
        </w:tc>
      </w:tr>
      <w:tr w:rsidR="00D630C4" w14:paraId="12C93A20"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D2BB45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38 </w:t>
            </w:r>
          </w:p>
        </w:tc>
        <w:tc>
          <w:tcPr>
            <w:tcW w:w="1800" w:type="dxa"/>
            <w:tcBorders>
              <w:top w:val="single" w:sz="4" w:space="0" w:color="000000"/>
              <w:left w:val="single" w:sz="4" w:space="0" w:color="000000"/>
              <w:bottom w:val="single" w:sz="4" w:space="0" w:color="000000"/>
              <w:right w:val="single" w:sz="4" w:space="0" w:color="000000"/>
            </w:tcBorders>
            <w:vAlign w:val="center"/>
          </w:tcPr>
          <w:p w14:paraId="10B3313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1451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5741EA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损余物资</w:t>
            </w:r>
          </w:p>
        </w:tc>
      </w:tr>
      <w:tr w:rsidR="00D630C4" w14:paraId="72CEC730"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CC7935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39 </w:t>
            </w:r>
          </w:p>
        </w:tc>
        <w:tc>
          <w:tcPr>
            <w:tcW w:w="1800" w:type="dxa"/>
            <w:tcBorders>
              <w:top w:val="single" w:sz="4" w:space="0" w:color="000000"/>
              <w:left w:val="single" w:sz="4" w:space="0" w:color="000000"/>
              <w:bottom w:val="single" w:sz="4" w:space="0" w:color="000000"/>
              <w:right w:val="single" w:sz="4" w:space="0" w:color="000000"/>
            </w:tcBorders>
            <w:vAlign w:val="center"/>
          </w:tcPr>
          <w:p w14:paraId="1F6CA03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1461 </w:t>
            </w:r>
          </w:p>
        </w:tc>
        <w:tc>
          <w:tcPr>
            <w:tcW w:w="4862" w:type="dxa"/>
            <w:tcBorders>
              <w:top w:val="single" w:sz="4" w:space="0" w:color="000000"/>
              <w:left w:val="single" w:sz="4" w:space="0" w:color="000000"/>
              <w:bottom w:val="single" w:sz="4" w:space="0" w:color="000000"/>
              <w:right w:val="single" w:sz="4" w:space="0" w:color="000000"/>
            </w:tcBorders>
            <w:vAlign w:val="center"/>
          </w:tcPr>
          <w:p w14:paraId="254C150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融资租赁资产</w:t>
            </w:r>
          </w:p>
        </w:tc>
      </w:tr>
      <w:tr w:rsidR="00D630C4" w14:paraId="2D32DF20"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1BC780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40 </w:t>
            </w:r>
          </w:p>
        </w:tc>
        <w:tc>
          <w:tcPr>
            <w:tcW w:w="1800" w:type="dxa"/>
            <w:tcBorders>
              <w:top w:val="single" w:sz="4" w:space="0" w:color="000000"/>
              <w:left w:val="single" w:sz="4" w:space="0" w:color="000000"/>
              <w:bottom w:val="single" w:sz="4" w:space="0" w:color="000000"/>
              <w:right w:val="single" w:sz="4" w:space="0" w:color="000000"/>
            </w:tcBorders>
            <w:vAlign w:val="center"/>
          </w:tcPr>
          <w:p w14:paraId="3654395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1471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828B84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存货跌价准备</w:t>
            </w:r>
          </w:p>
        </w:tc>
      </w:tr>
      <w:tr w:rsidR="00D630C4" w14:paraId="7F082822"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3A6AC3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41 </w:t>
            </w:r>
          </w:p>
        </w:tc>
        <w:tc>
          <w:tcPr>
            <w:tcW w:w="1800" w:type="dxa"/>
            <w:tcBorders>
              <w:top w:val="single" w:sz="4" w:space="0" w:color="000000"/>
              <w:left w:val="single" w:sz="4" w:space="0" w:color="000000"/>
              <w:bottom w:val="single" w:sz="4" w:space="0" w:color="000000"/>
              <w:right w:val="single" w:sz="4" w:space="0" w:color="000000"/>
            </w:tcBorders>
            <w:vAlign w:val="center"/>
          </w:tcPr>
          <w:p w14:paraId="7C29686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B985BD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持有至到期投资</w:t>
            </w:r>
          </w:p>
        </w:tc>
      </w:tr>
      <w:tr w:rsidR="00D630C4" w14:paraId="3B59095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76F8A92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42 </w:t>
            </w:r>
          </w:p>
        </w:tc>
        <w:tc>
          <w:tcPr>
            <w:tcW w:w="1800" w:type="dxa"/>
            <w:tcBorders>
              <w:top w:val="single" w:sz="4" w:space="0" w:color="000000"/>
              <w:left w:val="single" w:sz="4" w:space="0" w:color="000000"/>
              <w:bottom w:val="single" w:sz="4" w:space="0" w:color="000000"/>
              <w:right w:val="single" w:sz="4" w:space="0" w:color="000000"/>
            </w:tcBorders>
            <w:vAlign w:val="center"/>
          </w:tcPr>
          <w:p w14:paraId="3C7ECA8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72CC39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持有至到期投资减值准备</w:t>
            </w:r>
          </w:p>
        </w:tc>
      </w:tr>
      <w:tr w:rsidR="00D630C4" w14:paraId="517B9C6D" w14:textId="77777777" w:rsidTr="00052D3C">
        <w:trPr>
          <w:trHeight w:val="308"/>
        </w:trPr>
        <w:tc>
          <w:tcPr>
            <w:tcW w:w="1643" w:type="dxa"/>
            <w:tcBorders>
              <w:top w:val="single" w:sz="4" w:space="0" w:color="000000"/>
              <w:bottom w:val="single" w:sz="4" w:space="0" w:color="000000"/>
              <w:right w:val="single" w:sz="4" w:space="0" w:color="000000"/>
            </w:tcBorders>
            <w:vAlign w:val="center"/>
          </w:tcPr>
          <w:p w14:paraId="61C84E5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43 </w:t>
            </w:r>
          </w:p>
        </w:tc>
        <w:tc>
          <w:tcPr>
            <w:tcW w:w="1800" w:type="dxa"/>
            <w:tcBorders>
              <w:top w:val="single" w:sz="4" w:space="0" w:color="000000"/>
              <w:left w:val="single" w:sz="4" w:space="0" w:color="000000"/>
              <w:bottom w:val="single" w:sz="4" w:space="0" w:color="000000"/>
              <w:right w:val="single" w:sz="4" w:space="0" w:color="000000"/>
            </w:tcBorders>
            <w:vAlign w:val="center"/>
          </w:tcPr>
          <w:p w14:paraId="5C72EDA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4013C50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可供出售金融资产</w:t>
            </w:r>
          </w:p>
        </w:tc>
      </w:tr>
      <w:tr w:rsidR="00D630C4" w14:paraId="7BD277EB"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E2CE27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44 </w:t>
            </w:r>
          </w:p>
        </w:tc>
        <w:tc>
          <w:tcPr>
            <w:tcW w:w="1800" w:type="dxa"/>
            <w:tcBorders>
              <w:top w:val="single" w:sz="4" w:space="0" w:color="000000"/>
              <w:left w:val="single" w:sz="4" w:space="0" w:color="000000"/>
              <w:bottom w:val="single" w:sz="4" w:space="0" w:color="000000"/>
              <w:right w:val="single" w:sz="4" w:space="0" w:color="000000"/>
            </w:tcBorders>
            <w:vAlign w:val="center"/>
          </w:tcPr>
          <w:p w14:paraId="6AF95D3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B79698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长期股权投资</w:t>
            </w:r>
          </w:p>
        </w:tc>
      </w:tr>
      <w:tr w:rsidR="00D630C4" w14:paraId="0B4ACDD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44F79C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45 </w:t>
            </w:r>
          </w:p>
        </w:tc>
        <w:tc>
          <w:tcPr>
            <w:tcW w:w="1800" w:type="dxa"/>
            <w:tcBorders>
              <w:top w:val="single" w:sz="4" w:space="0" w:color="000000"/>
              <w:left w:val="single" w:sz="4" w:space="0" w:color="000000"/>
              <w:bottom w:val="single" w:sz="4" w:space="0" w:color="000000"/>
              <w:right w:val="single" w:sz="4" w:space="0" w:color="000000"/>
            </w:tcBorders>
            <w:vAlign w:val="center"/>
          </w:tcPr>
          <w:p w14:paraId="07FF36B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1512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4E39EA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长期股权投资减值准备</w:t>
            </w:r>
          </w:p>
        </w:tc>
      </w:tr>
      <w:tr w:rsidR="00D630C4" w14:paraId="3E45893D"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FC7115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46 </w:t>
            </w:r>
          </w:p>
        </w:tc>
        <w:tc>
          <w:tcPr>
            <w:tcW w:w="1800" w:type="dxa"/>
            <w:tcBorders>
              <w:top w:val="single" w:sz="4" w:space="0" w:color="000000"/>
              <w:left w:val="single" w:sz="4" w:space="0" w:color="000000"/>
              <w:bottom w:val="single" w:sz="4" w:space="0" w:color="000000"/>
              <w:right w:val="single" w:sz="4" w:space="0" w:color="000000"/>
            </w:tcBorders>
            <w:vAlign w:val="center"/>
          </w:tcPr>
          <w:p w14:paraId="22F0E97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F39FA5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投资性房地产</w:t>
            </w:r>
          </w:p>
        </w:tc>
      </w:tr>
      <w:tr w:rsidR="00D630C4" w14:paraId="53CDF30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CAEB46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47 </w:t>
            </w:r>
          </w:p>
        </w:tc>
        <w:tc>
          <w:tcPr>
            <w:tcW w:w="1800" w:type="dxa"/>
            <w:tcBorders>
              <w:top w:val="single" w:sz="4" w:space="0" w:color="000000"/>
              <w:left w:val="single" w:sz="4" w:space="0" w:color="000000"/>
              <w:bottom w:val="single" w:sz="4" w:space="0" w:color="000000"/>
              <w:right w:val="single" w:sz="4" w:space="0" w:color="000000"/>
            </w:tcBorders>
            <w:vAlign w:val="center"/>
          </w:tcPr>
          <w:p w14:paraId="254B21E4"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E5FFF3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长期应收款</w:t>
            </w:r>
          </w:p>
        </w:tc>
      </w:tr>
      <w:tr w:rsidR="00D630C4" w14:paraId="25827467"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EF274B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48 </w:t>
            </w:r>
          </w:p>
        </w:tc>
        <w:tc>
          <w:tcPr>
            <w:tcW w:w="1800" w:type="dxa"/>
            <w:tcBorders>
              <w:top w:val="single" w:sz="4" w:space="0" w:color="000000"/>
              <w:left w:val="single" w:sz="4" w:space="0" w:color="000000"/>
              <w:bottom w:val="single" w:sz="4" w:space="0" w:color="000000"/>
              <w:right w:val="single" w:sz="4" w:space="0" w:color="000000"/>
            </w:tcBorders>
            <w:vAlign w:val="center"/>
          </w:tcPr>
          <w:p w14:paraId="5675853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1532 </w:t>
            </w:r>
          </w:p>
        </w:tc>
        <w:tc>
          <w:tcPr>
            <w:tcW w:w="4862" w:type="dxa"/>
            <w:tcBorders>
              <w:top w:val="single" w:sz="4" w:space="0" w:color="000000"/>
              <w:left w:val="single" w:sz="4" w:space="0" w:color="000000"/>
              <w:bottom w:val="single" w:sz="4" w:space="0" w:color="000000"/>
              <w:right w:val="single" w:sz="4" w:space="0" w:color="000000"/>
            </w:tcBorders>
            <w:vAlign w:val="center"/>
          </w:tcPr>
          <w:p w14:paraId="7585B52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未实现融资收益</w:t>
            </w:r>
          </w:p>
        </w:tc>
      </w:tr>
      <w:tr w:rsidR="00D630C4" w14:paraId="3D8CA1C3"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8B85CE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49 </w:t>
            </w:r>
          </w:p>
        </w:tc>
        <w:tc>
          <w:tcPr>
            <w:tcW w:w="1800" w:type="dxa"/>
            <w:tcBorders>
              <w:top w:val="single" w:sz="4" w:space="0" w:color="000000"/>
              <w:left w:val="single" w:sz="4" w:space="0" w:color="000000"/>
              <w:bottom w:val="single" w:sz="4" w:space="0" w:color="000000"/>
              <w:right w:val="single" w:sz="4" w:space="0" w:color="000000"/>
            </w:tcBorders>
            <w:vAlign w:val="center"/>
          </w:tcPr>
          <w:p w14:paraId="73D1AAD7"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1541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D93E38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存出资本保证金</w:t>
            </w:r>
          </w:p>
        </w:tc>
      </w:tr>
      <w:tr w:rsidR="00D630C4" w14:paraId="191017F4"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7268902"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50 </w:t>
            </w:r>
          </w:p>
        </w:tc>
        <w:tc>
          <w:tcPr>
            <w:tcW w:w="1800" w:type="dxa"/>
            <w:tcBorders>
              <w:top w:val="single" w:sz="4" w:space="0" w:color="000000"/>
              <w:left w:val="single" w:sz="4" w:space="0" w:color="000000"/>
              <w:bottom w:val="single" w:sz="4" w:space="0" w:color="000000"/>
              <w:right w:val="single" w:sz="4" w:space="0" w:color="000000"/>
            </w:tcBorders>
            <w:vAlign w:val="center"/>
          </w:tcPr>
          <w:p w14:paraId="7C630364"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D86023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固定资产</w:t>
            </w:r>
          </w:p>
        </w:tc>
      </w:tr>
      <w:tr w:rsidR="00D630C4" w14:paraId="0649DABB" w14:textId="77777777" w:rsidTr="00052D3C">
        <w:trPr>
          <w:trHeight w:val="338"/>
        </w:trPr>
        <w:tc>
          <w:tcPr>
            <w:tcW w:w="1643" w:type="dxa"/>
            <w:tcBorders>
              <w:top w:val="single" w:sz="4" w:space="0" w:color="000000"/>
              <w:bottom w:val="single" w:sz="4" w:space="0" w:color="000000"/>
              <w:right w:val="single" w:sz="4" w:space="0" w:color="000000"/>
            </w:tcBorders>
            <w:vAlign w:val="center"/>
          </w:tcPr>
          <w:p w14:paraId="1973BDF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51 </w:t>
            </w:r>
          </w:p>
        </w:tc>
        <w:tc>
          <w:tcPr>
            <w:tcW w:w="1800" w:type="dxa"/>
            <w:tcBorders>
              <w:top w:val="single" w:sz="4" w:space="0" w:color="000000"/>
              <w:left w:val="single" w:sz="4" w:space="0" w:color="000000"/>
              <w:bottom w:val="single" w:sz="4" w:space="0" w:color="000000"/>
              <w:right w:val="single" w:sz="4" w:space="0" w:color="000000"/>
            </w:tcBorders>
            <w:vAlign w:val="center"/>
          </w:tcPr>
          <w:p w14:paraId="084C5E4B"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74CA0C6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累计折旧</w:t>
            </w:r>
          </w:p>
        </w:tc>
      </w:tr>
      <w:tr w:rsidR="00D630C4" w14:paraId="48C0C92F"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5A58E43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52 </w:t>
            </w:r>
          </w:p>
        </w:tc>
        <w:tc>
          <w:tcPr>
            <w:tcW w:w="1800" w:type="dxa"/>
            <w:tcBorders>
              <w:top w:val="single" w:sz="4" w:space="0" w:color="000000"/>
              <w:left w:val="single" w:sz="4" w:space="0" w:color="000000"/>
              <w:bottom w:val="single" w:sz="4" w:space="0" w:color="000000"/>
              <w:right w:val="single" w:sz="4" w:space="0" w:color="000000"/>
            </w:tcBorders>
            <w:vAlign w:val="center"/>
          </w:tcPr>
          <w:p w14:paraId="1F37F93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416131D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固定资产减值准备</w:t>
            </w:r>
          </w:p>
        </w:tc>
      </w:tr>
      <w:tr w:rsidR="00D630C4" w14:paraId="13800B67"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6F2FB0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53 </w:t>
            </w:r>
          </w:p>
        </w:tc>
        <w:tc>
          <w:tcPr>
            <w:tcW w:w="1800" w:type="dxa"/>
            <w:tcBorders>
              <w:top w:val="single" w:sz="4" w:space="0" w:color="000000"/>
              <w:left w:val="single" w:sz="4" w:space="0" w:color="000000"/>
              <w:bottom w:val="single" w:sz="4" w:space="0" w:color="000000"/>
              <w:right w:val="single" w:sz="4" w:space="0" w:color="000000"/>
            </w:tcBorders>
            <w:vAlign w:val="center"/>
          </w:tcPr>
          <w:p w14:paraId="5293EA3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1604 </w:t>
            </w:r>
          </w:p>
        </w:tc>
        <w:tc>
          <w:tcPr>
            <w:tcW w:w="4862" w:type="dxa"/>
            <w:tcBorders>
              <w:top w:val="single" w:sz="4" w:space="0" w:color="000000"/>
              <w:left w:val="single" w:sz="4" w:space="0" w:color="000000"/>
              <w:bottom w:val="single" w:sz="4" w:space="0" w:color="000000"/>
              <w:right w:val="single" w:sz="4" w:space="0" w:color="000000"/>
            </w:tcBorders>
            <w:vAlign w:val="center"/>
          </w:tcPr>
          <w:p w14:paraId="0F8C46A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在建工程</w:t>
            </w:r>
          </w:p>
        </w:tc>
      </w:tr>
      <w:tr w:rsidR="00D630C4" w14:paraId="4B029611"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32423CD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54 </w:t>
            </w:r>
          </w:p>
        </w:tc>
        <w:tc>
          <w:tcPr>
            <w:tcW w:w="1800" w:type="dxa"/>
            <w:tcBorders>
              <w:top w:val="single" w:sz="4" w:space="0" w:color="000000"/>
              <w:left w:val="single" w:sz="4" w:space="0" w:color="000000"/>
              <w:bottom w:val="single" w:sz="4" w:space="0" w:color="000000"/>
              <w:right w:val="single" w:sz="4" w:space="0" w:color="000000"/>
            </w:tcBorders>
            <w:vAlign w:val="center"/>
          </w:tcPr>
          <w:p w14:paraId="3225F14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1605 </w:t>
            </w:r>
          </w:p>
        </w:tc>
        <w:tc>
          <w:tcPr>
            <w:tcW w:w="4862" w:type="dxa"/>
            <w:tcBorders>
              <w:top w:val="single" w:sz="4" w:space="0" w:color="000000"/>
              <w:left w:val="single" w:sz="4" w:space="0" w:color="000000"/>
              <w:bottom w:val="single" w:sz="4" w:space="0" w:color="000000"/>
              <w:right w:val="single" w:sz="4" w:space="0" w:color="000000"/>
            </w:tcBorders>
            <w:vAlign w:val="center"/>
          </w:tcPr>
          <w:p w14:paraId="74A7234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工程物资</w:t>
            </w:r>
          </w:p>
        </w:tc>
      </w:tr>
      <w:tr w:rsidR="00D630C4" w14:paraId="0F5DCC96"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D43FA7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55 </w:t>
            </w:r>
          </w:p>
        </w:tc>
        <w:tc>
          <w:tcPr>
            <w:tcW w:w="1800" w:type="dxa"/>
            <w:tcBorders>
              <w:top w:val="single" w:sz="4" w:space="0" w:color="000000"/>
              <w:left w:val="single" w:sz="4" w:space="0" w:color="000000"/>
              <w:bottom w:val="single" w:sz="4" w:space="0" w:color="000000"/>
              <w:right w:val="single" w:sz="4" w:space="0" w:color="000000"/>
            </w:tcBorders>
            <w:vAlign w:val="center"/>
          </w:tcPr>
          <w:p w14:paraId="73ED985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1606 </w:t>
            </w:r>
          </w:p>
        </w:tc>
        <w:tc>
          <w:tcPr>
            <w:tcW w:w="4862" w:type="dxa"/>
            <w:tcBorders>
              <w:top w:val="single" w:sz="4" w:space="0" w:color="000000"/>
              <w:left w:val="single" w:sz="4" w:space="0" w:color="000000"/>
              <w:bottom w:val="single" w:sz="4" w:space="0" w:color="000000"/>
              <w:right w:val="single" w:sz="4" w:space="0" w:color="000000"/>
            </w:tcBorders>
            <w:vAlign w:val="center"/>
          </w:tcPr>
          <w:p w14:paraId="7CF99F3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固定资产清理</w:t>
            </w:r>
          </w:p>
        </w:tc>
      </w:tr>
      <w:tr w:rsidR="00D630C4" w14:paraId="7A2AEA3C"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C7E549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 xml:space="preserve">56 </w:t>
            </w:r>
          </w:p>
        </w:tc>
        <w:tc>
          <w:tcPr>
            <w:tcW w:w="1800" w:type="dxa"/>
            <w:tcBorders>
              <w:top w:val="single" w:sz="4" w:space="0" w:color="000000"/>
              <w:left w:val="single" w:sz="4" w:space="0" w:color="000000"/>
              <w:bottom w:val="single" w:sz="4" w:space="0" w:color="000000"/>
              <w:right w:val="single" w:sz="4" w:space="0" w:color="000000"/>
            </w:tcBorders>
            <w:vAlign w:val="center"/>
          </w:tcPr>
          <w:p w14:paraId="3580AE67"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24AF751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未担保余值</w:t>
            </w:r>
          </w:p>
        </w:tc>
      </w:tr>
      <w:tr w:rsidR="00D630C4" w14:paraId="6E181BB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B68F09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57 </w:t>
            </w:r>
          </w:p>
        </w:tc>
        <w:tc>
          <w:tcPr>
            <w:tcW w:w="1800" w:type="dxa"/>
            <w:tcBorders>
              <w:top w:val="single" w:sz="4" w:space="0" w:color="000000"/>
              <w:left w:val="single" w:sz="4" w:space="0" w:color="000000"/>
              <w:bottom w:val="single" w:sz="4" w:space="0" w:color="000000"/>
              <w:right w:val="single" w:sz="4" w:space="0" w:color="000000"/>
            </w:tcBorders>
            <w:vAlign w:val="center"/>
          </w:tcPr>
          <w:p w14:paraId="63E1AC6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39F374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生产性生物资产</w:t>
            </w:r>
          </w:p>
        </w:tc>
      </w:tr>
      <w:tr w:rsidR="00D630C4" w14:paraId="31919B2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DEC50E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58 </w:t>
            </w:r>
          </w:p>
        </w:tc>
        <w:tc>
          <w:tcPr>
            <w:tcW w:w="1800" w:type="dxa"/>
            <w:tcBorders>
              <w:top w:val="single" w:sz="4" w:space="0" w:color="000000"/>
              <w:left w:val="single" w:sz="4" w:space="0" w:color="000000"/>
              <w:bottom w:val="single" w:sz="4" w:space="0" w:color="000000"/>
              <w:right w:val="single" w:sz="4" w:space="0" w:color="000000"/>
            </w:tcBorders>
            <w:vAlign w:val="center"/>
          </w:tcPr>
          <w:p w14:paraId="5DE7F5C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1622 </w:t>
            </w:r>
          </w:p>
        </w:tc>
        <w:tc>
          <w:tcPr>
            <w:tcW w:w="4862" w:type="dxa"/>
            <w:tcBorders>
              <w:top w:val="single" w:sz="4" w:space="0" w:color="000000"/>
              <w:left w:val="single" w:sz="4" w:space="0" w:color="000000"/>
              <w:bottom w:val="single" w:sz="4" w:space="0" w:color="000000"/>
              <w:right w:val="single" w:sz="4" w:space="0" w:color="000000"/>
            </w:tcBorders>
            <w:vAlign w:val="center"/>
          </w:tcPr>
          <w:p w14:paraId="26CD6B1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生产性生物资产累计折旧</w:t>
            </w:r>
          </w:p>
        </w:tc>
      </w:tr>
      <w:tr w:rsidR="00D630C4" w14:paraId="53B9BD7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9FB276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59 </w:t>
            </w:r>
          </w:p>
        </w:tc>
        <w:tc>
          <w:tcPr>
            <w:tcW w:w="1800" w:type="dxa"/>
            <w:tcBorders>
              <w:top w:val="single" w:sz="4" w:space="0" w:color="000000"/>
              <w:left w:val="single" w:sz="4" w:space="0" w:color="000000"/>
              <w:bottom w:val="single" w:sz="4" w:space="0" w:color="000000"/>
              <w:right w:val="single" w:sz="4" w:space="0" w:color="000000"/>
            </w:tcBorders>
            <w:vAlign w:val="center"/>
          </w:tcPr>
          <w:p w14:paraId="73235F4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1623 </w:t>
            </w:r>
          </w:p>
        </w:tc>
        <w:tc>
          <w:tcPr>
            <w:tcW w:w="4862" w:type="dxa"/>
            <w:tcBorders>
              <w:top w:val="single" w:sz="4" w:space="0" w:color="000000"/>
              <w:left w:val="single" w:sz="4" w:space="0" w:color="000000"/>
              <w:bottom w:val="single" w:sz="4" w:space="0" w:color="000000"/>
              <w:right w:val="single" w:sz="4" w:space="0" w:color="000000"/>
            </w:tcBorders>
            <w:vAlign w:val="center"/>
          </w:tcPr>
          <w:p w14:paraId="2F0AFDDC"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公益性生物资产</w:t>
            </w:r>
          </w:p>
        </w:tc>
      </w:tr>
      <w:tr w:rsidR="00D630C4" w14:paraId="2598862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7A617D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60 </w:t>
            </w:r>
          </w:p>
        </w:tc>
        <w:tc>
          <w:tcPr>
            <w:tcW w:w="1800" w:type="dxa"/>
            <w:tcBorders>
              <w:top w:val="single" w:sz="4" w:space="0" w:color="000000"/>
              <w:left w:val="single" w:sz="4" w:space="0" w:color="000000"/>
              <w:bottom w:val="single" w:sz="4" w:space="0" w:color="000000"/>
              <w:right w:val="single" w:sz="4" w:space="0" w:color="000000"/>
            </w:tcBorders>
            <w:vAlign w:val="center"/>
          </w:tcPr>
          <w:p w14:paraId="59EE0B0B"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C2A80B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油气资产</w:t>
            </w:r>
          </w:p>
        </w:tc>
      </w:tr>
      <w:tr w:rsidR="00D630C4" w14:paraId="434911C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6760782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61 </w:t>
            </w:r>
          </w:p>
        </w:tc>
        <w:tc>
          <w:tcPr>
            <w:tcW w:w="1800" w:type="dxa"/>
            <w:tcBorders>
              <w:top w:val="single" w:sz="4" w:space="0" w:color="000000"/>
              <w:left w:val="single" w:sz="4" w:space="0" w:color="000000"/>
              <w:bottom w:val="single" w:sz="4" w:space="0" w:color="000000"/>
              <w:right w:val="single" w:sz="4" w:space="0" w:color="000000"/>
            </w:tcBorders>
            <w:vAlign w:val="center"/>
          </w:tcPr>
          <w:p w14:paraId="7AEEBAD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1632 </w:t>
            </w:r>
          </w:p>
        </w:tc>
        <w:tc>
          <w:tcPr>
            <w:tcW w:w="4862" w:type="dxa"/>
            <w:tcBorders>
              <w:top w:val="single" w:sz="4" w:space="0" w:color="000000"/>
              <w:left w:val="single" w:sz="4" w:space="0" w:color="000000"/>
              <w:bottom w:val="single" w:sz="4" w:space="0" w:color="000000"/>
              <w:right w:val="single" w:sz="4" w:space="0" w:color="000000"/>
            </w:tcBorders>
            <w:vAlign w:val="center"/>
          </w:tcPr>
          <w:p w14:paraId="3382FDA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累计折耗</w:t>
            </w:r>
          </w:p>
        </w:tc>
      </w:tr>
      <w:tr w:rsidR="00D630C4" w14:paraId="64564B0D"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653C0F01"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62 </w:t>
            </w:r>
          </w:p>
        </w:tc>
        <w:tc>
          <w:tcPr>
            <w:tcW w:w="1800" w:type="dxa"/>
            <w:tcBorders>
              <w:top w:val="single" w:sz="4" w:space="0" w:color="000000"/>
              <w:left w:val="single" w:sz="4" w:space="0" w:color="000000"/>
              <w:bottom w:val="single" w:sz="4" w:space="0" w:color="000000"/>
              <w:right w:val="single" w:sz="4" w:space="0" w:color="000000"/>
            </w:tcBorders>
            <w:vAlign w:val="center"/>
          </w:tcPr>
          <w:p w14:paraId="4C18820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1701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34189F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无形资产</w:t>
            </w:r>
          </w:p>
        </w:tc>
      </w:tr>
      <w:tr w:rsidR="00D630C4" w14:paraId="73E126E7"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5D8A23C3"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63 </w:t>
            </w:r>
          </w:p>
        </w:tc>
        <w:tc>
          <w:tcPr>
            <w:tcW w:w="1800" w:type="dxa"/>
            <w:tcBorders>
              <w:top w:val="single" w:sz="4" w:space="0" w:color="000000"/>
              <w:left w:val="single" w:sz="4" w:space="0" w:color="000000"/>
              <w:bottom w:val="single" w:sz="4" w:space="0" w:color="000000"/>
              <w:right w:val="single" w:sz="4" w:space="0" w:color="000000"/>
            </w:tcBorders>
            <w:vAlign w:val="center"/>
          </w:tcPr>
          <w:p w14:paraId="178ADB37"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1702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45088B9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累计摊销</w:t>
            </w:r>
          </w:p>
        </w:tc>
      </w:tr>
      <w:tr w:rsidR="00D630C4" w14:paraId="0928922A"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1F9E6B73"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64 </w:t>
            </w:r>
          </w:p>
        </w:tc>
        <w:tc>
          <w:tcPr>
            <w:tcW w:w="1800" w:type="dxa"/>
            <w:tcBorders>
              <w:top w:val="single" w:sz="4" w:space="0" w:color="000000"/>
              <w:left w:val="single" w:sz="4" w:space="0" w:color="000000"/>
              <w:bottom w:val="single" w:sz="4" w:space="0" w:color="000000"/>
              <w:right w:val="single" w:sz="4" w:space="0" w:color="000000"/>
            </w:tcBorders>
            <w:vAlign w:val="center"/>
          </w:tcPr>
          <w:p w14:paraId="1B8CD44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1703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04B75AF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无形资产减值准备</w:t>
            </w:r>
          </w:p>
        </w:tc>
      </w:tr>
      <w:tr w:rsidR="00D630C4" w14:paraId="2E6BE8D2"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47C1B1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65 </w:t>
            </w:r>
          </w:p>
        </w:tc>
        <w:tc>
          <w:tcPr>
            <w:tcW w:w="1800" w:type="dxa"/>
            <w:tcBorders>
              <w:top w:val="single" w:sz="4" w:space="0" w:color="000000"/>
              <w:left w:val="single" w:sz="4" w:space="0" w:color="000000"/>
              <w:bottom w:val="single" w:sz="4" w:space="0" w:color="000000"/>
              <w:right w:val="single" w:sz="4" w:space="0" w:color="000000"/>
            </w:tcBorders>
            <w:vAlign w:val="center"/>
          </w:tcPr>
          <w:p w14:paraId="5828264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1711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7518BC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商誉</w:t>
            </w:r>
          </w:p>
        </w:tc>
      </w:tr>
      <w:tr w:rsidR="00D630C4" w14:paraId="4735A9E5"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CCF9B7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66 </w:t>
            </w:r>
          </w:p>
        </w:tc>
        <w:tc>
          <w:tcPr>
            <w:tcW w:w="1800" w:type="dxa"/>
            <w:tcBorders>
              <w:top w:val="single" w:sz="4" w:space="0" w:color="000000"/>
              <w:left w:val="single" w:sz="4" w:space="0" w:color="000000"/>
              <w:bottom w:val="single" w:sz="4" w:space="0" w:color="000000"/>
              <w:right w:val="single" w:sz="4" w:space="0" w:color="000000"/>
            </w:tcBorders>
            <w:vAlign w:val="center"/>
          </w:tcPr>
          <w:p w14:paraId="438C735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1801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E315FD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长期待摊费用</w:t>
            </w:r>
          </w:p>
        </w:tc>
      </w:tr>
      <w:tr w:rsidR="00D630C4" w14:paraId="4EC089E0"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70C38F6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67 </w:t>
            </w:r>
          </w:p>
        </w:tc>
        <w:tc>
          <w:tcPr>
            <w:tcW w:w="1800" w:type="dxa"/>
            <w:tcBorders>
              <w:top w:val="single" w:sz="4" w:space="0" w:color="000000"/>
              <w:left w:val="single" w:sz="4" w:space="0" w:color="000000"/>
              <w:bottom w:val="single" w:sz="4" w:space="0" w:color="000000"/>
              <w:right w:val="single" w:sz="4" w:space="0" w:color="000000"/>
            </w:tcBorders>
            <w:vAlign w:val="center"/>
          </w:tcPr>
          <w:p w14:paraId="1962559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1811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C7B3C2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递延所得税资产</w:t>
            </w:r>
          </w:p>
        </w:tc>
      </w:tr>
      <w:tr w:rsidR="00D630C4" w14:paraId="7E5534E4"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B763635"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68 </w:t>
            </w:r>
          </w:p>
        </w:tc>
        <w:tc>
          <w:tcPr>
            <w:tcW w:w="1800" w:type="dxa"/>
            <w:tcBorders>
              <w:top w:val="single" w:sz="4" w:space="0" w:color="000000"/>
              <w:left w:val="single" w:sz="4" w:space="0" w:color="000000"/>
              <w:bottom w:val="single" w:sz="4" w:space="0" w:color="000000"/>
              <w:right w:val="single" w:sz="4" w:space="0" w:color="000000"/>
            </w:tcBorders>
            <w:vAlign w:val="center"/>
          </w:tcPr>
          <w:p w14:paraId="110A754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1821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9431A4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独立账户资产</w:t>
            </w:r>
          </w:p>
        </w:tc>
      </w:tr>
      <w:tr w:rsidR="00D630C4" w14:paraId="512F8EA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5DB1A1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69 </w:t>
            </w:r>
          </w:p>
        </w:tc>
        <w:tc>
          <w:tcPr>
            <w:tcW w:w="1800" w:type="dxa"/>
            <w:tcBorders>
              <w:top w:val="single" w:sz="4" w:space="0" w:color="000000"/>
              <w:left w:val="single" w:sz="4" w:space="0" w:color="000000"/>
              <w:bottom w:val="single" w:sz="4" w:space="0" w:color="000000"/>
              <w:right w:val="single" w:sz="4" w:space="0" w:color="000000"/>
            </w:tcBorders>
            <w:vAlign w:val="center"/>
          </w:tcPr>
          <w:p w14:paraId="6185E48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1901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89C59D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待处理财产损溢</w:t>
            </w:r>
          </w:p>
        </w:tc>
      </w:tr>
      <w:tr w:rsidR="00D630C4" w14:paraId="3AB099D6" w14:textId="77777777" w:rsidTr="00052D3C">
        <w:trPr>
          <w:trHeight w:val="325"/>
        </w:trPr>
        <w:tc>
          <w:tcPr>
            <w:tcW w:w="1643" w:type="dxa"/>
            <w:tcBorders>
              <w:top w:val="single" w:sz="4" w:space="0" w:color="000000"/>
              <w:bottom w:val="single" w:sz="4" w:space="0" w:color="000000"/>
              <w:right w:val="single" w:sz="4" w:space="0" w:color="000000"/>
            </w:tcBorders>
          </w:tcPr>
          <w:p w14:paraId="28809F0C" w14:textId="77777777" w:rsidR="00D630C4" w:rsidRDefault="00D630C4" w:rsidP="00052D3C">
            <w:pPr>
              <w:pStyle w:val="Default"/>
              <w:jc w:val="center"/>
              <w:rPr>
                <w:rFonts w:cs="Times New Roman"/>
                <w:color w:val="auto"/>
              </w:rPr>
            </w:pPr>
          </w:p>
        </w:tc>
        <w:tc>
          <w:tcPr>
            <w:tcW w:w="1800" w:type="dxa"/>
            <w:tcBorders>
              <w:top w:val="single" w:sz="4" w:space="0" w:color="000000"/>
              <w:left w:val="single" w:sz="4" w:space="0" w:color="000000"/>
              <w:bottom w:val="single" w:sz="4" w:space="0" w:color="000000"/>
              <w:right w:val="single" w:sz="4" w:space="0" w:color="000000"/>
            </w:tcBorders>
          </w:tcPr>
          <w:p w14:paraId="696244EE" w14:textId="77777777" w:rsidR="00D630C4" w:rsidRDefault="00D630C4" w:rsidP="00052D3C">
            <w:pPr>
              <w:pStyle w:val="Default"/>
              <w:jc w:val="center"/>
              <w:rPr>
                <w:rFonts w:cs="Times New Roman"/>
                <w:color w:val="auto"/>
              </w:rPr>
            </w:pPr>
          </w:p>
        </w:tc>
        <w:tc>
          <w:tcPr>
            <w:tcW w:w="4862" w:type="dxa"/>
            <w:tcBorders>
              <w:top w:val="single" w:sz="4" w:space="0" w:color="000000"/>
              <w:left w:val="single" w:sz="4" w:space="0" w:color="000000"/>
              <w:bottom w:val="single" w:sz="4" w:space="0" w:color="000000"/>
              <w:right w:val="single" w:sz="4" w:space="0" w:color="000000"/>
            </w:tcBorders>
            <w:vAlign w:val="center"/>
          </w:tcPr>
          <w:p w14:paraId="79FB59C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二、负债类</w:t>
            </w:r>
          </w:p>
        </w:tc>
      </w:tr>
      <w:tr w:rsidR="00D630C4" w14:paraId="0778C3AD"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40A7F8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70 </w:t>
            </w:r>
          </w:p>
        </w:tc>
        <w:tc>
          <w:tcPr>
            <w:tcW w:w="1800" w:type="dxa"/>
            <w:tcBorders>
              <w:top w:val="single" w:sz="4" w:space="0" w:color="000000"/>
              <w:left w:val="single" w:sz="4" w:space="0" w:color="000000"/>
              <w:bottom w:val="single" w:sz="4" w:space="0" w:color="000000"/>
              <w:right w:val="single" w:sz="4" w:space="0" w:color="000000"/>
            </w:tcBorders>
            <w:vAlign w:val="center"/>
          </w:tcPr>
          <w:p w14:paraId="41CB679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2001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352B86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短期借款</w:t>
            </w:r>
          </w:p>
        </w:tc>
      </w:tr>
      <w:tr w:rsidR="00D630C4" w14:paraId="191F3FB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EF7742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71 </w:t>
            </w:r>
          </w:p>
        </w:tc>
        <w:tc>
          <w:tcPr>
            <w:tcW w:w="1800" w:type="dxa"/>
            <w:tcBorders>
              <w:top w:val="single" w:sz="4" w:space="0" w:color="000000"/>
              <w:left w:val="single" w:sz="4" w:space="0" w:color="000000"/>
              <w:bottom w:val="single" w:sz="4" w:space="0" w:color="000000"/>
              <w:right w:val="single" w:sz="4" w:space="0" w:color="000000"/>
            </w:tcBorders>
            <w:vAlign w:val="center"/>
          </w:tcPr>
          <w:p w14:paraId="3630C242"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2002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079924A3"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存入保证金</w:t>
            </w:r>
          </w:p>
        </w:tc>
      </w:tr>
      <w:tr w:rsidR="00D630C4" w14:paraId="05FD3573"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EDBC8F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72 </w:t>
            </w:r>
          </w:p>
        </w:tc>
        <w:tc>
          <w:tcPr>
            <w:tcW w:w="1800" w:type="dxa"/>
            <w:tcBorders>
              <w:top w:val="single" w:sz="4" w:space="0" w:color="000000"/>
              <w:left w:val="single" w:sz="4" w:space="0" w:color="000000"/>
              <w:bottom w:val="single" w:sz="4" w:space="0" w:color="000000"/>
              <w:right w:val="single" w:sz="4" w:space="0" w:color="000000"/>
            </w:tcBorders>
            <w:vAlign w:val="center"/>
          </w:tcPr>
          <w:p w14:paraId="30B966C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2003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53A898D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拆入资金</w:t>
            </w:r>
          </w:p>
        </w:tc>
      </w:tr>
      <w:tr w:rsidR="00D630C4" w14:paraId="4D013405"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5DF8241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73 </w:t>
            </w:r>
          </w:p>
        </w:tc>
        <w:tc>
          <w:tcPr>
            <w:tcW w:w="1800" w:type="dxa"/>
            <w:tcBorders>
              <w:top w:val="single" w:sz="4" w:space="0" w:color="000000"/>
              <w:left w:val="single" w:sz="4" w:space="0" w:color="000000"/>
              <w:bottom w:val="single" w:sz="4" w:space="0" w:color="000000"/>
              <w:right w:val="single" w:sz="4" w:space="0" w:color="000000"/>
            </w:tcBorders>
            <w:vAlign w:val="center"/>
          </w:tcPr>
          <w:p w14:paraId="138E543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2004 </w:t>
            </w:r>
          </w:p>
        </w:tc>
        <w:tc>
          <w:tcPr>
            <w:tcW w:w="4862" w:type="dxa"/>
            <w:tcBorders>
              <w:top w:val="single" w:sz="4" w:space="0" w:color="000000"/>
              <w:left w:val="single" w:sz="4" w:space="0" w:color="000000"/>
              <w:bottom w:val="single" w:sz="4" w:space="0" w:color="000000"/>
              <w:right w:val="single" w:sz="4" w:space="0" w:color="000000"/>
            </w:tcBorders>
            <w:vAlign w:val="center"/>
          </w:tcPr>
          <w:p w14:paraId="56426A9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向中央银行借款</w:t>
            </w:r>
          </w:p>
        </w:tc>
      </w:tr>
      <w:tr w:rsidR="00D630C4" w14:paraId="2FC4C432"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23590F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74 </w:t>
            </w:r>
          </w:p>
        </w:tc>
        <w:tc>
          <w:tcPr>
            <w:tcW w:w="1800" w:type="dxa"/>
            <w:tcBorders>
              <w:top w:val="single" w:sz="4" w:space="0" w:color="000000"/>
              <w:left w:val="single" w:sz="4" w:space="0" w:color="000000"/>
              <w:bottom w:val="single" w:sz="4" w:space="0" w:color="000000"/>
              <w:right w:val="single" w:sz="4" w:space="0" w:color="000000"/>
            </w:tcBorders>
            <w:vAlign w:val="center"/>
          </w:tcPr>
          <w:p w14:paraId="1C080657"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2011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AE7F59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吸收存款</w:t>
            </w:r>
          </w:p>
        </w:tc>
      </w:tr>
      <w:tr w:rsidR="00D630C4" w14:paraId="327F3AD4"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AA78A35"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75 </w:t>
            </w:r>
          </w:p>
        </w:tc>
        <w:tc>
          <w:tcPr>
            <w:tcW w:w="1800" w:type="dxa"/>
            <w:tcBorders>
              <w:top w:val="single" w:sz="4" w:space="0" w:color="000000"/>
              <w:left w:val="single" w:sz="4" w:space="0" w:color="000000"/>
              <w:bottom w:val="single" w:sz="4" w:space="0" w:color="000000"/>
              <w:right w:val="single" w:sz="4" w:space="0" w:color="000000"/>
            </w:tcBorders>
            <w:vAlign w:val="center"/>
          </w:tcPr>
          <w:p w14:paraId="786DD72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2012 </w:t>
            </w:r>
          </w:p>
        </w:tc>
        <w:tc>
          <w:tcPr>
            <w:tcW w:w="4862" w:type="dxa"/>
            <w:tcBorders>
              <w:top w:val="single" w:sz="4" w:space="0" w:color="000000"/>
              <w:left w:val="single" w:sz="4" w:space="0" w:color="000000"/>
              <w:bottom w:val="single" w:sz="4" w:space="0" w:color="000000"/>
              <w:right w:val="single" w:sz="4" w:space="0" w:color="000000"/>
            </w:tcBorders>
            <w:vAlign w:val="center"/>
          </w:tcPr>
          <w:p w14:paraId="28E3494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同业存放</w:t>
            </w:r>
          </w:p>
        </w:tc>
      </w:tr>
      <w:tr w:rsidR="00D630C4" w14:paraId="348B99DA"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5600B18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76 </w:t>
            </w:r>
          </w:p>
        </w:tc>
        <w:tc>
          <w:tcPr>
            <w:tcW w:w="1800" w:type="dxa"/>
            <w:tcBorders>
              <w:top w:val="single" w:sz="4" w:space="0" w:color="000000"/>
              <w:left w:val="single" w:sz="4" w:space="0" w:color="000000"/>
              <w:bottom w:val="single" w:sz="4" w:space="0" w:color="000000"/>
              <w:right w:val="single" w:sz="4" w:space="0" w:color="000000"/>
            </w:tcBorders>
            <w:vAlign w:val="center"/>
          </w:tcPr>
          <w:p w14:paraId="73A7721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2021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9CFD0D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贴现负债</w:t>
            </w:r>
          </w:p>
        </w:tc>
      </w:tr>
      <w:tr w:rsidR="00D630C4" w14:paraId="532D579E"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6A9A20A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77 </w:t>
            </w:r>
          </w:p>
        </w:tc>
        <w:tc>
          <w:tcPr>
            <w:tcW w:w="1800" w:type="dxa"/>
            <w:tcBorders>
              <w:top w:val="single" w:sz="4" w:space="0" w:color="000000"/>
              <w:left w:val="single" w:sz="4" w:space="0" w:color="000000"/>
              <w:bottom w:val="single" w:sz="4" w:space="0" w:color="000000"/>
              <w:right w:val="single" w:sz="4" w:space="0" w:color="000000"/>
            </w:tcBorders>
            <w:vAlign w:val="center"/>
          </w:tcPr>
          <w:p w14:paraId="35E2919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2101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FF7095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交易性金融负债</w:t>
            </w:r>
          </w:p>
        </w:tc>
      </w:tr>
      <w:tr w:rsidR="00D630C4" w14:paraId="69808860"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D873785"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78 </w:t>
            </w:r>
          </w:p>
        </w:tc>
        <w:tc>
          <w:tcPr>
            <w:tcW w:w="1800" w:type="dxa"/>
            <w:tcBorders>
              <w:top w:val="single" w:sz="4" w:space="0" w:color="000000"/>
              <w:left w:val="single" w:sz="4" w:space="0" w:color="000000"/>
              <w:bottom w:val="single" w:sz="4" w:space="0" w:color="000000"/>
              <w:right w:val="single" w:sz="4" w:space="0" w:color="000000"/>
            </w:tcBorders>
            <w:vAlign w:val="center"/>
          </w:tcPr>
          <w:p w14:paraId="1769AB1B"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2111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BD5F0B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卖出回购金融资产款</w:t>
            </w:r>
          </w:p>
        </w:tc>
      </w:tr>
      <w:tr w:rsidR="00D630C4" w14:paraId="527ABC93"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2FCBA4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79 </w:t>
            </w:r>
          </w:p>
        </w:tc>
        <w:tc>
          <w:tcPr>
            <w:tcW w:w="1800" w:type="dxa"/>
            <w:tcBorders>
              <w:top w:val="single" w:sz="4" w:space="0" w:color="000000"/>
              <w:left w:val="single" w:sz="4" w:space="0" w:color="000000"/>
              <w:bottom w:val="single" w:sz="4" w:space="0" w:color="000000"/>
              <w:right w:val="single" w:sz="4" w:space="0" w:color="000000"/>
            </w:tcBorders>
            <w:vAlign w:val="center"/>
          </w:tcPr>
          <w:p w14:paraId="3483ACE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A8D1C1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应付票据</w:t>
            </w:r>
          </w:p>
        </w:tc>
      </w:tr>
      <w:tr w:rsidR="00D630C4" w14:paraId="1E82F98E"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9A12BA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80 </w:t>
            </w:r>
          </w:p>
        </w:tc>
        <w:tc>
          <w:tcPr>
            <w:tcW w:w="1800" w:type="dxa"/>
            <w:tcBorders>
              <w:top w:val="single" w:sz="4" w:space="0" w:color="000000"/>
              <w:left w:val="single" w:sz="4" w:space="0" w:color="000000"/>
              <w:bottom w:val="single" w:sz="4" w:space="0" w:color="000000"/>
              <w:right w:val="single" w:sz="4" w:space="0" w:color="000000"/>
            </w:tcBorders>
            <w:vAlign w:val="center"/>
          </w:tcPr>
          <w:p w14:paraId="471517E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0F4328D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应付账款</w:t>
            </w:r>
          </w:p>
        </w:tc>
      </w:tr>
      <w:tr w:rsidR="00D630C4" w14:paraId="05D5D61C"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1AC8591"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81 </w:t>
            </w:r>
          </w:p>
        </w:tc>
        <w:tc>
          <w:tcPr>
            <w:tcW w:w="1800" w:type="dxa"/>
            <w:tcBorders>
              <w:top w:val="single" w:sz="4" w:space="0" w:color="000000"/>
              <w:left w:val="single" w:sz="4" w:space="0" w:color="000000"/>
              <w:bottom w:val="single" w:sz="4" w:space="0" w:color="000000"/>
              <w:right w:val="single" w:sz="4" w:space="0" w:color="000000"/>
            </w:tcBorders>
            <w:vAlign w:val="center"/>
          </w:tcPr>
          <w:p w14:paraId="728CE25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21D5100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预收账款</w:t>
            </w:r>
          </w:p>
        </w:tc>
      </w:tr>
      <w:tr w:rsidR="00D630C4" w14:paraId="12400B86"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7783AEA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82 </w:t>
            </w:r>
          </w:p>
        </w:tc>
        <w:tc>
          <w:tcPr>
            <w:tcW w:w="1800" w:type="dxa"/>
            <w:tcBorders>
              <w:top w:val="single" w:sz="4" w:space="0" w:color="000000"/>
              <w:left w:val="single" w:sz="4" w:space="0" w:color="000000"/>
              <w:bottom w:val="single" w:sz="4" w:space="0" w:color="000000"/>
              <w:right w:val="single" w:sz="4" w:space="0" w:color="000000"/>
            </w:tcBorders>
            <w:vAlign w:val="center"/>
          </w:tcPr>
          <w:p w14:paraId="11D075F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54A663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应付职工薪酬</w:t>
            </w:r>
          </w:p>
        </w:tc>
      </w:tr>
      <w:tr w:rsidR="00D630C4" w14:paraId="12A362A1"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E06C85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83 </w:t>
            </w:r>
          </w:p>
        </w:tc>
        <w:tc>
          <w:tcPr>
            <w:tcW w:w="1800" w:type="dxa"/>
            <w:tcBorders>
              <w:top w:val="single" w:sz="4" w:space="0" w:color="000000"/>
              <w:left w:val="single" w:sz="4" w:space="0" w:color="000000"/>
              <w:bottom w:val="single" w:sz="4" w:space="0" w:color="000000"/>
              <w:right w:val="single" w:sz="4" w:space="0" w:color="000000"/>
            </w:tcBorders>
            <w:vAlign w:val="center"/>
          </w:tcPr>
          <w:p w14:paraId="2541192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D6E118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应交税费</w:t>
            </w:r>
          </w:p>
        </w:tc>
      </w:tr>
      <w:tr w:rsidR="00D630C4" w14:paraId="34EEAA7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10B7443"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84 </w:t>
            </w:r>
          </w:p>
        </w:tc>
        <w:tc>
          <w:tcPr>
            <w:tcW w:w="1800" w:type="dxa"/>
            <w:tcBorders>
              <w:top w:val="single" w:sz="4" w:space="0" w:color="000000"/>
              <w:left w:val="single" w:sz="4" w:space="0" w:color="000000"/>
              <w:bottom w:val="single" w:sz="4" w:space="0" w:color="000000"/>
              <w:right w:val="single" w:sz="4" w:space="0" w:color="000000"/>
            </w:tcBorders>
            <w:vAlign w:val="center"/>
          </w:tcPr>
          <w:p w14:paraId="4F77E38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560FDA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应付利息</w:t>
            </w:r>
          </w:p>
        </w:tc>
      </w:tr>
      <w:tr w:rsidR="00D630C4" w14:paraId="42742935"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30E215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85 </w:t>
            </w:r>
          </w:p>
        </w:tc>
        <w:tc>
          <w:tcPr>
            <w:tcW w:w="1800" w:type="dxa"/>
            <w:tcBorders>
              <w:top w:val="single" w:sz="4" w:space="0" w:color="000000"/>
              <w:left w:val="single" w:sz="4" w:space="0" w:color="000000"/>
              <w:bottom w:val="single" w:sz="4" w:space="0" w:color="000000"/>
              <w:right w:val="single" w:sz="4" w:space="0" w:color="000000"/>
            </w:tcBorders>
            <w:vAlign w:val="center"/>
          </w:tcPr>
          <w:p w14:paraId="10221AD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2232 </w:t>
            </w:r>
          </w:p>
        </w:tc>
        <w:tc>
          <w:tcPr>
            <w:tcW w:w="4862" w:type="dxa"/>
            <w:tcBorders>
              <w:top w:val="single" w:sz="4" w:space="0" w:color="000000"/>
              <w:left w:val="single" w:sz="4" w:space="0" w:color="000000"/>
              <w:bottom w:val="single" w:sz="4" w:space="0" w:color="000000"/>
              <w:right w:val="single" w:sz="4" w:space="0" w:color="000000"/>
            </w:tcBorders>
            <w:vAlign w:val="center"/>
          </w:tcPr>
          <w:p w14:paraId="076B825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应付股利</w:t>
            </w:r>
          </w:p>
        </w:tc>
      </w:tr>
      <w:tr w:rsidR="00D630C4" w14:paraId="40E30B71"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D5DBBC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86 </w:t>
            </w:r>
          </w:p>
        </w:tc>
        <w:tc>
          <w:tcPr>
            <w:tcW w:w="1800" w:type="dxa"/>
            <w:tcBorders>
              <w:top w:val="single" w:sz="4" w:space="0" w:color="000000"/>
              <w:left w:val="single" w:sz="4" w:space="0" w:color="000000"/>
              <w:bottom w:val="single" w:sz="4" w:space="0" w:color="000000"/>
              <w:right w:val="single" w:sz="4" w:space="0" w:color="000000"/>
            </w:tcBorders>
            <w:vAlign w:val="center"/>
          </w:tcPr>
          <w:p w14:paraId="0FF9C63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2241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C360EC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其他应付款</w:t>
            </w:r>
          </w:p>
        </w:tc>
      </w:tr>
      <w:tr w:rsidR="00D630C4" w14:paraId="44E98D99"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613ACBC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87 </w:t>
            </w:r>
          </w:p>
        </w:tc>
        <w:tc>
          <w:tcPr>
            <w:tcW w:w="1800" w:type="dxa"/>
            <w:tcBorders>
              <w:top w:val="single" w:sz="4" w:space="0" w:color="000000"/>
              <w:left w:val="single" w:sz="4" w:space="0" w:color="000000"/>
              <w:bottom w:val="single" w:sz="4" w:space="0" w:color="000000"/>
              <w:right w:val="single" w:sz="4" w:space="0" w:color="000000"/>
            </w:tcBorders>
            <w:vAlign w:val="center"/>
          </w:tcPr>
          <w:p w14:paraId="27A8C0C7"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2251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FF8553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应付保单红利</w:t>
            </w:r>
          </w:p>
        </w:tc>
      </w:tr>
      <w:tr w:rsidR="00D630C4" w14:paraId="2CA10F1D"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EE9FB0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88 </w:t>
            </w:r>
          </w:p>
        </w:tc>
        <w:tc>
          <w:tcPr>
            <w:tcW w:w="1800" w:type="dxa"/>
            <w:tcBorders>
              <w:top w:val="single" w:sz="4" w:space="0" w:color="000000"/>
              <w:left w:val="single" w:sz="4" w:space="0" w:color="000000"/>
              <w:bottom w:val="single" w:sz="4" w:space="0" w:color="000000"/>
              <w:right w:val="single" w:sz="4" w:space="0" w:color="000000"/>
            </w:tcBorders>
            <w:vAlign w:val="center"/>
          </w:tcPr>
          <w:p w14:paraId="01500A3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2261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6A4D58A"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应付分保账款</w:t>
            </w:r>
          </w:p>
        </w:tc>
      </w:tr>
      <w:tr w:rsidR="00D630C4" w14:paraId="6AC32707" w14:textId="77777777" w:rsidTr="00052D3C">
        <w:trPr>
          <w:trHeight w:val="340"/>
        </w:trPr>
        <w:tc>
          <w:tcPr>
            <w:tcW w:w="1643" w:type="dxa"/>
            <w:tcBorders>
              <w:top w:val="single" w:sz="4" w:space="0" w:color="000000"/>
              <w:bottom w:val="single" w:sz="4" w:space="0" w:color="000000"/>
              <w:right w:val="single" w:sz="4" w:space="0" w:color="000000"/>
            </w:tcBorders>
            <w:vAlign w:val="center"/>
          </w:tcPr>
          <w:p w14:paraId="39CD93D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89 </w:t>
            </w:r>
          </w:p>
        </w:tc>
        <w:tc>
          <w:tcPr>
            <w:tcW w:w="1800" w:type="dxa"/>
            <w:tcBorders>
              <w:top w:val="single" w:sz="4" w:space="0" w:color="000000"/>
              <w:left w:val="single" w:sz="4" w:space="0" w:color="000000"/>
              <w:bottom w:val="single" w:sz="4" w:space="0" w:color="000000"/>
              <w:right w:val="single" w:sz="4" w:space="0" w:color="000000"/>
            </w:tcBorders>
            <w:vAlign w:val="center"/>
          </w:tcPr>
          <w:p w14:paraId="1EAD83D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2311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1A67AD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代理买卖证券款</w:t>
            </w:r>
          </w:p>
        </w:tc>
      </w:tr>
      <w:tr w:rsidR="00D630C4" w14:paraId="6998978B"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5BBD15BA"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90 </w:t>
            </w:r>
          </w:p>
        </w:tc>
        <w:tc>
          <w:tcPr>
            <w:tcW w:w="1800" w:type="dxa"/>
            <w:tcBorders>
              <w:top w:val="single" w:sz="4" w:space="0" w:color="000000"/>
              <w:left w:val="single" w:sz="4" w:space="0" w:color="000000"/>
              <w:bottom w:val="single" w:sz="4" w:space="0" w:color="000000"/>
              <w:right w:val="single" w:sz="4" w:space="0" w:color="000000"/>
            </w:tcBorders>
            <w:vAlign w:val="center"/>
          </w:tcPr>
          <w:p w14:paraId="7FF7723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2312 </w:t>
            </w:r>
          </w:p>
        </w:tc>
        <w:tc>
          <w:tcPr>
            <w:tcW w:w="4862" w:type="dxa"/>
            <w:tcBorders>
              <w:top w:val="single" w:sz="4" w:space="0" w:color="000000"/>
              <w:left w:val="single" w:sz="4" w:space="0" w:color="000000"/>
              <w:bottom w:val="single" w:sz="4" w:space="0" w:color="000000"/>
              <w:right w:val="single" w:sz="4" w:space="0" w:color="000000"/>
            </w:tcBorders>
            <w:vAlign w:val="center"/>
          </w:tcPr>
          <w:p w14:paraId="52E656B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代理承销证券款</w:t>
            </w:r>
          </w:p>
        </w:tc>
      </w:tr>
      <w:tr w:rsidR="00D630C4" w14:paraId="2CC3DD9E"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1DFAA822"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91 </w:t>
            </w:r>
          </w:p>
        </w:tc>
        <w:tc>
          <w:tcPr>
            <w:tcW w:w="1800" w:type="dxa"/>
            <w:tcBorders>
              <w:top w:val="single" w:sz="4" w:space="0" w:color="000000"/>
              <w:left w:val="single" w:sz="4" w:space="0" w:color="000000"/>
              <w:bottom w:val="single" w:sz="4" w:space="0" w:color="000000"/>
              <w:right w:val="single" w:sz="4" w:space="0" w:color="000000"/>
            </w:tcBorders>
            <w:vAlign w:val="center"/>
          </w:tcPr>
          <w:p w14:paraId="3410E4C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2313 </w:t>
            </w:r>
          </w:p>
        </w:tc>
        <w:tc>
          <w:tcPr>
            <w:tcW w:w="4862" w:type="dxa"/>
            <w:tcBorders>
              <w:top w:val="single" w:sz="4" w:space="0" w:color="000000"/>
              <w:left w:val="single" w:sz="4" w:space="0" w:color="000000"/>
              <w:bottom w:val="single" w:sz="4" w:space="0" w:color="000000"/>
              <w:right w:val="single" w:sz="4" w:space="0" w:color="000000"/>
            </w:tcBorders>
            <w:vAlign w:val="center"/>
          </w:tcPr>
          <w:p w14:paraId="0724E07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代理兑付证券款</w:t>
            </w:r>
          </w:p>
        </w:tc>
      </w:tr>
      <w:tr w:rsidR="00D630C4" w14:paraId="130C7ABB"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119CC9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92 </w:t>
            </w:r>
          </w:p>
        </w:tc>
        <w:tc>
          <w:tcPr>
            <w:tcW w:w="1800" w:type="dxa"/>
            <w:tcBorders>
              <w:top w:val="single" w:sz="4" w:space="0" w:color="000000"/>
              <w:left w:val="single" w:sz="4" w:space="0" w:color="000000"/>
              <w:bottom w:val="single" w:sz="4" w:space="0" w:color="000000"/>
              <w:right w:val="single" w:sz="4" w:space="0" w:color="000000"/>
            </w:tcBorders>
            <w:vAlign w:val="center"/>
          </w:tcPr>
          <w:p w14:paraId="05C9AC2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2314 </w:t>
            </w:r>
          </w:p>
        </w:tc>
        <w:tc>
          <w:tcPr>
            <w:tcW w:w="4862" w:type="dxa"/>
            <w:tcBorders>
              <w:top w:val="single" w:sz="4" w:space="0" w:color="000000"/>
              <w:left w:val="single" w:sz="4" w:space="0" w:color="000000"/>
              <w:bottom w:val="single" w:sz="4" w:space="0" w:color="000000"/>
              <w:right w:val="single" w:sz="4" w:space="0" w:color="000000"/>
            </w:tcBorders>
            <w:vAlign w:val="center"/>
          </w:tcPr>
          <w:p w14:paraId="24DED13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代理业务负债</w:t>
            </w:r>
          </w:p>
        </w:tc>
      </w:tr>
      <w:tr w:rsidR="00D630C4" w14:paraId="66373F1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60CD0C4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93 </w:t>
            </w:r>
          </w:p>
        </w:tc>
        <w:tc>
          <w:tcPr>
            <w:tcW w:w="1800" w:type="dxa"/>
            <w:tcBorders>
              <w:top w:val="single" w:sz="4" w:space="0" w:color="000000"/>
              <w:left w:val="single" w:sz="4" w:space="0" w:color="000000"/>
              <w:bottom w:val="single" w:sz="4" w:space="0" w:color="000000"/>
              <w:right w:val="single" w:sz="4" w:space="0" w:color="000000"/>
            </w:tcBorders>
            <w:vAlign w:val="center"/>
          </w:tcPr>
          <w:p w14:paraId="355E0B44"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2401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3E2FE0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递延收益</w:t>
            </w:r>
          </w:p>
        </w:tc>
      </w:tr>
      <w:tr w:rsidR="00D630C4" w14:paraId="1B895ED7"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707BF6D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94 </w:t>
            </w:r>
          </w:p>
        </w:tc>
        <w:tc>
          <w:tcPr>
            <w:tcW w:w="1800" w:type="dxa"/>
            <w:tcBorders>
              <w:top w:val="single" w:sz="4" w:space="0" w:color="000000"/>
              <w:left w:val="single" w:sz="4" w:space="0" w:color="000000"/>
              <w:bottom w:val="single" w:sz="4" w:space="0" w:color="000000"/>
              <w:right w:val="single" w:sz="4" w:space="0" w:color="000000"/>
            </w:tcBorders>
            <w:vAlign w:val="center"/>
          </w:tcPr>
          <w:p w14:paraId="5EB9C41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2501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7A4778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长期借款</w:t>
            </w:r>
          </w:p>
        </w:tc>
      </w:tr>
      <w:tr w:rsidR="00D630C4" w14:paraId="147117C9"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00822D2"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95 </w:t>
            </w:r>
          </w:p>
        </w:tc>
        <w:tc>
          <w:tcPr>
            <w:tcW w:w="1800" w:type="dxa"/>
            <w:tcBorders>
              <w:top w:val="single" w:sz="4" w:space="0" w:color="000000"/>
              <w:left w:val="single" w:sz="4" w:space="0" w:color="000000"/>
              <w:bottom w:val="single" w:sz="4" w:space="0" w:color="000000"/>
              <w:right w:val="single" w:sz="4" w:space="0" w:color="000000"/>
            </w:tcBorders>
            <w:vAlign w:val="center"/>
          </w:tcPr>
          <w:p w14:paraId="532C750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2502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B937EB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应付债券</w:t>
            </w:r>
          </w:p>
        </w:tc>
      </w:tr>
      <w:tr w:rsidR="00D630C4" w14:paraId="25F5131A"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1AA43A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 xml:space="preserve">96 </w:t>
            </w:r>
          </w:p>
        </w:tc>
        <w:tc>
          <w:tcPr>
            <w:tcW w:w="1800" w:type="dxa"/>
            <w:tcBorders>
              <w:top w:val="single" w:sz="4" w:space="0" w:color="000000"/>
              <w:left w:val="single" w:sz="4" w:space="0" w:color="000000"/>
              <w:bottom w:val="single" w:sz="4" w:space="0" w:color="000000"/>
              <w:right w:val="single" w:sz="4" w:space="0" w:color="000000"/>
            </w:tcBorders>
            <w:vAlign w:val="center"/>
          </w:tcPr>
          <w:p w14:paraId="0BF30C8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2601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634783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未到期责任准备金</w:t>
            </w:r>
          </w:p>
        </w:tc>
      </w:tr>
      <w:tr w:rsidR="00D630C4" w14:paraId="71900B0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5EA919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97 </w:t>
            </w:r>
          </w:p>
        </w:tc>
        <w:tc>
          <w:tcPr>
            <w:tcW w:w="1800" w:type="dxa"/>
            <w:tcBorders>
              <w:top w:val="single" w:sz="4" w:space="0" w:color="000000"/>
              <w:left w:val="single" w:sz="4" w:space="0" w:color="000000"/>
              <w:bottom w:val="single" w:sz="4" w:space="0" w:color="000000"/>
              <w:right w:val="single" w:sz="4" w:space="0" w:color="000000"/>
            </w:tcBorders>
            <w:vAlign w:val="center"/>
          </w:tcPr>
          <w:p w14:paraId="52E0B3E2"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2602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1161D75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保险责任准备金</w:t>
            </w:r>
          </w:p>
        </w:tc>
      </w:tr>
      <w:tr w:rsidR="00D630C4" w14:paraId="56605382"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E053D7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98 </w:t>
            </w:r>
          </w:p>
        </w:tc>
        <w:tc>
          <w:tcPr>
            <w:tcW w:w="1800" w:type="dxa"/>
            <w:tcBorders>
              <w:top w:val="single" w:sz="4" w:space="0" w:color="000000"/>
              <w:left w:val="single" w:sz="4" w:space="0" w:color="000000"/>
              <w:bottom w:val="single" w:sz="4" w:space="0" w:color="000000"/>
              <w:right w:val="single" w:sz="4" w:space="0" w:color="000000"/>
            </w:tcBorders>
            <w:vAlign w:val="center"/>
          </w:tcPr>
          <w:p w14:paraId="6A13607B"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2611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4694A9E"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保户储金</w:t>
            </w:r>
          </w:p>
        </w:tc>
      </w:tr>
      <w:tr w:rsidR="00D630C4" w14:paraId="6B4DCB7D"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870805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99 </w:t>
            </w:r>
          </w:p>
        </w:tc>
        <w:tc>
          <w:tcPr>
            <w:tcW w:w="1800" w:type="dxa"/>
            <w:tcBorders>
              <w:top w:val="single" w:sz="4" w:space="0" w:color="000000"/>
              <w:left w:val="single" w:sz="4" w:space="0" w:color="000000"/>
              <w:bottom w:val="single" w:sz="4" w:space="0" w:color="000000"/>
              <w:right w:val="single" w:sz="4" w:space="0" w:color="000000"/>
            </w:tcBorders>
            <w:vAlign w:val="center"/>
          </w:tcPr>
          <w:p w14:paraId="1EF8427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2621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51B16FE"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独立账户负债</w:t>
            </w:r>
          </w:p>
        </w:tc>
      </w:tr>
      <w:tr w:rsidR="00D630C4" w14:paraId="79711A6A"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284639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100 </w:t>
            </w:r>
          </w:p>
        </w:tc>
        <w:tc>
          <w:tcPr>
            <w:tcW w:w="1800" w:type="dxa"/>
            <w:tcBorders>
              <w:top w:val="single" w:sz="4" w:space="0" w:color="000000"/>
              <w:left w:val="single" w:sz="4" w:space="0" w:color="000000"/>
              <w:bottom w:val="single" w:sz="4" w:space="0" w:color="000000"/>
              <w:right w:val="single" w:sz="4" w:space="0" w:color="000000"/>
            </w:tcBorders>
            <w:vAlign w:val="center"/>
          </w:tcPr>
          <w:p w14:paraId="4BEE326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2701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C10BEB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长期应付款</w:t>
            </w:r>
          </w:p>
        </w:tc>
      </w:tr>
      <w:tr w:rsidR="00D630C4" w14:paraId="005866F9"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30F4D9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101 </w:t>
            </w:r>
          </w:p>
        </w:tc>
        <w:tc>
          <w:tcPr>
            <w:tcW w:w="1800" w:type="dxa"/>
            <w:tcBorders>
              <w:top w:val="single" w:sz="4" w:space="0" w:color="000000"/>
              <w:left w:val="single" w:sz="4" w:space="0" w:color="000000"/>
              <w:bottom w:val="single" w:sz="4" w:space="0" w:color="000000"/>
              <w:right w:val="single" w:sz="4" w:space="0" w:color="000000"/>
            </w:tcBorders>
            <w:vAlign w:val="center"/>
          </w:tcPr>
          <w:p w14:paraId="7D208812"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2702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411222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未确认融资费用</w:t>
            </w:r>
          </w:p>
        </w:tc>
      </w:tr>
      <w:tr w:rsidR="00D630C4" w14:paraId="77302375"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5A731D65"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102 </w:t>
            </w:r>
          </w:p>
        </w:tc>
        <w:tc>
          <w:tcPr>
            <w:tcW w:w="1800" w:type="dxa"/>
            <w:tcBorders>
              <w:top w:val="single" w:sz="4" w:space="0" w:color="000000"/>
              <w:left w:val="single" w:sz="4" w:space="0" w:color="000000"/>
              <w:bottom w:val="single" w:sz="4" w:space="0" w:color="000000"/>
              <w:right w:val="single" w:sz="4" w:space="0" w:color="000000"/>
            </w:tcBorders>
            <w:vAlign w:val="center"/>
          </w:tcPr>
          <w:p w14:paraId="0D3B9BB7"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2711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2D16C2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专项应付款</w:t>
            </w:r>
          </w:p>
        </w:tc>
      </w:tr>
      <w:tr w:rsidR="00D630C4" w14:paraId="2F79EE49"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CCD3E4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103 </w:t>
            </w:r>
          </w:p>
        </w:tc>
        <w:tc>
          <w:tcPr>
            <w:tcW w:w="1800" w:type="dxa"/>
            <w:tcBorders>
              <w:top w:val="single" w:sz="4" w:space="0" w:color="000000"/>
              <w:left w:val="single" w:sz="4" w:space="0" w:color="000000"/>
              <w:bottom w:val="single" w:sz="4" w:space="0" w:color="000000"/>
              <w:right w:val="single" w:sz="4" w:space="0" w:color="000000"/>
            </w:tcBorders>
            <w:vAlign w:val="center"/>
          </w:tcPr>
          <w:p w14:paraId="38DB36E2"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2801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4CD5571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预计负债</w:t>
            </w:r>
          </w:p>
        </w:tc>
      </w:tr>
      <w:tr w:rsidR="00D630C4" w14:paraId="02C84C97"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3B7287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104 </w:t>
            </w:r>
          </w:p>
        </w:tc>
        <w:tc>
          <w:tcPr>
            <w:tcW w:w="1800" w:type="dxa"/>
            <w:tcBorders>
              <w:top w:val="single" w:sz="4" w:space="0" w:color="000000"/>
              <w:left w:val="single" w:sz="4" w:space="0" w:color="000000"/>
              <w:bottom w:val="single" w:sz="4" w:space="0" w:color="000000"/>
              <w:right w:val="single" w:sz="4" w:space="0" w:color="000000"/>
            </w:tcBorders>
            <w:vAlign w:val="center"/>
          </w:tcPr>
          <w:p w14:paraId="5497E45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2901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2200E0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递延所得税负债</w:t>
            </w:r>
          </w:p>
        </w:tc>
      </w:tr>
      <w:tr w:rsidR="00D630C4" w14:paraId="122519D7" w14:textId="77777777" w:rsidTr="00052D3C">
        <w:trPr>
          <w:trHeight w:val="325"/>
        </w:trPr>
        <w:tc>
          <w:tcPr>
            <w:tcW w:w="1643" w:type="dxa"/>
            <w:tcBorders>
              <w:top w:val="single" w:sz="4" w:space="0" w:color="000000"/>
              <w:bottom w:val="single" w:sz="4" w:space="0" w:color="000000"/>
              <w:right w:val="single" w:sz="4" w:space="0" w:color="000000"/>
            </w:tcBorders>
          </w:tcPr>
          <w:p w14:paraId="592EE8FD" w14:textId="77777777" w:rsidR="00D630C4" w:rsidRDefault="00D630C4" w:rsidP="00052D3C">
            <w:pPr>
              <w:pStyle w:val="Default"/>
              <w:jc w:val="center"/>
              <w:rPr>
                <w:rFonts w:cs="Times New Roman"/>
                <w:color w:val="auto"/>
              </w:rPr>
            </w:pPr>
          </w:p>
        </w:tc>
        <w:tc>
          <w:tcPr>
            <w:tcW w:w="1800" w:type="dxa"/>
            <w:tcBorders>
              <w:top w:val="single" w:sz="4" w:space="0" w:color="000000"/>
              <w:left w:val="single" w:sz="4" w:space="0" w:color="000000"/>
              <w:bottom w:val="single" w:sz="4" w:space="0" w:color="000000"/>
              <w:right w:val="single" w:sz="4" w:space="0" w:color="000000"/>
            </w:tcBorders>
          </w:tcPr>
          <w:p w14:paraId="77AD0B39" w14:textId="77777777" w:rsidR="00D630C4" w:rsidRDefault="00D630C4" w:rsidP="00052D3C">
            <w:pPr>
              <w:pStyle w:val="Default"/>
              <w:jc w:val="center"/>
              <w:rPr>
                <w:rFonts w:cs="Times New Roman"/>
                <w:color w:val="auto"/>
              </w:rPr>
            </w:pPr>
          </w:p>
        </w:tc>
        <w:tc>
          <w:tcPr>
            <w:tcW w:w="4862" w:type="dxa"/>
            <w:tcBorders>
              <w:top w:val="single" w:sz="4" w:space="0" w:color="000000"/>
              <w:left w:val="single" w:sz="4" w:space="0" w:color="000000"/>
              <w:bottom w:val="single" w:sz="4" w:space="0" w:color="000000"/>
              <w:right w:val="single" w:sz="4" w:space="0" w:color="000000"/>
            </w:tcBorders>
            <w:vAlign w:val="center"/>
          </w:tcPr>
          <w:p w14:paraId="44948E5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三、共同类</w:t>
            </w:r>
          </w:p>
        </w:tc>
      </w:tr>
      <w:tr w:rsidR="00D630C4" w14:paraId="1257D7E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45D011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105 </w:t>
            </w:r>
          </w:p>
        </w:tc>
        <w:tc>
          <w:tcPr>
            <w:tcW w:w="1800" w:type="dxa"/>
            <w:tcBorders>
              <w:top w:val="single" w:sz="4" w:space="0" w:color="000000"/>
              <w:left w:val="single" w:sz="4" w:space="0" w:color="000000"/>
              <w:bottom w:val="single" w:sz="4" w:space="0" w:color="000000"/>
              <w:right w:val="single" w:sz="4" w:space="0" w:color="000000"/>
            </w:tcBorders>
            <w:vAlign w:val="center"/>
          </w:tcPr>
          <w:p w14:paraId="6F0044E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3001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85FE81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清算资金往来</w:t>
            </w:r>
          </w:p>
        </w:tc>
      </w:tr>
      <w:tr w:rsidR="00D630C4" w14:paraId="10F93F4C"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F039F0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106 </w:t>
            </w:r>
          </w:p>
        </w:tc>
        <w:tc>
          <w:tcPr>
            <w:tcW w:w="1800" w:type="dxa"/>
            <w:tcBorders>
              <w:top w:val="single" w:sz="4" w:space="0" w:color="000000"/>
              <w:left w:val="single" w:sz="4" w:space="0" w:color="000000"/>
              <w:bottom w:val="single" w:sz="4" w:space="0" w:color="000000"/>
              <w:right w:val="single" w:sz="4" w:space="0" w:color="000000"/>
            </w:tcBorders>
            <w:vAlign w:val="center"/>
          </w:tcPr>
          <w:p w14:paraId="58F79F2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3002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2EA1D1C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货币兑换</w:t>
            </w:r>
          </w:p>
        </w:tc>
      </w:tr>
      <w:tr w:rsidR="00D630C4" w14:paraId="42A64E0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4FDFA1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107 </w:t>
            </w:r>
          </w:p>
        </w:tc>
        <w:tc>
          <w:tcPr>
            <w:tcW w:w="1800" w:type="dxa"/>
            <w:tcBorders>
              <w:top w:val="single" w:sz="4" w:space="0" w:color="000000"/>
              <w:left w:val="single" w:sz="4" w:space="0" w:color="000000"/>
              <w:bottom w:val="single" w:sz="4" w:space="0" w:color="000000"/>
              <w:right w:val="single" w:sz="4" w:space="0" w:color="000000"/>
            </w:tcBorders>
            <w:vAlign w:val="center"/>
          </w:tcPr>
          <w:p w14:paraId="5E6FEFA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3101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74A262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衍生工具</w:t>
            </w:r>
          </w:p>
        </w:tc>
      </w:tr>
      <w:tr w:rsidR="00D630C4" w14:paraId="73F286AC"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10C54AA"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108 </w:t>
            </w:r>
          </w:p>
        </w:tc>
        <w:tc>
          <w:tcPr>
            <w:tcW w:w="1800" w:type="dxa"/>
            <w:tcBorders>
              <w:top w:val="single" w:sz="4" w:space="0" w:color="000000"/>
              <w:left w:val="single" w:sz="4" w:space="0" w:color="000000"/>
              <w:bottom w:val="single" w:sz="4" w:space="0" w:color="000000"/>
              <w:right w:val="single" w:sz="4" w:space="0" w:color="000000"/>
            </w:tcBorders>
            <w:vAlign w:val="center"/>
          </w:tcPr>
          <w:p w14:paraId="5118A35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3201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940546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套期工具</w:t>
            </w:r>
          </w:p>
        </w:tc>
      </w:tr>
      <w:tr w:rsidR="00D630C4" w14:paraId="0F8AF1FD"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A25687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109 </w:t>
            </w:r>
          </w:p>
        </w:tc>
        <w:tc>
          <w:tcPr>
            <w:tcW w:w="1800" w:type="dxa"/>
            <w:tcBorders>
              <w:top w:val="single" w:sz="4" w:space="0" w:color="000000"/>
              <w:left w:val="single" w:sz="4" w:space="0" w:color="000000"/>
              <w:bottom w:val="single" w:sz="4" w:space="0" w:color="000000"/>
              <w:right w:val="single" w:sz="4" w:space="0" w:color="000000"/>
            </w:tcBorders>
            <w:vAlign w:val="center"/>
          </w:tcPr>
          <w:p w14:paraId="4825CAB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3202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CDDAEE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被套期项目</w:t>
            </w:r>
          </w:p>
        </w:tc>
      </w:tr>
      <w:tr w:rsidR="00D630C4" w14:paraId="6E564594" w14:textId="77777777" w:rsidTr="00052D3C">
        <w:trPr>
          <w:trHeight w:val="325"/>
        </w:trPr>
        <w:tc>
          <w:tcPr>
            <w:tcW w:w="1643" w:type="dxa"/>
            <w:tcBorders>
              <w:top w:val="single" w:sz="4" w:space="0" w:color="000000"/>
              <w:bottom w:val="single" w:sz="4" w:space="0" w:color="000000"/>
              <w:right w:val="single" w:sz="4" w:space="0" w:color="000000"/>
            </w:tcBorders>
          </w:tcPr>
          <w:p w14:paraId="60724150" w14:textId="77777777" w:rsidR="00D630C4" w:rsidRDefault="00D630C4" w:rsidP="00052D3C">
            <w:pPr>
              <w:pStyle w:val="Default"/>
              <w:jc w:val="center"/>
              <w:rPr>
                <w:rFonts w:cs="Times New Roman"/>
                <w:color w:val="auto"/>
              </w:rPr>
            </w:pPr>
          </w:p>
        </w:tc>
        <w:tc>
          <w:tcPr>
            <w:tcW w:w="1800" w:type="dxa"/>
            <w:tcBorders>
              <w:top w:val="single" w:sz="4" w:space="0" w:color="000000"/>
              <w:left w:val="single" w:sz="4" w:space="0" w:color="000000"/>
              <w:bottom w:val="single" w:sz="4" w:space="0" w:color="000000"/>
              <w:right w:val="single" w:sz="4" w:space="0" w:color="000000"/>
            </w:tcBorders>
          </w:tcPr>
          <w:p w14:paraId="1A408211" w14:textId="77777777" w:rsidR="00D630C4" w:rsidRDefault="00D630C4" w:rsidP="00052D3C">
            <w:pPr>
              <w:pStyle w:val="Default"/>
              <w:jc w:val="center"/>
              <w:rPr>
                <w:rFonts w:cs="Times New Roman"/>
                <w:color w:val="auto"/>
              </w:rPr>
            </w:pPr>
          </w:p>
        </w:tc>
        <w:tc>
          <w:tcPr>
            <w:tcW w:w="4862" w:type="dxa"/>
            <w:tcBorders>
              <w:top w:val="single" w:sz="4" w:space="0" w:color="000000"/>
              <w:left w:val="single" w:sz="4" w:space="0" w:color="000000"/>
              <w:bottom w:val="single" w:sz="4" w:space="0" w:color="000000"/>
              <w:right w:val="single" w:sz="4" w:space="0" w:color="000000"/>
            </w:tcBorders>
            <w:vAlign w:val="center"/>
          </w:tcPr>
          <w:p w14:paraId="37CA7E2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四、所有者权益类</w:t>
            </w:r>
          </w:p>
        </w:tc>
      </w:tr>
      <w:tr w:rsidR="00D630C4" w14:paraId="31E830D6"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EB82D6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110 </w:t>
            </w:r>
          </w:p>
        </w:tc>
        <w:tc>
          <w:tcPr>
            <w:tcW w:w="1800" w:type="dxa"/>
            <w:tcBorders>
              <w:top w:val="single" w:sz="4" w:space="0" w:color="000000"/>
              <w:left w:val="single" w:sz="4" w:space="0" w:color="000000"/>
              <w:bottom w:val="single" w:sz="4" w:space="0" w:color="000000"/>
              <w:right w:val="single" w:sz="4" w:space="0" w:color="000000"/>
            </w:tcBorders>
            <w:vAlign w:val="center"/>
          </w:tcPr>
          <w:p w14:paraId="7AB3E01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4001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1A92B1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实收资本</w:t>
            </w:r>
          </w:p>
        </w:tc>
      </w:tr>
      <w:tr w:rsidR="00D630C4" w14:paraId="7C43AA2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33A63CC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111</w:t>
            </w:r>
          </w:p>
        </w:tc>
        <w:tc>
          <w:tcPr>
            <w:tcW w:w="1800" w:type="dxa"/>
            <w:tcBorders>
              <w:top w:val="single" w:sz="4" w:space="0" w:color="000000"/>
              <w:left w:val="single" w:sz="4" w:space="0" w:color="000000"/>
              <w:bottom w:val="single" w:sz="4" w:space="0" w:color="000000"/>
              <w:right w:val="single" w:sz="4" w:space="0" w:color="000000"/>
            </w:tcBorders>
            <w:vAlign w:val="center"/>
          </w:tcPr>
          <w:p w14:paraId="0B76C9F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 4002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72E74CC"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资本公积</w:t>
            </w:r>
          </w:p>
        </w:tc>
      </w:tr>
      <w:tr w:rsidR="00D630C4" w14:paraId="122E0C3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AE441A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112 </w:t>
            </w:r>
          </w:p>
        </w:tc>
        <w:tc>
          <w:tcPr>
            <w:tcW w:w="1800" w:type="dxa"/>
            <w:tcBorders>
              <w:top w:val="single" w:sz="4" w:space="0" w:color="000000"/>
              <w:left w:val="single" w:sz="4" w:space="0" w:color="000000"/>
              <w:bottom w:val="single" w:sz="4" w:space="0" w:color="000000"/>
              <w:right w:val="single" w:sz="4" w:space="0" w:color="000000"/>
            </w:tcBorders>
            <w:vAlign w:val="center"/>
          </w:tcPr>
          <w:p w14:paraId="31B8BF6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4101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7938A5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盈余公积</w:t>
            </w:r>
          </w:p>
        </w:tc>
      </w:tr>
      <w:tr w:rsidR="00D630C4" w14:paraId="5D7A817D"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B98263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113 </w:t>
            </w:r>
          </w:p>
        </w:tc>
        <w:tc>
          <w:tcPr>
            <w:tcW w:w="1800" w:type="dxa"/>
            <w:tcBorders>
              <w:top w:val="single" w:sz="4" w:space="0" w:color="000000"/>
              <w:left w:val="single" w:sz="4" w:space="0" w:color="000000"/>
              <w:bottom w:val="single" w:sz="4" w:space="0" w:color="000000"/>
              <w:right w:val="single" w:sz="4" w:space="0" w:color="000000"/>
            </w:tcBorders>
            <w:vAlign w:val="center"/>
          </w:tcPr>
          <w:p w14:paraId="66FF3D0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4102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8D5646C"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一般风险准备</w:t>
            </w:r>
          </w:p>
        </w:tc>
      </w:tr>
      <w:tr w:rsidR="00D630C4" w14:paraId="35E5CD8B"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3FC674B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114 </w:t>
            </w:r>
          </w:p>
        </w:tc>
        <w:tc>
          <w:tcPr>
            <w:tcW w:w="1800" w:type="dxa"/>
            <w:tcBorders>
              <w:top w:val="single" w:sz="4" w:space="0" w:color="000000"/>
              <w:left w:val="single" w:sz="4" w:space="0" w:color="000000"/>
              <w:bottom w:val="single" w:sz="4" w:space="0" w:color="000000"/>
              <w:right w:val="single" w:sz="4" w:space="0" w:color="000000"/>
            </w:tcBorders>
            <w:vAlign w:val="center"/>
          </w:tcPr>
          <w:p w14:paraId="3B78AEA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4103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1FD1278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本年利润</w:t>
            </w:r>
          </w:p>
        </w:tc>
      </w:tr>
      <w:tr w:rsidR="00D630C4" w14:paraId="5F7E971E"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C0B182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115 </w:t>
            </w:r>
          </w:p>
        </w:tc>
        <w:tc>
          <w:tcPr>
            <w:tcW w:w="1800" w:type="dxa"/>
            <w:tcBorders>
              <w:top w:val="single" w:sz="4" w:space="0" w:color="000000"/>
              <w:left w:val="single" w:sz="4" w:space="0" w:color="000000"/>
              <w:bottom w:val="single" w:sz="4" w:space="0" w:color="000000"/>
              <w:right w:val="single" w:sz="4" w:space="0" w:color="000000"/>
            </w:tcBorders>
            <w:vAlign w:val="center"/>
          </w:tcPr>
          <w:p w14:paraId="60A95A2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4104 </w:t>
            </w:r>
          </w:p>
        </w:tc>
        <w:tc>
          <w:tcPr>
            <w:tcW w:w="4862" w:type="dxa"/>
            <w:tcBorders>
              <w:top w:val="single" w:sz="4" w:space="0" w:color="000000"/>
              <w:left w:val="single" w:sz="4" w:space="0" w:color="000000"/>
              <w:bottom w:val="single" w:sz="4" w:space="0" w:color="000000"/>
              <w:right w:val="single" w:sz="4" w:space="0" w:color="000000"/>
            </w:tcBorders>
            <w:vAlign w:val="center"/>
          </w:tcPr>
          <w:p w14:paraId="5BF4F59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利润分配</w:t>
            </w:r>
          </w:p>
        </w:tc>
      </w:tr>
      <w:tr w:rsidR="00D630C4" w14:paraId="738FD211"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16783E01"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116 </w:t>
            </w:r>
          </w:p>
        </w:tc>
        <w:tc>
          <w:tcPr>
            <w:tcW w:w="1800" w:type="dxa"/>
            <w:tcBorders>
              <w:top w:val="single" w:sz="4" w:space="0" w:color="000000"/>
              <w:left w:val="single" w:sz="4" w:space="0" w:color="000000"/>
              <w:bottom w:val="single" w:sz="4" w:space="0" w:color="000000"/>
              <w:right w:val="single" w:sz="4" w:space="0" w:color="000000"/>
            </w:tcBorders>
            <w:vAlign w:val="center"/>
          </w:tcPr>
          <w:p w14:paraId="1DEF799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4201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719604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库存股</w:t>
            </w:r>
          </w:p>
        </w:tc>
      </w:tr>
      <w:tr w:rsidR="00D630C4" w14:paraId="18AA2940" w14:textId="77777777" w:rsidTr="00052D3C">
        <w:trPr>
          <w:trHeight w:val="325"/>
        </w:trPr>
        <w:tc>
          <w:tcPr>
            <w:tcW w:w="1643" w:type="dxa"/>
            <w:tcBorders>
              <w:top w:val="single" w:sz="4" w:space="0" w:color="000000"/>
              <w:bottom w:val="single" w:sz="4" w:space="0" w:color="000000"/>
              <w:right w:val="single" w:sz="4" w:space="0" w:color="000000"/>
            </w:tcBorders>
          </w:tcPr>
          <w:p w14:paraId="6F7AD88C" w14:textId="77777777" w:rsidR="00D630C4" w:rsidRDefault="00D630C4" w:rsidP="00052D3C">
            <w:pPr>
              <w:pStyle w:val="Default"/>
              <w:jc w:val="center"/>
              <w:rPr>
                <w:rFonts w:cs="Times New Roman"/>
                <w:color w:val="auto"/>
              </w:rPr>
            </w:pPr>
          </w:p>
        </w:tc>
        <w:tc>
          <w:tcPr>
            <w:tcW w:w="1800" w:type="dxa"/>
            <w:tcBorders>
              <w:top w:val="single" w:sz="4" w:space="0" w:color="000000"/>
              <w:left w:val="single" w:sz="4" w:space="0" w:color="000000"/>
              <w:bottom w:val="single" w:sz="4" w:space="0" w:color="000000"/>
              <w:right w:val="single" w:sz="4" w:space="0" w:color="000000"/>
            </w:tcBorders>
          </w:tcPr>
          <w:p w14:paraId="56D27529" w14:textId="77777777" w:rsidR="00D630C4" w:rsidRDefault="00D630C4" w:rsidP="00052D3C">
            <w:pPr>
              <w:pStyle w:val="Default"/>
              <w:jc w:val="center"/>
              <w:rPr>
                <w:rFonts w:cs="Times New Roman"/>
                <w:color w:val="auto"/>
              </w:rPr>
            </w:pPr>
          </w:p>
        </w:tc>
        <w:tc>
          <w:tcPr>
            <w:tcW w:w="4862" w:type="dxa"/>
            <w:tcBorders>
              <w:top w:val="single" w:sz="4" w:space="0" w:color="000000"/>
              <w:left w:val="single" w:sz="4" w:space="0" w:color="000000"/>
              <w:bottom w:val="single" w:sz="4" w:space="0" w:color="000000"/>
              <w:right w:val="single" w:sz="4" w:space="0" w:color="000000"/>
            </w:tcBorders>
            <w:vAlign w:val="center"/>
          </w:tcPr>
          <w:p w14:paraId="62E57AF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五、成本类</w:t>
            </w:r>
          </w:p>
        </w:tc>
      </w:tr>
      <w:tr w:rsidR="00D630C4" w14:paraId="69D88C09"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2FD2A7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117 </w:t>
            </w:r>
          </w:p>
        </w:tc>
        <w:tc>
          <w:tcPr>
            <w:tcW w:w="1800" w:type="dxa"/>
            <w:tcBorders>
              <w:top w:val="single" w:sz="4" w:space="0" w:color="000000"/>
              <w:left w:val="single" w:sz="4" w:space="0" w:color="000000"/>
              <w:bottom w:val="single" w:sz="4" w:space="0" w:color="000000"/>
              <w:right w:val="single" w:sz="4" w:space="0" w:color="000000"/>
            </w:tcBorders>
            <w:vAlign w:val="center"/>
          </w:tcPr>
          <w:p w14:paraId="55538D4B"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5001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160639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生产成本</w:t>
            </w:r>
          </w:p>
        </w:tc>
      </w:tr>
      <w:tr w:rsidR="00D630C4" w14:paraId="533B7E51"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38137B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118 </w:t>
            </w:r>
          </w:p>
        </w:tc>
        <w:tc>
          <w:tcPr>
            <w:tcW w:w="1800" w:type="dxa"/>
            <w:tcBorders>
              <w:top w:val="single" w:sz="4" w:space="0" w:color="000000"/>
              <w:left w:val="single" w:sz="4" w:space="0" w:color="000000"/>
              <w:bottom w:val="single" w:sz="4" w:space="0" w:color="000000"/>
              <w:right w:val="single" w:sz="4" w:space="0" w:color="000000"/>
            </w:tcBorders>
            <w:vAlign w:val="center"/>
          </w:tcPr>
          <w:p w14:paraId="7F437C3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5101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B0112C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制造费用</w:t>
            </w:r>
          </w:p>
        </w:tc>
      </w:tr>
      <w:tr w:rsidR="00D630C4" w14:paraId="6BC702A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C69D19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119 </w:t>
            </w:r>
          </w:p>
        </w:tc>
        <w:tc>
          <w:tcPr>
            <w:tcW w:w="1800" w:type="dxa"/>
            <w:tcBorders>
              <w:top w:val="single" w:sz="4" w:space="0" w:color="000000"/>
              <w:left w:val="single" w:sz="4" w:space="0" w:color="000000"/>
              <w:bottom w:val="single" w:sz="4" w:space="0" w:color="000000"/>
              <w:right w:val="single" w:sz="4" w:space="0" w:color="000000"/>
            </w:tcBorders>
            <w:vAlign w:val="center"/>
          </w:tcPr>
          <w:p w14:paraId="7299E0A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5201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44D126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劳务成本</w:t>
            </w:r>
          </w:p>
        </w:tc>
      </w:tr>
      <w:tr w:rsidR="00D630C4" w14:paraId="051E061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4CBDC4B1"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120 </w:t>
            </w:r>
          </w:p>
        </w:tc>
        <w:tc>
          <w:tcPr>
            <w:tcW w:w="1800" w:type="dxa"/>
            <w:tcBorders>
              <w:top w:val="single" w:sz="4" w:space="0" w:color="000000"/>
              <w:left w:val="single" w:sz="4" w:space="0" w:color="000000"/>
              <w:bottom w:val="single" w:sz="4" w:space="0" w:color="000000"/>
              <w:right w:val="single" w:sz="4" w:space="0" w:color="000000"/>
            </w:tcBorders>
            <w:vAlign w:val="center"/>
          </w:tcPr>
          <w:p w14:paraId="272F963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5301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7A3772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研发支出</w:t>
            </w:r>
          </w:p>
        </w:tc>
      </w:tr>
      <w:tr w:rsidR="00D630C4" w14:paraId="44D1A408"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6BDC05FA"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121 </w:t>
            </w:r>
          </w:p>
        </w:tc>
        <w:tc>
          <w:tcPr>
            <w:tcW w:w="1800" w:type="dxa"/>
            <w:tcBorders>
              <w:top w:val="single" w:sz="4" w:space="0" w:color="000000"/>
              <w:left w:val="single" w:sz="4" w:space="0" w:color="000000"/>
              <w:bottom w:val="single" w:sz="4" w:space="0" w:color="000000"/>
              <w:right w:val="single" w:sz="4" w:space="0" w:color="000000"/>
            </w:tcBorders>
            <w:vAlign w:val="center"/>
          </w:tcPr>
          <w:p w14:paraId="72DE4A6B"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5401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4D9DBC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工程施工</w:t>
            </w:r>
          </w:p>
        </w:tc>
      </w:tr>
      <w:tr w:rsidR="00D630C4" w14:paraId="62CA100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398EA3F8"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122 </w:t>
            </w:r>
          </w:p>
        </w:tc>
        <w:tc>
          <w:tcPr>
            <w:tcW w:w="1800" w:type="dxa"/>
            <w:tcBorders>
              <w:top w:val="single" w:sz="4" w:space="0" w:color="000000"/>
              <w:left w:val="single" w:sz="4" w:space="0" w:color="000000"/>
              <w:bottom w:val="single" w:sz="4" w:space="0" w:color="000000"/>
              <w:right w:val="single" w:sz="4" w:space="0" w:color="000000"/>
            </w:tcBorders>
            <w:vAlign w:val="center"/>
          </w:tcPr>
          <w:p w14:paraId="30352B8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5402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02D28F2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工程结算</w:t>
            </w:r>
          </w:p>
        </w:tc>
      </w:tr>
      <w:tr w:rsidR="00D630C4" w14:paraId="66D15633"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7CD6907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123 </w:t>
            </w:r>
          </w:p>
        </w:tc>
        <w:tc>
          <w:tcPr>
            <w:tcW w:w="1800" w:type="dxa"/>
            <w:tcBorders>
              <w:top w:val="single" w:sz="4" w:space="0" w:color="000000"/>
              <w:left w:val="single" w:sz="4" w:space="0" w:color="000000"/>
              <w:bottom w:val="single" w:sz="4" w:space="0" w:color="000000"/>
              <w:right w:val="single" w:sz="4" w:space="0" w:color="000000"/>
            </w:tcBorders>
            <w:vAlign w:val="center"/>
          </w:tcPr>
          <w:p w14:paraId="4E725DC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5403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1485A9D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机械作业</w:t>
            </w:r>
          </w:p>
        </w:tc>
      </w:tr>
      <w:tr w:rsidR="00D630C4" w14:paraId="0EE22418" w14:textId="77777777" w:rsidTr="00052D3C">
        <w:trPr>
          <w:trHeight w:val="328"/>
        </w:trPr>
        <w:tc>
          <w:tcPr>
            <w:tcW w:w="1643" w:type="dxa"/>
            <w:tcBorders>
              <w:top w:val="single" w:sz="4" w:space="0" w:color="000000"/>
              <w:bottom w:val="single" w:sz="4" w:space="0" w:color="000000"/>
              <w:right w:val="single" w:sz="4" w:space="0" w:color="000000"/>
            </w:tcBorders>
          </w:tcPr>
          <w:p w14:paraId="07E4CC1B" w14:textId="77777777" w:rsidR="00D630C4" w:rsidRDefault="00D630C4" w:rsidP="00052D3C">
            <w:pPr>
              <w:pStyle w:val="Default"/>
              <w:jc w:val="center"/>
              <w:rPr>
                <w:rFonts w:cs="Times New Roman"/>
                <w:color w:val="auto"/>
              </w:rPr>
            </w:pPr>
          </w:p>
        </w:tc>
        <w:tc>
          <w:tcPr>
            <w:tcW w:w="1800" w:type="dxa"/>
            <w:tcBorders>
              <w:top w:val="single" w:sz="4" w:space="0" w:color="000000"/>
              <w:left w:val="single" w:sz="4" w:space="0" w:color="000000"/>
              <w:bottom w:val="single" w:sz="4" w:space="0" w:color="000000"/>
              <w:right w:val="single" w:sz="4" w:space="0" w:color="000000"/>
            </w:tcBorders>
          </w:tcPr>
          <w:p w14:paraId="6F76D8A9" w14:textId="77777777" w:rsidR="00D630C4" w:rsidRDefault="00D630C4" w:rsidP="00052D3C">
            <w:pPr>
              <w:pStyle w:val="Default"/>
              <w:jc w:val="center"/>
              <w:rPr>
                <w:rFonts w:cs="Times New Roman"/>
                <w:color w:val="auto"/>
              </w:rPr>
            </w:pPr>
          </w:p>
        </w:tc>
        <w:tc>
          <w:tcPr>
            <w:tcW w:w="4862" w:type="dxa"/>
            <w:tcBorders>
              <w:top w:val="single" w:sz="4" w:space="0" w:color="000000"/>
              <w:left w:val="single" w:sz="4" w:space="0" w:color="000000"/>
              <w:bottom w:val="single" w:sz="4" w:space="0" w:color="000000"/>
              <w:right w:val="single" w:sz="4" w:space="0" w:color="000000"/>
            </w:tcBorders>
            <w:vAlign w:val="center"/>
          </w:tcPr>
          <w:p w14:paraId="3D62B5B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六、损益类</w:t>
            </w:r>
          </w:p>
        </w:tc>
      </w:tr>
      <w:tr w:rsidR="00D630C4" w14:paraId="6C515456" w14:textId="77777777" w:rsidTr="00052D3C">
        <w:trPr>
          <w:trHeight w:val="340"/>
        </w:trPr>
        <w:tc>
          <w:tcPr>
            <w:tcW w:w="1643" w:type="dxa"/>
            <w:tcBorders>
              <w:top w:val="single" w:sz="4" w:space="0" w:color="000000"/>
              <w:bottom w:val="single" w:sz="4" w:space="0" w:color="000000"/>
              <w:right w:val="single" w:sz="4" w:space="0" w:color="000000"/>
            </w:tcBorders>
            <w:vAlign w:val="center"/>
          </w:tcPr>
          <w:p w14:paraId="148F74C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124 </w:t>
            </w:r>
          </w:p>
        </w:tc>
        <w:tc>
          <w:tcPr>
            <w:tcW w:w="1800" w:type="dxa"/>
            <w:tcBorders>
              <w:top w:val="single" w:sz="4" w:space="0" w:color="000000"/>
              <w:left w:val="single" w:sz="4" w:space="0" w:color="000000"/>
              <w:bottom w:val="single" w:sz="4" w:space="0" w:color="000000"/>
              <w:right w:val="single" w:sz="4" w:space="0" w:color="000000"/>
            </w:tcBorders>
            <w:vAlign w:val="center"/>
          </w:tcPr>
          <w:p w14:paraId="5E80AC4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6001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95DBE1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主营业务收入</w:t>
            </w:r>
          </w:p>
        </w:tc>
      </w:tr>
      <w:tr w:rsidR="00D630C4" w14:paraId="61C61524"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71D4FF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125 </w:t>
            </w:r>
          </w:p>
        </w:tc>
        <w:tc>
          <w:tcPr>
            <w:tcW w:w="1800" w:type="dxa"/>
            <w:tcBorders>
              <w:top w:val="single" w:sz="4" w:space="0" w:color="000000"/>
              <w:left w:val="single" w:sz="4" w:space="0" w:color="000000"/>
              <w:bottom w:val="single" w:sz="4" w:space="0" w:color="000000"/>
              <w:right w:val="single" w:sz="4" w:space="0" w:color="000000"/>
            </w:tcBorders>
            <w:vAlign w:val="center"/>
          </w:tcPr>
          <w:p w14:paraId="0A929AB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6011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546375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利息收入</w:t>
            </w:r>
          </w:p>
        </w:tc>
      </w:tr>
      <w:tr w:rsidR="00D630C4" w14:paraId="2D44EB23"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725EEA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126 </w:t>
            </w:r>
          </w:p>
        </w:tc>
        <w:tc>
          <w:tcPr>
            <w:tcW w:w="1800" w:type="dxa"/>
            <w:tcBorders>
              <w:top w:val="single" w:sz="4" w:space="0" w:color="000000"/>
              <w:left w:val="single" w:sz="4" w:space="0" w:color="000000"/>
              <w:bottom w:val="single" w:sz="4" w:space="0" w:color="000000"/>
              <w:right w:val="single" w:sz="4" w:space="0" w:color="000000"/>
            </w:tcBorders>
            <w:vAlign w:val="center"/>
          </w:tcPr>
          <w:p w14:paraId="5542529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6021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C6657D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手续费及佣金收入</w:t>
            </w:r>
          </w:p>
        </w:tc>
      </w:tr>
      <w:tr w:rsidR="00D630C4" w14:paraId="7F0172BC"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7FD6652"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127 </w:t>
            </w:r>
          </w:p>
        </w:tc>
        <w:tc>
          <w:tcPr>
            <w:tcW w:w="1800" w:type="dxa"/>
            <w:tcBorders>
              <w:top w:val="single" w:sz="4" w:space="0" w:color="000000"/>
              <w:left w:val="single" w:sz="4" w:space="0" w:color="000000"/>
              <w:bottom w:val="single" w:sz="4" w:space="0" w:color="000000"/>
              <w:right w:val="single" w:sz="4" w:space="0" w:color="000000"/>
            </w:tcBorders>
            <w:vAlign w:val="center"/>
          </w:tcPr>
          <w:p w14:paraId="5F4B320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6031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2CA1E83"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保费收入</w:t>
            </w:r>
          </w:p>
        </w:tc>
      </w:tr>
      <w:tr w:rsidR="00D630C4" w14:paraId="7CD3BB93"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759B8CC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128 </w:t>
            </w:r>
          </w:p>
        </w:tc>
        <w:tc>
          <w:tcPr>
            <w:tcW w:w="1800" w:type="dxa"/>
            <w:tcBorders>
              <w:top w:val="single" w:sz="4" w:space="0" w:color="000000"/>
              <w:left w:val="single" w:sz="4" w:space="0" w:color="000000"/>
              <w:bottom w:val="single" w:sz="4" w:space="0" w:color="000000"/>
              <w:right w:val="single" w:sz="4" w:space="0" w:color="000000"/>
            </w:tcBorders>
            <w:vAlign w:val="center"/>
          </w:tcPr>
          <w:p w14:paraId="6B73CF0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6041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4DB518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租赁收入</w:t>
            </w:r>
          </w:p>
        </w:tc>
      </w:tr>
      <w:tr w:rsidR="00D630C4" w14:paraId="6F4B1055"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61CFE93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129 </w:t>
            </w:r>
          </w:p>
        </w:tc>
        <w:tc>
          <w:tcPr>
            <w:tcW w:w="1800" w:type="dxa"/>
            <w:tcBorders>
              <w:top w:val="single" w:sz="4" w:space="0" w:color="000000"/>
              <w:left w:val="single" w:sz="4" w:space="0" w:color="000000"/>
              <w:bottom w:val="single" w:sz="4" w:space="0" w:color="000000"/>
              <w:right w:val="single" w:sz="4" w:space="0" w:color="000000"/>
            </w:tcBorders>
            <w:vAlign w:val="center"/>
          </w:tcPr>
          <w:p w14:paraId="0031E122"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6051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4969126"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其他业务收入</w:t>
            </w:r>
          </w:p>
        </w:tc>
      </w:tr>
      <w:tr w:rsidR="00D630C4" w14:paraId="13E46B22"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DBE778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130 </w:t>
            </w:r>
          </w:p>
        </w:tc>
        <w:tc>
          <w:tcPr>
            <w:tcW w:w="1800" w:type="dxa"/>
            <w:tcBorders>
              <w:top w:val="single" w:sz="4" w:space="0" w:color="000000"/>
              <w:left w:val="single" w:sz="4" w:space="0" w:color="000000"/>
              <w:bottom w:val="single" w:sz="4" w:space="0" w:color="000000"/>
              <w:right w:val="single" w:sz="4" w:space="0" w:color="000000"/>
            </w:tcBorders>
            <w:vAlign w:val="center"/>
          </w:tcPr>
          <w:p w14:paraId="7EFD7D8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6061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DC61A1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汇兑损益</w:t>
            </w:r>
          </w:p>
        </w:tc>
      </w:tr>
      <w:tr w:rsidR="00D630C4" w14:paraId="501E6329"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CEEAB5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131 </w:t>
            </w:r>
          </w:p>
        </w:tc>
        <w:tc>
          <w:tcPr>
            <w:tcW w:w="1800" w:type="dxa"/>
            <w:tcBorders>
              <w:top w:val="single" w:sz="4" w:space="0" w:color="000000"/>
              <w:left w:val="single" w:sz="4" w:space="0" w:color="000000"/>
              <w:bottom w:val="single" w:sz="4" w:space="0" w:color="000000"/>
              <w:right w:val="single" w:sz="4" w:space="0" w:color="000000"/>
            </w:tcBorders>
            <w:vAlign w:val="center"/>
          </w:tcPr>
          <w:p w14:paraId="2B3077C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6101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D70168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公允价值变动损益</w:t>
            </w:r>
          </w:p>
        </w:tc>
      </w:tr>
      <w:tr w:rsidR="00D630C4" w14:paraId="6EF5A789"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8CEF56F"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132 </w:t>
            </w:r>
          </w:p>
        </w:tc>
        <w:tc>
          <w:tcPr>
            <w:tcW w:w="1800" w:type="dxa"/>
            <w:tcBorders>
              <w:top w:val="single" w:sz="4" w:space="0" w:color="000000"/>
              <w:left w:val="single" w:sz="4" w:space="0" w:color="000000"/>
              <w:bottom w:val="single" w:sz="4" w:space="0" w:color="000000"/>
              <w:right w:val="single" w:sz="4" w:space="0" w:color="000000"/>
            </w:tcBorders>
            <w:vAlign w:val="center"/>
          </w:tcPr>
          <w:p w14:paraId="76AA7F7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6111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5E9A1E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投资收益</w:t>
            </w:r>
          </w:p>
        </w:tc>
      </w:tr>
      <w:tr w:rsidR="00D630C4" w14:paraId="35217DA8"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61291393"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 xml:space="preserve">133 </w:t>
            </w:r>
          </w:p>
        </w:tc>
        <w:tc>
          <w:tcPr>
            <w:tcW w:w="1800" w:type="dxa"/>
            <w:tcBorders>
              <w:top w:val="single" w:sz="4" w:space="0" w:color="000000"/>
              <w:left w:val="single" w:sz="4" w:space="0" w:color="000000"/>
              <w:bottom w:val="single" w:sz="4" w:space="0" w:color="000000"/>
              <w:right w:val="single" w:sz="4" w:space="0" w:color="000000"/>
            </w:tcBorders>
            <w:vAlign w:val="center"/>
          </w:tcPr>
          <w:p w14:paraId="7FE0E25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6201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1571730"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摊回保险责任准备金</w:t>
            </w:r>
          </w:p>
        </w:tc>
      </w:tr>
      <w:tr w:rsidR="00D630C4" w14:paraId="1C722AFF"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60DE5B30"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134 </w:t>
            </w:r>
          </w:p>
        </w:tc>
        <w:tc>
          <w:tcPr>
            <w:tcW w:w="1800" w:type="dxa"/>
            <w:tcBorders>
              <w:top w:val="single" w:sz="4" w:space="0" w:color="000000"/>
              <w:left w:val="single" w:sz="4" w:space="0" w:color="000000"/>
              <w:bottom w:val="single" w:sz="4" w:space="0" w:color="000000"/>
              <w:right w:val="single" w:sz="4" w:space="0" w:color="000000"/>
            </w:tcBorders>
            <w:vAlign w:val="center"/>
          </w:tcPr>
          <w:p w14:paraId="4D5D336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6202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0B88DC2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摊回赔付支出</w:t>
            </w:r>
          </w:p>
        </w:tc>
      </w:tr>
      <w:tr w:rsidR="00D630C4" w14:paraId="2A4EBD00"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62E82AE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135 </w:t>
            </w:r>
          </w:p>
        </w:tc>
        <w:tc>
          <w:tcPr>
            <w:tcW w:w="1800" w:type="dxa"/>
            <w:tcBorders>
              <w:top w:val="single" w:sz="4" w:space="0" w:color="000000"/>
              <w:left w:val="single" w:sz="4" w:space="0" w:color="000000"/>
              <w:bottom w:val="single" w:sz="4" w:space="0" w:color="000000"/>
              <w:right w:val="single" w:sz="4" w:space="0" w:color="000000"/>
            </w:tcBorders>
            <w:vAlign w:val="center"/>
          </w:tcPr>
          <w:p w14:paraId="7FC3284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6203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7CECFA6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摊回分保费用</w:t>
            </w:r>
          </w:p>
        </w:tc>
      </w:tr>
      <w:tr w:rsidR="00D630C4" w14:paraId="290B1797"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9B5676B"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136 </w:t>
            </w:r>
          </w:p>
        </w:tc>
        <w:tc>
          <w:tcPr>
            <w:tcW w:w="1800" w:type="dxa"/>
            <w:tcBorders>
              <w:top w:val="single" w:sz="4" w:space="0" w:color="000000"/>
              <w:left w:val="single" w:sz="4" w:space="0" w:color="000000"/>
              <w:bottom w:val="single" w:sz="4" w:space="0" w:color="000000"/>
              <w:right w:val="single" w:sz="4" w:space="0" w:color="000000"/>
            </w:tcBorders>
            <w:vAlign w:val="center"/>
          </w:tcPr>
          <w:p w14:paraId="2F4D331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6301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FAE9EB3"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营业外收入</w:t>
            </w:r>
          </w:p>
        </w:tc>
      </w:tr>
      <w:tr w:rsidR="00D630C4" w14:paraId="534B0830"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994B82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137 </w:t>
            </w:r>
          </w:p>
        </w:tc>
        <w:tc>
          <w:tcPr>
            <w:tcW w:w="1800" w:type="dxa"/>
            <w:tcBorders>
              <w:top w:val="single" w:sz="4" w:space="0" w:color="000000"/>
              <w:left w:val="single" w:sz="4" w:space="0" w:color="000000"/>
              <w:bottom w:val="single" w:sz="4" w:space="0" w:color="000000"/>
              <w:right w:val="single" w:sz="4" w:space="0" w:color="000000"/>
            </w:tcBorders>
            <w:vAlign w:val="center"/>
          </w:tcPr>
          <w:p w14:paraId="496A524A"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6401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0EE3C6B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主营业务成本</w:t>
            </w:r>
          </w:p>
        </w:tc>
      </w:tr>
      <w:tr w:rsidR="00D630C4" w14:paraId="05F78ACF"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085EBA3"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138 </w:t>
            </w:r>
          </w:p>
        </w:tc>
        <w:tc>
          <w:tcPr>
            <w:tcW w:w="1800" w:type="dxa"/>
            <w:tcBorders>
              <w:top w:val="single" w:sz="4" w:space="0" w:color="000000"/>
              <w:left w:val="single" w:sz="4" w:space="0" w:color="000000"/>
              <w:bottom w:val="single" w:sz="4" w:space="0" w:color="000000"/>
              <w:right w:val="single" w:sz="4" w:space="0" w:color="000000"/>
            </w:tcBorders>
            <w:vAlign w:val="center"/>
          </w:tcPr>
          <w:p w14:paraId="2CAD89A8"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6402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1886C9C7"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其他业务成本</w:t>
            </w:r>
          </w:p>
        </w:tc>
      </w:tr>
      <w:tr w:rsidR="00D630C4" w14:paraId="4EB24840"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494E92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139 </w:t>
            </w:r>
          </w:p>
        </w:tc>
        <w:tc>
          <w:tcPr>
            <w:tcW w:w="1800" w:type="dxa"/>
            <w:tcBorders>
              <w:top w:val="single" w:sz="4" w:space="0" w:color="000000"/>
              <w:left w:val="single" w:sz="4" w:space="0" w:color="000000"/>
              <w:bottom w:val="single" w:sz="4" w:space="0" w:color="000000"/>
              <w:right w:val="single" w:sz="4" w:space="0" w:color="000000"/>
            </w:tcBorders>
            <w:vAlign w:val="center"/>
          </w:tcPr>
          <w:p w14:paraId="5FC2277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6403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3672018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营业税金及附加</w:t>
            </w:r>
          </w:p>
        </w:tc>
      </w:tr>
      <w:tr w:rsidR="00D630C4" w14:paraId="34CB20FA"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288AAAC6"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140 </w:t>
            </w:r>
          </w:p>
        </w:tc>
        <w:tc>
          <w:tcPr>
            <w:tcW w:w="1800" w:type="dxa"/>
            <w:tcBorders>
              <w:top w:val="single" w:sz="4" w:space="0" w:color="000000"/>
              <w:left w:val="single" w:sz="4" w:space="0" w:color="000000"/>
              <w:bottom w:val="single" w:sz="4" w:space="0" w:color="000000"/>
              <w:right w:val="single" w:sz="4" w:space="0" w:color="000000"/>
            </w:tcBorders>
            <w:vAlign w:val="center"/>
          </w:tcPr>
          <w:p w14:paraId="6AC63A81"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6411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1BF592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利息支出</w:t>
            </w:r>
          </w:p>
        </w:tc>
      </w:tr>
      <w:tr w:rsidR="00D630C4" w14:paraId="6623F662"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6FBCF66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141 </w:t>
            </w:r>
          </w:p>
        </w:tc>
        <w:tc>
          <w:tcPr>
            <w:tcW w:w="1800" w:type="dxa"/>
            <w:tcBorders>
              <w:top w:val="single" w:sz="4" w:space="0" w:color="000000"/>
              <w:left w:val="single" w:sz="4" w:space="0" w:color="000000"/>
              <w:bottom w:val="single" w:sz="4" w:space="0" w:color="000000"/>
              <w:right w:val="single" w:sz="4" w:space="0" w:color="000000"/>
            </w:tcBorders>
            <w:vAlign w:val="center"/>
          </w:tcPr>
          <w:p w14:paraId="3F46AB1C"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6421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51F2039"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手续费及佣金支出</w:t>
            </w:r>
          </w:p>
        </w:tc>
      </w:tr>
      <w:tr w:rsidR="00D630C4" w14:paraId="14515842"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CAFF8FA"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142 </w:t>
            </w:r>
          </w:p>
        </w:tc>
        <w:tc>
          <w:tcPr>
            <w:tcW w:w="1800" w:type="dxa"/>
            <w:tcBorders>
              <w:top w:val="single" w:sz="4" w:space="0" w:color="000000"/>
              <w:left w:val="single" w:sz="4" w:space="0" w:color="000000"/>
              <w:bottom w:val="single" w:sz="4" w:space="0" w:color="000000"/>
              <w:right w:val="single" w:sz="4" w:space="0" w:color="000000"/>
            </w:tcBorders>
            <w:vAlign w:val="center"/>
          </w:tcPr>
          <w:p w14:paraId="55EF4D76"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6501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87B7C03"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提取未到期责任准备金</w:t>
            </w:r>
          </w:p>
        </w:tc>
      </w:tr>
      <w:tr w:rsidR="00D630C4" w14:paraId="1A9E18C2"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0FB3954D"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143 </w:t>
            </w:r>
          </w:p>
        </w:tc>
        <w:tc>
          <w:tcPr>
            <w:tcW w:w="1800" w:type="dxa"/>
            <w:tcBorders>
              <w:top w:val="single" w:sz="4" w:space="0" w:color="000000"/>
              <w:left w:val="single" w:sz="4" w:space="0" w:color="000000"/>
              <w:bottom w:val="single" w:sz="4" w:space="0" w:color="000000"/>
              <w:right w:val="single" w:sz="4" w:space="0" w:color="000000"/>
            </w:tcBorders>
            <w:vAlign w:val="center"/>
          </w:tcPr>
          <w:p w14:paraId="77735CB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6502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1FB9166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提取保险责任准备金</w:t>
            </w:r>
          </w:p>
        </w:tc>
      </w:tr>
      <w:tr w:rsidR="00D630C4" w14:paraId="4057454B"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3E28970E"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144 </w:t>
            </w:r>
          </w:p>
        </w:tc>
        <w:tc>
          <w:tcPr>
            <w:tcW w:w="1800" w:type="dxa"/>
            <w:tcBorders>
              <w:top w:val="single" w:sz="4" w:space="0" w:color="000000"/>
              <w:left w:val="single" w:sz="4" w:space="0" w:color="000000"/>
              <w:bottom w:val="single" w:sz="4" w:space="0" w:color="000000"/>
              <w:right w:val="single" w:sz="4" w:space="0" w:color="000000"/>
            </w:tcBorders>
            <w:vAlign w:val="center"/>
          </w:tcPr>
          <w:p w14:paraId="3637BFF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6511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3CD26D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赔付支出</w:t>
            </w:r>
          </w:p>
        </w:tc>
      </w:tr>
      <w:tr w:rsidR="00D630C4" w14:paraId="39A6F79B"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6F0A2383"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145 </w:t>
            </w:r>
          </w:p>
        </w:tc>
        <w:tc>
          <w:tcPr>
            <w:tcW w:w="1800" w:type="dxa"/>
            <w:tcBorders>
              <w:top w:val="single" w:sz="4" w:space="0" w:color="000000"/>
              <w:left w:val="single" w:sz="4" w:space="0" w:color="000000"/>
              <w:bottom w:val="single" w:sz="4" w:space="0" w:color="000000"/>
              <w:right w:val="single" w:sz="4" w:space="0" w:color="000000"/>
            </w:tcBorders>
            <w:vAlign w:val="center"/>
          </w:tcPr>
          <w:p w14:paraId="73014D8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6521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40908E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保单红利支出</w:t>
            </w:r>
          </w:p>
        </w:tc>
      </w:tr>
      <w:tr w:rsidR="00D630C4" w14:paraId="156F272E" w14:textId="77777777" w:rsidTr="00052D3C">
        <w:trPr>
          <w:trHeight w:val="325"/>
        </w:trPr>
        <w:tc>
          <w:tcPr>
            <w:tcW w:w="1643" w:type="dxa"/>
            <w:tcBorders>
              <w:top w:val="single" w:sz="4" w:space="0" w:color="000000"/>
              <w:bottom w:val="single" w:sz="4" w:space="0" w:color="000000"/>
              <w:right w:val="single" w:sz="4" w:space="0" w:color="000000"/>
            </w:tcBorders>
            <w:vAlign w:val="center"/>
          </w:tcPr>
          <w:p w14:paraId="5575DAE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146 </w:t>
            </w:r>
          </w:p>
        </w:tc>
        <w:tc>
          <w:tcPr>
            <w:tcW w:w="1800" w:type="dxa"/>
            <w:tcBorders>
              <w:top w:val="single" w:sz="4" w:space="0" w:color="000000"/>
              <w:left w:val="single" w:sz="4" w:space="0" w:color="000000"/>
              <w:bottom w:val="single" w:sz="4" w:space="0" w:color="000000"/>
              <w:right w:val="single" w:sz="4" w:space="0" w:color="000000"/>
            </w:tcBorders>
            <w:vAlign w:val="center"/>
          </w:tcPr>
          <w:p w14:paraId="255C022D"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6531 </w:t>
            </w:r>
          </w:p>
        </w:tc>
        <w:tc>
          <w:tcPr>
            <w:tcW w:w="4862" w:type="dxa"/>
            <w:tcBorders>
              <w:top w:val="single" w:sz="4" w:space="0" w:color="000000"/>
              <w:left w:val="single" w:sz="4" w:space="0" w:color="000000"/>
              <w:bottom w:val="single" w:sz="4" w:space="0" w:color="000000"/>
              <w:right w:val="single" w:sz="4" w:space="0" w:color="000000"/>
            </w:tcBorders>
            <w:vAlign w:val="center"/>
          </w:tcPr>
          <w:p w14:paraId="55CC308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退保金</w:t>
            </w:r>
          </w:p>
        </w:tc>
      </w:tr>
      <w:tr w:rsidR="00D630C4" w14:paraId="6923F273"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643ECBA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147 </w:t>
            </w:r>
          </w:p>
        </w:tc>
        <w:tc>
          <w:tcPr>
            <w:tcW w:w="1800" w:type="dxa"/>
            <w:tcBorders>
              <w:top w:val="single" w:sz="4" w:space="0" w:color="000000"/>
              <w:left w:val="single" w:sz="4" w:space="0" w:color="000000"/>
              <w:bottom w:val="single" w:sz="4" w:space="0" w:color="000000"/>
              <w:right w:val="single" w:sz="4" w:space="0" w:color="000000"/>
            </w:tcBorders>
            <w:vAlign w:val="center"/>
          </w:tcPr>
          <w:p w14:paraId="5817AB7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6541 </w:t>
            </w:r>
          </w:p>
        </w:tc>
        <w:tc>
          <w:tcPr>
            <w:tcW w:w="4862" w:type="dxa"/>
            <w:tcBorders>
              <w:top w:val="single" w:sz="4" w:space="0" w:color="000000"/>
              <w:left w:val="single" w:sz="4" w:space="0" w:color="000000"/>
              <w:bottom w:val="single" w:sz="4" w:space="0" w:color="000000"/>
              <w:right w:val="single" w:sz="4" w:space="0" w:color="000000"/>
            </w:tcBorders>
            <w:vAlign w:val="center"/>
          </w:tcPr>
          <w:p w14:paraId="1F1AFB35"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分出保费</w:t>
            </w:r>
          </w:p>
        </w:tc>
      </w:tr>
      <w:tr w:rsidR="00D630C4" w14:paraId="5B3D54A7"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3190995"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148 </w:t>
            </w:r>
          </w:p>
        </w:tc>
        <w:tc>
          <w:tcPr>
            <w:tcW w:w="1800" w:type="dxa"/>
            <w:tcBorders>
              <w:top w:val="single" w:sz="4" w:space="0" w:color="000000"/>
              <w:left w:val="single" w:sz="4" w:space="0" w:color="000000"/>
              <w:bottom w:val="single" w:sz="4" w:space="0" w:color="000000"/>
              <w:right w:val="single" w:sz="4" w:space="0" w:color="000000"/>
            </w:tcBorders>
            <w:vAlign w:val="center"/>
          </w:tcPr>
          <w:p w14:paraId="129170D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6542 </w:t>
            </w:r>
          </w:p>
        </w:tc>
        <w:tc>
          <w:tcPr>
            <w:tcW w:w="4862" w:type="dxa"/>
            <w:tcBorders>
              <w:top w:val="single" w:sz="4" w:space="0" w:color="000000"/>
              <w:left w:val="single" w:sz="4" w:space="0" w:color="000000"/>
              <w:bottom w:val="single" w:sz="4" w:space="0" w:color="000000"/>
              <w:right w:val="single" w:sz="4" w:space="0" w:color="000000"/>
            </w:tcBorders>
            <w:vAlign w:val="center"/>
          </w:tcPr>
          <w:p w14:paraId="70A3E96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分保费用</w:t>
            </w:r>
          </w:p>
        </w:tc>
      </w:tr>
      <w:tr w:rsidR="00D630C4" w14:paraId="11500E58"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5AE574D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149 </w:t>
            </w:r>
          </w:p>
        </w:tc>
        <w:tc>
          <w:tcPr>
            <w:tcW w:w="1800" w:type="dxa"/>
            <w:tcBorders>
              <w:top w:val="single" w:sz="4" w:space="0" w:color="000000"/>
              <w:left w:val="single" w:sz="4" w:space="0" w:color="000000"/>
              <w:bottom w:val="single" w:sz="4" w:space="0" w:color="000000"/>
              <w:right w:val="single" w:sz="4" w:space="0" w:color="000000"/>
            </w:tcBorders>
            <w:vAlign w:val="center"/>
          </w:tcPr>
          <w:p w14:paraId="2FC044B5"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6601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7E189D1B"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销售费用</w:t>
            </w:r>
          </w:p>
        </w:tc>
      </w:tr>
      <w:tr w:rsidR="00D630C4" w14:paraId="1DB76BCA"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4743116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150 </w:t>
            </w:r>
          </w:p>
        </w:tc>
        <w:tc>
          <w:tcPr>
            <w:tcW w:w="1800" w:type="dxa"/>
            <w:tcBorders>
              <w:top w:val="single" w:sz="4" w:space="0" w:color="000000"/>
              <w:left w:val="single" w:sz="4" w:space="0" w:color="000000"/>
              <w:bottom w:val="single" w:sz="4" w:space="0" w:color="000000"/>
              <w:right w:val="single" w:sz="4" w:space="0" w:color="000000"/>
            </w:tcBorders>
            <w:vAlign w:val="center"/>
          </w:tcPr>
          <w:p w14:paraId="730032B3"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6602 </w:t>
            </w:r>
          </w:p>
        </w:tc>
        <w:tc>
          <w:tcPr>
            <w:tcW w:w="4862" w:type="dxa"/>
            <w:tcBorders>
              <w:top w:val="single" w:sz="4" w:space="0" w:color="000000"/>
              <w:left w:val="single" w:sz="4" w:space="0" w:color="000000"/>
              <w:bottom w:val="single" w:sz="4" w:space="0" w:color="000000"/>
              <w:right w:val="single" w:sz="4" w:space="0" w:color="000000"/>
            </w:tcBorders>
            <w:vAlign w:val="center"/>
          </w:tcPr>
          <w:p w14:paraId="69A5EE6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管理费用</w:t>
            </w:r>
          </w:p>
        </w:tc>
      </w:tr>
      <w:tr w:rsidR="00D630C4" w14:paraId="32A1D0AC" w14:textId="77777777" w:rsidTr="00052D3C">
        <w:trPr>
          <w:trHeight w:val="308"/>
        </w:trPr>
        <w:tc>
          <w:tcPr>
            <w:tcW w:w="1643" w:type="dxa"/>
            <w:tcBorders>
              <w:top w:val="single" w:sz="4" w:space="0" w:color="000000"/>
              <w:bottom w:val="single" w:sz="4" w:space="0" w:color="000000"/>
              <w:right w:val="single" w:sz="4" w:space="0" w:color="000000"/>
            </w:tcBorders>
            <w:vAlign w:val="center"/>
          </w:tcPr>
          <w:p w14:paraId="20AEE8B8"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151 </w:t>
            </w:r>
          </w:p>
        </w:tc>
        <w:tc>
          <w:tcPr>
            <w:tcW w:w="1800" w:type="dxa"/>
            <w:tcBorders>
              <w:top w:val="single" w:sz="4" w:space="0" w:color="000000"/>
              <w:left w:val="single" w:sz="4" w:space="0" w:color="000000"/>
              <w:bottom w:val="single" w:sz="4" w:space="0" w:color="000000"/>
              <w:right w:val="single" w:sz="4" w:space="0" w:color="000000"/>
            </w:tcBorders>
            <w:vAlign w:val="center"/>
          </w:tcPr>
          <w:p w14:paraId="7122A77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6603 </w:t>
            </w:r>
          </w:p>
        </w:tc>
        <w:tc>
          <w:tcPr>
            <w:tcW w:w="4862" w:type="dxa"/>
            <w:tcBorders>
              <w:top w:val="single" w:sz="4" w:space="0" w:color="000000"/>
              <w:left w:val="single" w:sz="4" w:space="0" w:color="000000"/>
              <w:bottom w:val="single" w:sz="4" w:space="0" w:color="000000"/>
              <w:right w:val="single" w:sz="4" w:space="0" w:color="000000"/>
            </w:tcBorders>
            <w:vAlign w:val="center"/>
          </w:tcPr>
          <w:p w14:paraId="59808602"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财务费用</w:t>
            </w:r>
          </w:p>
        </w:tc>
      </w:tr>
      <w:tr w:rsidR="00D630C4" w14:paraId="2CED70E4"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4CF1714"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152 </w:t>
            </w:r>
          </w:p>
        </w:tc>
        <w:tc>
          <w:tcPr>
            <w:tcW w:w="1800" w:type="dxa"/>
            <w:tcBorders>
              <w:top w:val="single" w:sz="4" w:space="0" w:color="000000"/>
              <w:left w:val="single" w:sz="4" w:space="0" w:color="000000"/>
              <w:bottom w:val="single" w:sz="4" w:space="0" w:color="000000"/>
              <w:right w:val="single" w:sz="4" w:space="0" w:color="000000"/>
            </w:tcBorders>
            <w:vAlign w:val="center"/>
          </w:tcPr>
          <w:p w14:paraId="17B4FD6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6604 </w:t>
            </w:r>
          </w:p>
        </w:tc>
        <w:tc>
          <w:tcPr>
            <w:tcW w:w="4862" w:type="dxa"/>
            <w:tcBorders>
              <w:top w:val="single" w:sz="4" w:space="0" w:color="000000"/>
              <w:left w:val="single" w:sz="4" w:space="0" w:color="000000"/>
              <w:bottom w:val="single" w:sz="4" w:space="0" w:color="000000"/>
              <w:right w:val="single" w:sz="4" w:space="0" w:color="000000"/>
            </w:tcBorders>
            <w:vAlign w:val="center"/>
          </w:tcPr>
          <w:p w14:paraId="156A5FE4"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勘探费用</w:t>
            </w:r>
          </w:p>
        </w:tc>
      </w:tr>
      <w:tr w:rsidR="00D630C4" w14:paraId="53B61E21"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2C10A41C"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153 </w:t>
            </w:r>
          </w:p>
        </w:tc>
        <w:tc>
          <w:tcPr>
            <w:tcW w:w="1800" w:type="dxa"/>
            <w:tcBorders>
              <w:top w:val="single" w:sz="4" w:space="0" w:color="000000"/>
              <w:left w:val="single" w:sz="4" w:space="0" w:color="000000"/>
              <w:bottom w:val="single" w:sz="4" w:space="0" w:color="000000"/>
              <w:right w:val="single" w:sz="4" w:space="0" w:color="000000"/>
            </w:tcBorders>
            <w:vAlign w:val="center"/>
          </w:tcPr>
          <w:p w14:paraId="15749260"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6701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4203C4D"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资产减值损失</w:t>
            </w:r>
          </w:p>
        </w:tc>
      </w:tr>
      <w:tr w:rsidR="00D630C4" w14:paraId="0B077C6E"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0CAEAEC2"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154 </w:t>
            </w:r>
          </w:p>
        </w:tc>
        <w:tc>
          <w:tcPr>
            <w:tcW w:w="1800" w:type="dxa"/>
            <w:tcBorders>
              <w:top w:val="single" w:sz="4" w:space="0" w:color="000000"/>
              <w:left w:val="single" w:sz="4" w:space="0" w:color="000000"/>
              <w:bottom w:val="single" w:sz="4" w:space="0" w:color="000000"/>
              <w:right w:val="single" w:sz="4" w:space="0" w:color="000000"/>
            </w:tcBorders>
            <w:vAlign w:val="center"/>
          </w:tcPr>
          <w:p w14:paraId="247308FE"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6711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C2CBACF"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营业外支出</w:t>
            </w:r>
          </w:p>
        </w:tc>
      </w:tr>
      <w:tr w:rsidR="00D630C4" w14:paraId="28EECE3B" w14:textId="77777777" w:rsidTr="00052D3C">
        <w:trPr>
          <w:trHeight w:val="328"/>
        </w:trPr>
        <w:tc>
          <w:tcPr>
            <w:tcW w:w="1643" w:type="dxa"/>
            <w:tcBorders>
              <w:top w:val="single" w:sz="4" w:space="0" w:color="000000"/>
              <w:bottom w:val="single" w:sz="4" w:space="0" w:color="000000"/>
              <w:right w:val="single" w:sz="4" w:space="0" w:color="000000"/>
            </w:tcBorders>
            <w:vAlign w:val="center"/>
          </w:tcPr>
          <w:p w14:paraId="393D4AB9"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155 </w:t>
            </w:r>
          </w:p>
        </w:tc>
        <w:tc>
          <w:tcPr>
            <w:tcW w:w="1800" w:type="dxa"/>
            <w:tcBorders>
              <w:top w:val="single" w:sz="4" w:space="0" w:color="000000"/>
              <w:left w:val="single" w:sz="4" w:space="0" w:color="000000"/>
              <w:bottom w:val="single" w:sz="4" w:space="0" w:color="000000"/>
              <w:right w:val="single" w:sz="4" w:space="0" w:color="000000"/>
            </w:tcBorders>
            <w:vAlign w:val="center"/>
          </w:tcPr>
          <w:p w14:paraId="7F686EF9"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6801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64764981"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所得税费用</w:t>
            </w:r>
          </w:p>
        </w:tc>
      </w:tr>
      <w:tr w:rsidR="00D630C4" w14:paraId="706F2125" w14:textId="77777777" w:rsidTr="00052D3C">
        <w:trPr>
          <w:trHeight w:val="340"/>
        </w:trPr>
        <w:tc>
          <w:tcPr>
            <w:tcW w:w="1643" w:type="dxa"/>
            <w:tcBorders>
              <w:top w:val="single" w:sz="4" w:space="0" w:color="000000"/>
              <w:bottom w:val="single" w:sz="4" w:space="0" w:color="000000"/>
              <w:right w:val="single" w:sz="4" w:space="0" w:color="000000"/>
            </w:tcBorders>
            <w:vAlign w:val="center"/>
          </w:tcPr>
          <w:p w14:paraId="6C6A6447" w14:textId="77777777" w:rsidR="00D630C4" w:rsidRDefault="00D630C4" w:rsidP="00052D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156 </w:t>
            </w:r>
          </w:p>
        </w:tc>
        <w:tc>
          <w:tcPr>
            <w:tcW w:w="1800" w:type="dxa"/>
            <w:tcBorders>
              <w:top w:val="single" w:sz="4" w:space="0" w:color="000000"/>
              <w:left w:val="single" w:sz="4" w:space="0" w:color="000000"/>
              <w:bottom w:val="single" w:sz="4" w:space="0" w:color="000000"/>
              <w:right w:val="single" w:sz="4" w:space="0" w:color="000000"/>
            </w:tcBorders>
            <w:vAlign w:val="center"/>
          </w:tcPr>
          <w:p w14:paraId="4895F67F" w14:textId="77777777" w:rsidR="00D630C4" w:rsidRDefault="00D630C4" w:rsidP="00052D3C">
            <w:pPr>
              <w:pStyle w:val="Default"/>
              <w:jc w:val="center"/>
              <w:rPr>
                <w:rFonts w:ascii="Times New Roman" w:hAnsi="Times New Roman" w:cs="Times New Roman"/>
                <w:sz w:val="21"/>
                <w:szCs w:val="21"/>
              </w:rPr>
            </w:pPr>
            <w:r>
              <w:rPr>
                <w:rFonts w:ascii="Times New Roman" w:hAnsi="Times New Roman" w:cs="Times New Roman"/>
                <w:sz w:val="21"/>
                <w:szCs w:val="21"/>
              </w:rPr>
              <w:t xml:space="preserve">6901 </w:t>
            </w:r>
          </w:p>
        </w:tc>
        <w:tc>
          <w:tcPr>
            <w:tcW w:w="4862" w:type="dxa"/>
            <w:tcBorders>
              <w:top w:val="single" w:sz="4" w:space="0" w:color="000000"/>
              <w:left w:val="single" w:sz="4" w:space="0" w:color="000000"/>
              <w:bottom w:val="single" w:sz="4" w:space="0" w:color="000000"/>
              <w:right w:val="single" w:sz="4" w:space="0" w:color="000000"/>
            </w:tcBorders>
            <w:vAlign w:val="center"/>
          </w:tcPr>
          <w:p w14:paraId="3C1E45F8" w14:textId="77777777" w:rsidR="00D630C4" w:rsidRDefault="00D630C4" w:rsidP="00052D3C">
            <w:pPr>
              <w:pStyle w:val="Default"/>
              <w:rPr>
                <w:rFonts w:ascii="仿宋_GB2312" w:eastAsia="仿宋_GB2312" w:cs="仿宋_GB2312"/>
                <w:sz w:val="22"/>
                <w:szCs w:val="22"/>
              </w:rPr>
            </w:pPr>
            <w:r>
              <w:rPr>
                <w:rFonts w:ascii="仿宋_GB2312" w:eastAsia="仿宋_GB2312" w:cs="仿宋_GB2312" w:hint="eastAsia"/>
                <w:sz w:val="22"/>
                <w:szCs w:val="22"/>
              </w:rPr>
              <w:t>以前年度损益调整</w:t>
            </w:r>
          </w:p>
        </w:tc>
      </w:tr>
    </w:tbl>
    <w:p w14:paraId="7257716A" w14:textId="77777777" w:rsidR="00D630C4" w:rsidRDefault="00D630C4" w:rsidP="00D630C4">
      <w:pPr>
        <w:pStyle w:val="Default"/>
        <w:rPr>
          <w:rFonts w:cs="Times New Roman"/>
          <w:color w:val="auto"/>
        </w:rPr>
      </w:pPr>
    </w:p>
    <w:p w14:paraId="1FA6DBC8" w14:textId="77777777" w:rsidR="00D630C4" w:rsidRDefault="00D630C4" w:rsidP="00D630C4">
      <w:pPr>
        <w:pStyle w:val="CM72"/>
        <w:jc w:val="center"/>
        <w:rPr>
          <w:rFonts w:ascii="华文中宋" w:eastAsia="华文中宋" w:cs="华文中宋"/>
          <w:sz w:val="32"/>
          <w:szCs w:val="32"/>
        </w:rPr>
      </w:pPr>
      <w:r>
        <w:rPr>
          <w:rFonts w:ascii="华文中宋" w:eastAsia="华文中宋" w:cs="华文中宋" w:hint="eastAsia"/>
          <w:sz w:val="32"/>
          <w:szCs w:val="32"/>
        </w:rPr>
        <w:t>二、主要账务处理</w:t>
      </w:r>
    </w:p>
    <w:p w14:paraId="5F4A4D43" w14:textId="77777777" w:rsidR="00D630C4" w:rsidRDefault="00D630C4" w:rsidP="00D630C4">
      <w:pPr>
        <w:pStyle w:val="CM1"/>
        <w:spacing w:after="535"/>
        <w:jc w:val="center"/>
        <w:rPr>
          <w:rFonts w:ascii="宋体" w:eastAsia="宋体" w:cs="宋体"/>
          <w:sz w:val="30"/>
          <w:szCs w:val="30"/>
        </w:rPr>
      </w:pPr>
      <w:r>
        <w:rPr>
          <w:rFonts w:ascii="宋体" w:eastAsia="宋体" w:cs="宋体" w:hint="eastAsia"/>
          <w:sz w:val="30"/>
          <w:szCs w:val="30"/>
        </w:rPr>
        <w:t>资产类</w:t>
      </w:r>
      <w:r>
        <w:rPr>
          <w:rFonts w:ascii="宋体" w:eastAsia="宋体" w:cs="宋体"/>
          <w:sz w:val="30"/>
          <w:szCs w:val="30"/>
        </w:rPr>
        <w:t xml:space="preserve"> </w:t>
      </w:r>
    </w:p>
    <w:p w14:paraId="4082F9BA" w14:textId="77777777" w:rsidR="00D630C4" w:rsidRDefault="00D630C4" w:rsidP="00D630C4">
      <w:pPr>
        <w:pStyle w:val="CM3"/>
        <w:rPr>
          <w:rFonts w:ascii="仿宋_GB2312" w:eastAsia="仿宋_GB2312" w:hAnsi="Times New Roman" w:cs="仿宋_GB2312"/>
          <w:sz w:val="28"/>
          <w:szCs w:val="28"/>
        </w:rPr>
      </w:pPr>
      <w:r>
        <w:rPr>
          <w:rFonts w:ascii="Times New Roman" w:eastAsia="宋体" w:hAnsi="Times New Roman"/>
          <w:b/>
          <w:bCs/>
          <w:sz w:val="28"/>
          <w:szCs w:val="28"/>
        </w:rPr>
        <w:t xml:space="preserve">1001 </w:t>
      </w:r>
      <w:r>
        <w:rPr>
          <w:rFonts w:ascii="仿宋_GB2312" w:eastAsia="仿宋_GB2312" w:hAnsi="Times New Roman" w:cs="仿宋_GB2312" w:hint="eastAsia"/>
          <w:sz w:val="28"/>
          <w:szCs w:val="28"/>
        </w:rPr>
        <w:t>库存现金</w:t>
      </w:r>
    </w:p>
    <w:p w14:paraId="7BB32E1B"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一、本科目核算企业的库存现金。企业有内部周转使用备用金的，可以单独设置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备用金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3FCC456"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二、企业增加库存现金，借记本科目，贷记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3304DAE7" w14:textId="77777777" w:rsidR="00D630C4" w:rsidRDefault="00D630C4" w:rsidP="00D630C4">
      <w:pPr>
        <w:pStyle w:val="CM4"/>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减少库存现金做相反的会计分录。</w:t>
      </w:r>
    </w:p>
    <w:p w14:paraId="5C4EAA9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三、企业应当设置</w:t>
      </w:r>
      <w:r>
        <w:rPr>
          <w:rFonts w:ascii="Times New Roman" w:eastAsia="仿宋_GB2312" w:hAnsi="Times New Roman"/>
          <w:sz w:val="28"/>
          <w:szCs w:val="28"/>
        </w:rPr>
        <w:t>“</w:t>
      </w:r>
      <w:r>
        <w:rPr>
          <w:rFonts w:ascii="仿宋_GB2312" w:eastAsia="仿宋_GB2312" w:hAnsi="Times New Roman" w:cs="仿宋_GB2312" w:hint="eastAsia"/>
          <w:sz w:val="28"/>
          <w:szCs w:val="28"/>
        </w:rPr>
        <w:t>现金日记账</w:t>
      </w:r>
      <w:r>
        <w:rPr>
          <w:rFonts w:ascii="Times New Roman" w:eastAsia="仿宋_GB2312" w:hAnsi="Times New Roman"/>
          <w:sz w:val="28"/>
          <w:szCs w:val="28"/>
        </w:rPr>
        <w:t>”</w:t>
      </w:r>
      <w:r>
        <w:rPr>
          <w:rFonts w:ascii="仿宋_GB2312" w:eastAsia="仿宋_GB2312" w:hAnsi="Times New Roman" w:cs="仿宋_GB2312" w:hint="eastAsia"/>
          <w:sz w:val="28"/>
          <w:szCs w:val="28"/>
        </w:rPr>
        <w:t>，根据收付款凭证，按照业务发生顺序逐笔登记。每日终了，应当计算当日的现金收入合计额、现金支出合计额和结余额，将结余额与实际库存额核对，做到账款相符。</w:t>
      </w:r>
    </w:p>
    <w:p w14:paraId="50F2E7BA"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四、本科目期末借方余额，反映企业持有的库存现金。</w:t>
      </w:r>
    </w:p>
    <w:p w14:paraId="11B09CFF" w14:textId="77777777" w:rsidR="00D630C4" w:rsidRDefault="00D630C4" w:rsidP="00D630C4">
      <w:pPr>
        <w:pStyle w:val="CM3"/>
        <w:jc w:val="both"/>
        <w:rPr>
          <w:rFonts w:ascii="仿宋_GB2312" w:eastAsia="仿宋_GB2312" w:hAnsi="Times New Roman" w:cs="仿宋_GB2312"/>
          <w:sz w:val="28"/>
          <w:szCs w:val="28"/>
        </w:rPr>
      </w:pPr>
      <w:r>
        <w:rPr>
          <w:rFonts w:ascii="Times New Roman" w:eastAsia="仿宋_GB2312" w:hAnsi="Times New Roman"/>
          <w:b/>
          <w:bCs/>
          <w:sz w:val="28"/>
          <w:szCs w:val="28"/>
        </w:rPr>
        <w:t xml:space="preserve">1002 </w:t>
      </w:r>
      <w:r>
        <w:rPr>
          <w:rFonts w:ascii="仿宋_GB2312" w:eastAsia="仿宋_GB2312" w:hAnsi="Times New Roman" w:cs="仿宋_GB2312" w:hint="eastAsia"/>
          <w:sz w:val="28"/>
          <w:szCs w:val="28"/>
        </w:rPr>
        <w:t>银行存款</w:t>
      </w:r>
    </w:p>
    <w:p w14:paraId="3F838E9F" w14:textId="77777777" w:rsidR="00D630C4" w:rsidRDefault="00D630C4" w:rsidP="00D630C4">
      <w:pPr>
        <w:pStyle w:val="CM3"/>
        <w:ind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一、本科目核算企业存入银行或其他金融机构的各种款项。银行汇票存款、银行本票存款、信用卡存款、信用证保证金存款、存出投资款、外埠存款等，在</w:t>
      </w:r>
      <w:r>
        <w:rPr>
          <w:rFonts w:ascii="Times New Roman" w:eastAsia="仿宋_GB2312" w:hAnsi="Times New Roman"/>
          <w:sz w:val="28"/>
          <w:szCs w:val="28"/>
        </w:rPr>
        <w:t>“</w:t>
      </w:r>
      <w:r>
        <w:rPr>
          <w:rFonts w:ascii="仿宋_GB2312" w:eastAsia="仿宋_GB2312" w:hAnsi="Times New Roman" w:cs="仿宋_GB2312" w:hint="eastAsia"/>
          <w:sz w:val="28"/>
          <w:szCs w:val="28"/>
        </w:rPr>
        <w:t>其他货币资金</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35033524" w14:textId="77777777" w:rsidR="00D630C4" w:rsidRDefault="00D630C4" w:rsidP="00D630C4">
      <w:pPr>
        <w:pStyle w:val="CM6"/>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二、企业增加银行存款，借记本科目，贷记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等科目；减少银行存款做相反的会计分录。</w:t>
      </w:r>
    </w:p>
    <w:p w14:paraId="571A7593"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三、企业可按开户银行和其他金融机构、存款种类等设置</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银行存款日记账</w:t>
      </w:r>
      <w:r>
        <w:rPr>
          <w:rFonts w:ascii="Times New Roman" w:eastAsia="仿宋_GB2312" w:hAnsi="Times New Roman"/>
          <w:sz w:val="28"/>
          <w:szCs w:val="28"/>
        </w:rPr>
        <w:t>”</w:t>
      </w:r>
      <w:r>
        <w:rPr>
          <w:rFonts w:ascii="仿宋_GB2312" w:eastAsia="仿宋_GB2312" w:hAnsi="Times New Roman" w:cs="仿宋_GB2312" w:hint="eastAsia"/>
          <w:sz w:val="28"/>
          <w:szCs w:val="28"/>
        </w:rPr>
        <w:t>，根据收付款凭证，按照业务的发生顺序逐笔登记。每日终了，应结出余额。</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银行存款日记账</w:t>
      </w:r>
      <w:r>
        <w:rPr>
          <w:rFonts w:ascii="Times New Roman" w:eastAsia="仿宋_GB2312" w:hAnsi="Times New Roman"/>
          <w:sz w:val="28"/>
          <w:szCs w:val="28"/>
        </w:rPr>
        <w:t>”</w:t>
      </w:r>
      <w:r>
        <w:rPr>
          <w:rFonts w:ascii="仿宋_GB2312" w:eastAsia="仿宋_GB2312" w:hAnsi="Times New Roman" w:cs="仿宋_GB2312" w:hint="eastAsia"/>
          <w:sz w:val="28"/>
          <w:szCs w:val="28"/>
        </w:rPr>
        <w:t>应定期与</w:t>
      </w:r>
      <w:r>
        <w:rPr>
          <w:rFonts w:ascii="Times New Roman" w:eastAsia="仿宋_GB2312" w:hAnsi="Times New Roman"/>
          <w:sz w:val="28"/>
          <w:szCs w:val="28"/>
        </w:rPr>
        <w:t>“</w:t>
      </w:r>
      <w:r>
        <w:rPr>
          <w:rFonts w:ascii="仿宋_GB2312" w:eastAsia="仿宋_GB2312" w:hAnsi="Times New Roman" w:cs="仿宋_GB2312" w:hint="eastAsia"/>
          <w:sz w:val="28"/>
          <w:szCs w:val="28"/>
        </w:rPr>
        <w:t>银行对账单</w:t>
      </w:r>
      <w:r>
        <w:rPr>
          <w:rFonts w:ascii="Times New Roman" w:eastAsia="仿宋_GB2312" w:hAnsi="Times New Roman"/>
          <w:sz w:val="28"/>
          <w:szCs w:val="28"/>
        </w:rPr>
        <w:t>”</w:t>
      </w:r>
      <w:r>
        <w:rPr>
          <w:rFonts w:ascii="仿宋_GB2312" w:eastAsia="仿宋_GB2312" w:hAnsi="Times New Roman" w:cs="仿宋_GB2312" w:hint="eastAsia"/>
          <w:sz w:val="28"/>
          <w:szCs w:val="28"/>
        </w:rPr>
        <w:t>核对，至少每月核对一次。企业银行存款账面余额与银行对账单余额之间如有差额，应编制</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银行存款余额调节表</w:t>
      </w:r>
      <w:r>
        <w:rPr>
          <w:rFonts w:ascii="Times New Roman" w:eastAsia="仿宋_GB2312" w:hAnsi="Times New Roman"/>
          <w:sz w:val="28"/>
          <w:szCs w:val="28"/>
        </w:rPr>
        <w:t>”</w:t>
      </w:r>
      <w:r>
        <w:rPr>
          <w:rFonts w:ascii="仿宋_GB2312" w:eastAsia="仿宋_GB2312" w:hAnsi="Times New Roman" w:cs="仿宋_GB2312" w:hint="eastAsia"/>
          <w:sz w:val="28"/>
          <w:szCs w:val="28"/>
        </w:rPr>
        <w:t>调节相符。四、本科目期末借方余额，反映企业存在银行或其他金融机构的各种款项。</w:t>
      </w:r>
    </w:p>
    <w:p w14:paraId="2D1D7DE4" w14:textId="77777777" w:rsidR="00D630C4" w:rsidRDefault="00D630C4" w:rsidP="00D630C4">
      <w:pPr>
        <w:pStyle w:val="Default"/>
      </w:pPr>
    </w:p>
    <w:p w14:paraId="5F736679" w14:textId="77777777" w:rsidR="00D630C4" w:rsidRDefault="00D630C4" w:rsidP="00D630C4">
      <w:pPr>
        <w:pStyle w:val="CM7"/>
        <w:rPr>
          <w:rFonts w:ascii="仿宋_GB2312" w:eastAsia="仿宋_GB2312" w:hAnsi="Times New Roman" w:cs="仿宋_GB2312"/>
          <w:sz w:val="28"/>
          <w:szCs w:val="28"/>
        </w:rPr>
      </w:pPr>
      <w:r>
        <w:rPr>
          <w:rFonts w:ascii="Times New Roman" w:eastAsia="仿宋_GB2312" w:hAnsi="Times New Roman"/>
          <w:b/>
          <w:bCs/>
          <w:sz w:val="28"/>
          <w:szCs w:val="28"/>
        </w:rPr>
        <w:t xml:space="preserve">1003 </w:t>
      </w:r>
      <w:r>
        <w:rPr>
          <w:rFonts w:ascii="仿宋_GB2312" w:eastAsia="仿宋_GB2312" w:hAnsi="Times New Roman" w:cs="仿宋_GB2312" w:hint="eastAsia"/>
          <w:sz w:val="28"/>
          <w:szCs w:val="28"/>
        </w:rPr>
        <w:t>存放中央银行款项</w:t>
      </w:r>
    </w:p>
    <w:p w14:paraId="692F1735"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一、本科目核算企业（银行）存放于中国人民银行（以下简称</w:t>
      </w:r>
      <w:r>
        <w:rPr>
          <w:rFonts w:ascii="Times New Roman" w:eastAsia="仿宋_GB2312" w:hAnsi="Times New Roman"/>
          <w:sz w:val="28"/>
          <w:szCs w:val="28"/>
        </w:rPr>
        <w:t>“</w:t>
      </w:r>
      <w:r>
        <w:rPr>
          <w:rFonts w:ascii="仿宋_GB2312" w:eastAsia="仿宋_GB2312" w:hAnsi="Times New Roman" w:cs="仿宋_GB2312" w:hint="eastAsia"/>
          <w:sz w:val="28"/>
          <w:szCs w:val="28"/>
        </w:rPr>
        <w:t>中央银行</w:t>
      </w:r>
      <w:r>
        <w:rPr>
          <w:rFonts w:ascii="Times New Roman" w:eastAsia="仿宋_GB2312" w:hAnsi="Times New Roman"/>
          <w:sz w:val="28"/>
          <w:szCs w:val="28"/>
        </w:rPr>
        <w:t>”</w:t>
      </w:r>
      <w:r>
        <w:rPr>
          <w:rFonts w:ascii="仿宋_GB2312" w:eastAsia="仿宋_GB2312" w:hAnsi="Times New Roman" w:cs="仿宋_GB2312" w:hint="eastAsia"/>
          <w:sz w:val="28"/>
          <w:szCs w:val="28"/>
        </w:rPr>
        <w:t>）的各种款项，包括业务资金的调拨、办理同城票据交换和异地跨系统资金汇划、提取或缴存现金等。</w:t>
      </w:r>
    </w:p>
    <w:p w14:paraId="4E9A31A2" w14:textId="77777777" w:rsidR="00D630C4" w:rsidRDefault="00D630C4" w:rsidP="00D630C4">
      <w:pPr>
        <w:pStyle w:val="CM7"/>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企业（银行）按规定缴存的法定准备金和超额准备金存款，也通过本科目核算。</w:t>
      </w:r>
    </w:p>
    <w:p w14:paraId="0C6EE47A" w14:textId="77777777" w:rsidR="00D630C4" w:rsidRDefault="00D630C4" w:rsidP="00D630C4">
      <w:pPr>
        <w:pStyle w:val="CM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二、本科目可按存放款项的性质进行明细核算。</w:t>
      </w:r>
    </w:p>
    <w:p w14:paraId="153FE0E2" w14:textId="77777777" w:rsidR="00D630C4" w:rsidRDefault="00D630C4" w:rsidP="00D630C4">
      <w:pPr>
        <w:pStyle w:val="CM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三、企业增加在中央银行的存款，借记本科目，贷记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吸收存款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清算资金往来</w:t>
      </w:r>
      <w:r>
        <w:rPr>
          <w:rFonts w:ascii="Times New Roman" w:eastAsia="仿宋_GB2312" w:hAnsi="Times New Roman"/>
          <w:sz w:val="28"/>
          <w:szCs w:val="28"/>
        </w:rPr>
        <w:t>”</w:t>
      </w:r>
      <w:r>
        <w:rPr>
          <w:rFonts w:ascii="仿宋_GB2312" w:eastAsia="仿宋_GB2312" w:hAnsi="Times New Roman" w:cs="仿宋_GB2312" w:hint="eastAsia"/>
          <w:sz w:val="28"/>
          <w:szCs w:val="28"/>
        </w:rPr>
        <w:t>等科目；减少在中央银行的存款做相反的会计分录。</w:t>
      </w:r>
    </w:p>
    <w:p w14:paraId="4EA2F94B" w14:textId="77777777" w:rsidR="00D630C4" w:rsidRDefault="00D630C4" w:rsidP="00D630C4">
      <w:pPr>
        <w:pStyle w:val="CM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四、本科目期末借方余额，反映企业（银行）存放在中央银行的各种款项。</w:t>
      </w:r>
    </w:p>
    <w:p w14:paraId="5D429F1E"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1011  </w:t>
      </w:r>
      <w:r>
        <w:rPr>
          <w:rFonts w:ascii="仿宋_GB2312" w:eastAsia="仿宋_GB2312" w:hAnsi="Times New Roman" w:cs="仿宋_GB2312" w:hint="eastAsia"/>
          <w:color w:val="auto"/>
          <w:sz w:val="28"/>
          <w:szCs w:val="28"/>
        </w:rPr>
        <w:t>存放同业</w:t>
      </w:r>
    </w:p>
    <w:p w14:paraId="5FDF18D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一、本科目核算企业（银行）存放于境内、境外银行和非银行金融机构的款项。企业（银行）存放中央银行的款项，在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存放中央银行款项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科目核算。</w:t>
      </w:r>
    </w:p>
    <w:p w14:paraId="0CC7D861"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二、本科目可按存放款项的性质和存放的金融机构进行明细核算。</w:t>
      </w:r>
    </w:p>
    <w:p w14:paraId="69C4BB88"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三、企业增加在同业的存款，借记本科目，贷记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存放中央银行款项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等科目；减少在同业的存款做相反的会计分录。四、本科目期末借方余额，反映企业（银行）存放在同业的各种</w:t>
      </w:r>
      <w:r>
        <w:rPr>
          <w:rFonts w:ascii="仿宋_GB2312" w:eastAsia="仿宋_GB2312" w:hAnsi="Times New Roman" w:cs="仿宋_GB2312" w:hint="eastAsia"/>
          <w:sz w:val="28"/>
          <w:szCs w:val="28"/>
        </w:rPr>
        <w:t>款项。</w:t>
      </w:r>
    </w:p>
    <w:p w14:paraId="3B5B3662"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p>
    <w:p w14:paraId="35422F9C"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1012 </w:t>
      </w:r>
      <w:r>
        <w:rPr>
          <w:rFonts w:ascii="仿宋_GB2312" w:eastAsia="仿宋_GB2312" w:hAnsi="Times New Roman" w:cs="仿宋_GB2312" w:hint="eastAsia"/>
          <w:color w:val="auto"/>
          <w:sz w:val="28"/>
          <w:szCs w:val="28"/>
        </w:rPr>
        <w:t>其他货币资金</w:t>
      </w:r>
    </w:p>
    <w:p w14:paraId="47293DA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一、本科目核算企业的银行汇票存款、银行本票存款、信用卡存款、信用证保证金存款、存出投资款、外埠存款等其他货币资金。</w:t>
      </w:r>
    </w:p>
    <w:p w14:paraId="142E07A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二、企业增加其他货币资金，借记本科目，贷记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科目；减少其他货币资金，借记有关科目，贷记本科目。</w:t>
      </w:r>
    </w:p>
    <w:p w14:paraId="44E96EE9"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三、本科目可按银行汇票或本票、信用证的收款单位，外埠存</w:t>
      </w:r>
      <w:r>
        <w:rPr>
          <w:rFonts w:ascii="仿宋_GB2312" w:eastAsia="仿宋_GB2312" w:hAnsi="Times New Roman" w:cs="仿宋_GB2312" w:hint="eastAsia"/>
          <w:sz w:val="28"/>
          <w:szCs w:val="28"/>
        </w:rPr>
        <w:lastRenderedPageBreak/>
        <w:t>款的开户银行，分别</w:t>
      </w:r>
      <w:r>
        <w:rPr>
          <w:rFonts w:ascii="Times New Roman" w:eastAsia="仿宋_GB2312" w:hAnsi="Times New Roman"/>
          <w:sz w:val="28"/>
          <w:szCs w:val="28"/>
        </w:rPr>
        <w:t>“</w:t>
      </w:r>
      <w:r>
        <w:rPr>
          <w:rFonts w:ascii="仿宋_GB2312" w:eastAsia="仿宋_GB2312" w:hAnsi="Times New Roman" w:cs="仿宋_GB2312" w:hint="eastAsia"/>
          <w:sz w:val="28"/>
          <w:szCs w:val="28"/>
        </w:rPr>
        <w:t>银行汇票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银行本票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信用卡</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信用证保证金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存出投资款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外埠存款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等进行明细核算。</w:t>
      </w:r>
    </w:p>
    <w:p w14:paraId="4A50AC2C" w14:textId="77777777" w:rsidR="00D630C4" w:rsidRDefault="00D630C4" w:rsidP="00D630C4">
      <w:pPr>
        <w:pStyle w:val="CM73"/>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四、本科目期末借方余额，反映企业持有的其他货币资金。</w:t>
      </w:r>
    </w:p>
    <w:p w14:paraId="13E9F16C"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1021 </w:t>
      </w:r>
      <w:r>
        <w:rPr>
          <w:rFonts w:ascii="仿宋_GB2312" w:eastAsia="仿宋_GB2312" w:hAnsi="Times New Roman" w:cs="仿宋_GB2312" w:hint="eastAsia"/>
          <w:color w:val="auto"/>
          <w:sz w:val="28"/>
          <w:szCs w:val="28"/>
        </w:rPr>
        <w:t>结算备付金</w:t>
      </w:r>
    </w:p>
    <w:p w14:paraId="10DF831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证券）为证券交易的资金清算与交收而存入指定清算代理机构的款项。企业（证券）向客户收取的结算手续费、向证券交易所支付的结算手续费，也通过本科目核算。企业（证券）因证券交易与清算代理机构办理资金清算的款项等，可以单独设置</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证券清算款</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w:t>
      </w:r>
    </w:p>
    <w:p w14:paraId="69B5E94B"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二、本科目可按清算代理机构，分别</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自有</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客户</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等进行明细核算。</w:t>
      </w:r>
    </w:p>
    <w:p w14:paraId="02C3C275"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三、结算备付金的主要账务处理。</w:t>
      </w:r>
    </w:p>
    <w:p w14:paraId="2B07BEAC"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（一）企业将款项存入清算代理机构，借记本科目，贷记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等科目；从清算代理机构划回资金做相反的会计分录。</w:t>
      </w:r>
    </w:p>
    <w:p w14:paraId="632AA0DB"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（二）接受客户委托，买入证券成交总额大于卖出证券成交总额的，应按买卖证券成交价的差额加上代扣代交的相关税费和应向客户</w:t>
      </w:r>
      <w:r>
        <w:rPr>
          <w:rFonts w:ascii="仿宋_GB2312" w:eastAsia="仿宋_GB2312" w:hAnsi="Times New Roman" w:cs="仿宋_GB2312" w:hint="eastAsia"/>
          <w:sz w:val="28"/>
          <w:szCs w:val="28"/>
        </w:rPr>
        <w:t>收取的佣金等之和，借记</w:t>
      </w:r>
      <w:r>
        <w:rPr>
          <w:rFonts w:ascii="Times New Roman" w:eastAsia="仿宋_GB2312" w:hAnsi="Times New Roman"/>
          <w:sz w:val="28"/>
          <w:szCs w:val="28"/>
        </w:rPr>
        <w:t>“</w:t>
      </w:r>
      <w:r>
        <w:rPr>
          <w:rFonts w:ascii="仿宋_GB2312" w:eastAsia="仿宋_GB2312" w:hAnsi="Times New Roman" w:cs="仿宋_GB2312" w:hint="eastAsia"/>
          <w:sz w:val="28"/>
          <w:szCs w:val="28"/>
        </w:rPr>
        <w:t>代理买卖证券款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等科目，贷记本科目（客户）、</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等科目。按企业应负担的交易费用，借记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科目，按应向客户收取的手续费及佣金，贷记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科目，按其差额，借记本科目（自有）、</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569D04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接受客户委托，卖出证券成交总额大于买入证券成交总额的，应</w:t>
      </w:r>
      <w:r>
        <w:rPr>
          <w:rFonts w:ascii="仿宋_GB2312" w:eastAsia="仿宋_GB2312" w:hAnsi="Times New Roman" w:cs="仿宋_GB2312" w:hint="eastAsia"/>
          <w:sz w:val="28"/>
          <w:szCs w:val="28"/>
        </w:rPr>
        <w:lastRenderedPageBreak/>
        <w:t>按买卖证券成交价的差额减去代扣代交的相关税费和应向客户收取的佣金等后的余额，借记本科目（客户）、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代理买卖证券款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等科目。按企业应负担的交易费用，借记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科目，按应向客户收取的手续费及佣金，贷记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科目，按其差额，借记本科目（自有）、</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767B151"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（三）在证券交易所进行自营证券交易的，应在取得时根据持有证券的意图等对其进行分类，比照</w:t>
      </w:r>
      <w:r>
        <w:rPr>
          <w:rFonts w:ascii="Times New Roman" w:eastAsia="仿宋_GB2312" w:hAnsi="Times New Roman"/>
          <w:sz w:val="28"/>
          <w:szCs w:val="28"/>
        </w:rPr>
        <w:t>“</w:t>
      </w:r>
      <w:r>
        <w:rPr>
          <w:rFonts w:ascii="仿宋_GB2312" w:eastAsia="仿宋_GB2312" w:hAnsi="Times New Roman" w:cs="仿宋_GB2312" w:hint="eastAsia"/>
          <w:sz w:val="28"/>
          <w:szCs w:val="28"/>
        </w:rPr>
        <w:t>交易性金融资产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可供出售金融资产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等科目的相关规定进行处理。</w:t>
      </w:r>
    </w:p>
    <w:p w14:paraId="600A70ED"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四、本科目期末借方余额，反映企业存在指定清算代理机构的款项。</w:t>
      </w:r>
    </w:p>
    <w:p w14:paraId="0B9B21B9" w14:textId="77777777" w:rsidR="00D630C4" w:rsidRDefault="00D630C4" w:rsidP="00D630C4">
      <w:pPr>
        <w:pStyle w:val="Default"/>
        <w:spacing w:line="546" w:lineRule="atLeast"/>
        <w:ind w:right="40" w:hanging="1"/>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1031 </w:t>
      </w:r>
      <w:r>
        <w:rPr>
          <w:rFonts w:ascii="仿宋_GB2312" w:eastAsia="仿宋_GB2312" w:hAnsi="Times New Roman" w:cs="仿宋_GB2312" w:hint="eastAsia"/>
          <w:color w:val="auto"/>
          <w:sz w:val="28"/>
          <w:szCs w:val="28"/>
        </w:rPr>
        <w:t>存出保证金</w:t>
      </w:r>
    </w:p>
    <w:p w14:paraId="59695FB7"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一、本科目核算企业（金融）因办理业务需要存出或交纳的各种保证金款项。</w:t>
      </w:r>
    </w:p>
    <w:p w14:paraId="3A89E172"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二、本科目可按保证金的类别以及存放单位或交易场所进行明细核算。</w:t>
      </w:r>
    </w:p>
    <w:p w14:paraId="569AB6D1" w14:textId="77777777" w:rsidR="00D630C4" w:rsidRDefault="00D630C4" w:rsidP="00D630C4">
      <w:pPr>
        <w:pStyle w:val="CM12"/>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三、企业存出保证金，借记本科目，贷记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等科目；减少或收回保证金时做相反的会计分录。</w:t>
      </w:r>
    </w:p>
    <w:p w14:paraId="0864590E" w14:textId="77777777" w:rsidR="00D630C4" w:rsidRDefault="00D630C4" w:rsidP="00D630C4">
      <w:pPr>
        <w:pStyle w:val="CM8"/>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四、本科目期末借方余额，反映企业存出或交纳的各种保证金余额。</w:t>
      </w:r>
    </w:p>
    <w:p w14:paraId="0CB91B7F" w14:textId="77777777" w:rsidR="00D630C4" w:rsidRDefault="00D630C4" w:rsidP="00D630C4">
      <w:pPr>
        <w:pStyle w:val="Default"/>
        <w:spacing w:line="546" w:lineRule="atLeast"/>
        <w:ind w:right="40" w:firstLine="6"/>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lastRenderedPageBreak/>
        <w:t xml:space="preserve">1101  </w:t>
      </w:r>
      <w:r>
        <w:rPr>
          <w:rFonts w:ascii="仿宋_GB2312" w:eastAsia="仿宋_GB2312" w:hAnsi="Times New Roman" w:cs="仿宋_GB2312" w:hint="eastAsia"/>
          <w:color w:val="auto"/>
          <w:sz w:val="28"/>
          <w:szCs w:val="28"/>
        </w:rPr>
        <w:t>交易性金融资产</w:t>
      </w:r>
    </w:p>
    <w:p w14:paraId="34608D76"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一、本科目核算企业为交易目的所持有的债券投资、股票投资、基金投资等交易性金融资产的公允价值。企业持有的直接指定为以公允价值计量且其变动计入当期损益的金融资产，也在本科目核算。</w:t>
      </w:r>
    </w:p>
    <w:p w14:paraId="771FB5CA"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金融）接受委托采用全额承购包销、余额承购包销方式承销的证券，应在收到证券时将其进行分类。划分为以公允价值计量且其变动计入当期损益的金融资产的，应在本科目核算；划分为可供出售金融资产的，应在</w:t>
      </w:r>
      <w:r>
        <w:rPr>
          <w:rFonts w:ascii="Times New Roman" w:eastAsia="仿宋_GB2312" w:hAnsi="Times New Roman"/>
          <w:sz w:val="28"/>
          <w:szCs w:val="28"/>
        </w:rPr>
        <w:t>“</w:t>
      </w:r>
      <w:r>
        <w:rPr>
          <w:rFonts w:ascii="仿宋_GB2312" w:eastAsia="仿宋_GB2312" w:hAnsi="Times New Roman" w:cs="仿宋_GB2312" w:hint="eastAsia"/>
          <w:sz w:val="28"/>
          <w:szCs w:val="28"/>
        </w:rPr>
        <w:t>可供出售金融资产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科目核算。</w:t>
      </w:r>
    </w:p>
    <w:p w14:paraId="168E02FE"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衍生金融资产在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衍生工具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科目核算。</w:t>
      </w:r>
    </w:p>
    <w:p w14:paraId="61158072"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二、本科目可按交易性金融资产的类别和品种，分别</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w:t>
      </w:r>
      <w:r>
        <w:rPr>
          <w:rFonts w:ascii="Times New Roman" w:eastAsia="仿宋_GB2312" w:hAnsi="Times New Roman"/>
          <w:sz w:val="28"/>
          <w:szCs w:val="28"/>
        </w:rPr>
        <w:t>”</w:t>
      </w:r>
      <w:r>
        <w:rPr>
          <w:rFonts w:ascii="仿宋_GB2312" w:eastAsia="仿宋_GB2312" w:hAnsi="Times New Roman" w:cs="仿宋_GB2312" w:hint="eastAsia"/>
          <w:sz w:val="28"/>
          <w:szCs w:val="28"/>
        </w:rPr>
        <w:t>等进行明细核算。</w:t>
      </w:r>
    </w:p>
    <w:p w14:paraId="10ED7BC5"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三、交易性金融资产的主要账务处理。</w:t>
      </w:r>
    </w:p>
    <w:p w14:paraId="01B1ECB1"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（一）企业取得交易性金融资产，按其公允价值，借记本科目（成本），按发生的交易费用，借记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科目，按已到付息期但尚未领取的利息或已宣告但尚未发放的现金股利，借记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结算备付金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21D1F7A7"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（二）交易性金融资产持有期间被投资单位宣告发放的现金股利，或在资产负债表日按分期付息、一次还本债券投资的票面利率计算的利息，借记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F1681BD"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（三）资产负债表日，交易性金融资产的公允价值高于其账面余额的差额，借记本科目（公允价值变动），贷记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lastRenderedPageBreak/>
        <w:t>科目；公允价值低于其账面余额的差额做相反的会计分录。</w:t>
      </w:r>
    </w:p>
    <w:p w14:paraId="6D7BDF63"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（四）出售交易性金融资产，应按实际收到的金额，借记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结算备付金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等科目，按该金融资产的账面余额，贷记本科目，按其差额，贷记或借记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科目。同时，将原计入该金融资产的公允价值变动转出，借记或贷记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公允价值变动损益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4435CDDA"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四、本科目期末借方余额，反映企业持有的交易性金融资产的公允价值。</w:t>
      </w:r>
    </w:p>
    <w:p w14:paraId="5F270BD2"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1111 </w:t>
      </w:r>
      <w:r>
        <w:rPr>
          <w:rFonts w:ascii="仿宋_GB2312" w:eastAsia="仿宋_GB2312" w:hAnsi="Times New Roman" w:cs="仿宋_GB2312" w:hint="eastAsia"/>
          <w:color w:val="auto"/>
          <w:sz w:val="28"/>
          <w:szCs w:val="28"/>
        </w:rPr>
        <w:t>买入返售金融资产</w:t>
      </w:r>
    </w:p>
    <w:p w14:paraId="77FD5924"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一、本科目核算企业（金融）按照返售协议约定先买入再按固定价格返售的票据、证券、贷款等金融资产所融出的资金。</w:t>
      </w:r>
    </w:p>
    <w:p w14:paraId="4D51C2D2"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二、本科目可按买入返售金融资产的类别和融资方进行明细核算。</w:t>
      </w:r>
    </w:p>
    <w:p w14:paraId="54ABDF29"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三、买入返售金融资产的主要账务处理。</w:t>
      </w:r>
    </w:p>
    <w:p w14:paraId="609CFEC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（一）企业根据返售协议买入金融资产，应按实际支付的金额，借记本科目，贷记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01E84004"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（二）资产负债表日，按照计算确定的买入返售金融资产的利息收入，借记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应收利息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5EC93B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（三）返售日，应按实际收到的金额，借记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等科目，按其账面余额，贷记本科目、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应收利息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FECEC5E"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四、本科目期末借方余额，反映企业买入的尚未到期返售金融资产摊余成本。</w:t>
      </w:r>
    </w:p>
    <w:p w14:paraId="5F34A4CB" w14:textId="77777777" w:rsidR="00D630C4" w:rsidRDefault="00D630C4" w:rsidP="00D630C4">
      <w:pPr>
        <w:pStyle w:val="CM77"/>
        <w:spacing w:line="546" w:lineRule="atLeast"/>
        <w:rPr>
          <w:rFonts w:ascii="仿宋_GB2312" w:eastAsia="仿宋_GB2312" w:hAnsi="Times New Roman" w:cs="仿宋_GB2312"/>
          <w:sz w:val="28"/>
          <w:szCs w:val="28"/>
        </w:rPr>
      </w:pPr>
      <w:r>
        <w:rPr>
          <w:rFonts w:ascii="Times New Roman" w:hAnsi="Times New Roman"/>
          <w:b/>
          <w:bCs/>
          <w:sz w:val="28"/>
          <w:szCs w:val="28"/>
        </w:rPr>
        <w:t xml:space="preserve">1121  </w:t>
      </w:r>
      <w:r>
        <w:rPr>
          <w:rFonts w:ascii="仿宋_GB2312" w:eastAsia="仿宋_GB2312" w:hAnsi="Times New Roman" w:cs="仿宋_GB2312" w:hint="eastAsia"/>
          <w:sz w:val="28"/>
          <w:szCs w:val="28"/>
        </w:rPr>
        <w:t>应收票据</w:t>
      </w:r>
    </w:p>
    <w:p w14:paraId="01A2E700" w14:textId="77777777" w:rsidR="00D630C4" w:rsidRDefault="00D630C4" w:rsidP="00D630C4">
      <w:pPr>
        <w:pStyle w:val="CM77"/>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一、本科目核算企业因销售商品、提供劳务等而收到的商业汇票，包括银行承兑汇票和商业承兑汇票。</w:t>
      </w:r>
    </w:p>
    <w:p w14:paraId="6184AA03" w14:textId="77777777" w:rsidR="00D630C4" w:rsidRDefault="00D630C4" w:rsidP="00D630C4">
      <w:pPr>
        <w:pStyle w:val="CM77"/>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二、本科目可按开出、承兑商业汇票的单位进行明细核算。</w:t>
      </w:r>
    </w:p>
    <w:p w14:paraId="397B2C14" w14:textId="77777777" w:rsidR="00D630C4" w:rsidRDefault="00D630C4" w:rsidP="00D630C4">
      <w:pPr>
        <w:pStyle w:val="Default"/>
        <w:ind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三、应收票据的主要账务处理。</w:t>
      </w:r>
    </w:p>
    <w:p w14:paraId="4556CB4A"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（一）企业因销售商品、提供劳务等而收到开出、承兑的商业汇票，按商业汇票的票面金额，借记本科目，按确认的营业收入，贷记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等科目。涉及增值税销项税额的，还应进行相应的处理。</w:t>
      </w:r>
    </w:p>
    <w:p w14:paraId="2DC1AF6C"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（二）持未到期的商业汇票向银行贴现，应按实际收到的金额</w:t>
      </w:r>
      <w:r>
        <w:rPr>
          <w:rFonts w:ascii="Times New Roman" w:eastAsia="仿宋_GB2312" w:hAnsi="Times New Roman"/>
          <w:sz w:val="28"/>
          <w:szCs w:val="28"/>
        </w:rPr>
        <w:t>(</w:t>
      </w:r>
      <w:r>
        <w:rPr>
          <w:rFonts w:ascii="仿宋_GB2312" w:eastAsia="仿宋_GB2312" w:hAnsi="Times New Roman" w:cs="仿宋_GB2312" w:hint="eastAsia"/>
          <w:sz w:val="28"/>
          <w:szCs w:val="28"/>
        </w:rPr>
        <w:t>即减去贴现息后的净额</w:t>
      </w:r>
      <w:r>
        <w:rPr>
          <w:rFonts w:ascii="Times New Roman" w:eastAsia="仿宋_GB2312" w:hAnsi="Times New Roman"/>
          <w:sz w:val="28"/>
          <w:szCs w:val="28"/>
        </w:rPr>
        <w:t>)</w:t>
      </w:r>
      <w:r>
        <w:rPr>
          <w:rFonts w:ascii="仿宋_GB2312" w:eastAsia="仿宋_GB2312" w:hAnsi="Times New Roman" w:cs="仿宋_GB2312" w:hint="eastAsia"/>
          <w:sz w:val="28"/>
          <w:szCs w:val="28"/>
        </w:rPr>
        <w:t>，借记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等科目，按贴现息部分，借记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等科目，按商业汇票的票面金额，贷记本科目或</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短期借款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7A739E6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（三）将持有的商业汇票背书转让以取得所需物资，按应计入取得物资成本的金额，借记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等科目，按商业汇票的票面金额，贷记本科目，如有差额，借记或贷记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等科目。涉及增值税进项税额的，还应进行相应的处理。</w:t>
      </w:r>
    </w:p>
    <w:p w14:paraId="40907291"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（四）商业汇票到期，应按实际收到的金额，借记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w:t>
      </w:r>
      <w:r>
        <w:rPr>
          <w:rFonts w:ascii="仿宋_GB2312" w:eastAsia="仿宋_GB2312" w:hAnsi="Times New Roman" w:cs="仿宋_GB2312" w:hint="eastAsia"/>
          <w:sz w:val="28"/>
          <w:szCs w:val="28"/>
        </w:rPr>
        <w:lastRenderedPageBreak/>
        <w:t>目，按商业汇票的票面金额，贷记本科目。</w:t>
      </w:r>
    </w:p>
    <w:p w14:paraId="0087F17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四、企业应当设置</w:t>
      </w:r>
      <w:r>
        <w:rPr>
          <w:rFonts w:ascii="Times New Roman" w:eastAsia="仿宋_GB2312" w:hAnsi="Times New Roman"/>
          <w:sz w:val="28"/>
          <w:szCs w:val="28"/>
        </w:rPr>
        <w:t>“</w:t>
      </w:r>
      <w:r>
        <w:rPr>
          <w:rFonts w:ascii="仿宋_GB2312" w:eastAsia="仿宋_GB2312" w:hAnsi="Times New Roman" w:cs="仿宋_GB2312" w:hint="eastAsia"/>
          <w:sz w:val="28"/>
          <w:szCs w:val="28"/>
        </w:rPr>
        <w:t>应收票据备查簿</w:t>
      </w:r>
      <w:r>
        <w:rPr>
          <w:rFonts w:ascii="Times New Roman" w:eastAsia="仿宋_GB2312" w:hAnsi="Times New Roman"/>
          <w:sz w:val="28"/>
          <w:szCs w:val="28"/>
        </w:rPr>
        <w:t>”</w:t>
      </w:r>
      <w:r>
        <w:rPr>
          <w:rFonts w:ascii="仿宋_GB2312" w:eastAsia="仿宋_GB2312" w:hAnsi="Times New Roman" w:cs="仿宋_GB2312" w:hint="eastAsia"/>
          <w:sz w:val="28"/>
          <w:szCs w:val="28"/>
        </w:rPr>
        <w:t>，逐笔登记商业汇票的种类、号数和出票日、票面金额、交易合同号和付款人、承兑人、背书人的姓名或单位名称、到期日、背书转让日、贴现日、贴现率和贴现净额以及收款日和收回金额、退票情况等资料。商业汇票到期结清票款或退票后，在备查簿中应予注销。</w:t>
      </w:r>
    </w:p>
    <w:p w14:paraId="7A47B620"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五、本科目期末借方余额，反映企业持有的商业汇票的票面金额。</w:t>
      </w:r>
    </w:p>
    <w:p w14:paraId="2C22DD8B" w14:textId="77777777" w:rsidR="00D630C4" w:rsidRDefault="00D630C4" w:rsidP="00D630C4">
      <w:pPr>
        <w:pStyle w:val="CM18"/>
        <w:ind w:right="40"/>
        <w:rPr>
          <w:rFonts w:ascii="仿宋_GB2312" w:eastAsia="仿宋_GB2312" w:hAnsi="Times New Roman" w:cs="仿宋_GB2312"/>
          <w:sz w:val="28"/>
          <w:szCs w:val="28"/>
        </w:rPr>
      </w:pPr>
      <w:r>
        <w:rPr>
          <w:rFonts w:ascii="Times New Roman" w:eastAsia="仿宋_GB2312" w:hAnsi="Times New Roman"/>
          <w:b/>
          <w:bCs/>
          <w:sz w:val="28"/>
          <w:szCs w:val="28"/>
        </w:rPr>
        <w:t xml:space="preserve">1122  </w:t>
      </w:r>
      <w:r>
        <w:rPr>
          <w:rFonts w:ascii="仿宋_GB2312" w:eastAsia="仿宋_GB2312" w:hAnsi="Times New Roman" w:cs="仿宋_GB2312" w:hint="eastAsia"/>
          <w:sz w:val="28"/>
          <w:szCs w:val="28"/>
        </w:rPr>
        <w:t>应收账款</w:t>
      </w:r>
    </w:p>
    <w:p w14:paraId="5099DC83" w14:textId="77777777" w:rsidR="00D630C4" w:rsidRDefault="00D630C4" w:rsidP="00D630C4">
      <w:pPr>
        <w:pStyle w:val="CM1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一、本科目核算企业因销售商品、提供劳务等经营活动应收取的款项。企业（保险）按照原保险合同约定应向投保人收取的保费，可将本科目改为</w:t>
      </w:r>
      <w:r>
        <w:rPr>
          <w:rFonts w:ascii="Times New Roman" w:eastAsia="仿宋_GB2312" w:hAnsi="Times New Roman"/>
          <w:sz w:val="28"/>
          <w:szCs w:val="28"/>
        </w:rPr>
        <w:t xml:space="preserve">“1122  </w:t>
      </w:r>
      <w:r>
        <w:rPr>
          <w:rFonts w:ascii="仿宋_GB2312" w:eastAsia="仿宋_GB2312" w:hAnsi="Times New Roman" w:cs="仿宋_GB2312" w:hint="eastAsia"/>
          <w:sz w:val="28"/>
          <w:szCs w:val="28"/>
        </w:rPr>
        <w:t>应收保费</w:t>
      </w:r>
      <w:r>
        <w:rPr>
          <w:rFonts w:ascii="Times New Roman" w:eastAsia="仿宋_GB2312" w:hAnsi="Times New Roman"/>
          <w:sz w:val="28"/>
          <w:szCs w:val="28"/>
        </w:rPr>
        <w:t>”</w:t>
      </w:r>
      <w:r>
        <w:rPr>
          <w:rFonts w:ascii="仿宋_GB2312" w:eastAsia="仿宋_GB2312" w:hAnsi="Times New Roman" w:cs="仿宋_GB2312" w:hint="eastAsia"/>
          <w:sz w:val="28"/>
          <w:szCs w:val="28"/>
        </w:rPr>
        <w:t>科目，并按照投保人进行明细核算。企业（金融）应收取的手续费和佣金，可将本科目改为</w:t>
      </w:r>
      <w:r>
        <w:rPr>
          <w:rFonts w:ascii="Times New Roman" w:eastAsia="仿宋_GB2312" w:hAnsi="Times New Roman"/>
          <w:sz w:val="28"/>
          <w:szCs w:val="28"/>
        </w:rPr>
        <w:t xml:space="preserve">“1124  </w:t>
      </w:r>
      <w:r>
        <w:rPr>
          <w:rFonts w:ascii="仿宋_GB2312" w:eastAsia="仿宋_GB2312" w:hAnsi="Times New Roman" w:cs="仿宋_GB2312" w:hint="eastAsia"/>
          <w:sz w:val="28"/>
          <w:szCs w:val="28"/>
        </w:rPr>
        <w:t>应收手续费及佣金</w:t>
      </w:r>
      <w:r>
        <w:rPr>
          <w:rFonts w:ascii="Times New Roman" w:eastAsia="仿宋_GB2312" w:hAnsi="Times New Roman"/>
          <w:sz w:val="28"/>
          <w:szCs w:val="28"/>
        </w:rPr>
        <w:t>”</w:t>
      </w:r>
      <w:r>
        <w:rPr>
          <w:rFonts w:ascii="仿宋_GB2312" w:eastAsia="仿宋_GB2312" w:hAnsi="Times New Roman" w:cs="仿宋_GB2312" w:hint="eastAsia"/>
          <w:sz w:val="28"/>
          <w:szCs w:val="28"/>
        </w:rPr>
        <w:t>科目，并按照债务人进行明细核算。因销售商品、提供劳务等，采用递延方式收取合同或协议价款、实质上具有融资性质的，在</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39AD5E37" w14:textId="77777777" w:rsidR="00D630C4" w:rsidRDefault="00D630C4" w:rsidP="00D630C4">
      <w:pPr>
        <w:pStyle w:val="CM1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二、本科目可按债务人进行明细核算。</w:t>
      </w:r>
    </w:p>
    <w:p w14:paraId="4B04288A" w14:textId="77777777" w:rsidR="00D630C4" w:rsidRDefault="00D630C4" w:rsidP="00D630C4">
      <w:pPr>
        <w:pStyle w:val="CM1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三、企业发生应收账款，按应收金额，借记本科目，按确认的营业收入，贷记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保费收入</w:t>
      </w:r>
      <w:r>
        <w:rPr>
          <w:rFonts w:ascii="Times New Roman" w:eastAsia="仿宋_GB2312" w:hAnsi="Times New Roman"/>
          <w:sz w:val="28"/>
          <w:szCs w:val="28"/>
        </w:rPr>
        <w:t>”</w:t>
      </w:r>
      <w:r>
        <w:rPr>
          <w:rFonts w:ascii="仿宋_GB2312" w:eastAsia="仿宋_GB2312" w:hAnsi="Times New Roman" w:cs="仿宋_GB2312" w:hint="eastAsia"/>
          <w:sz w:val="28"/>
          <w:szCs w:val="28"/>
        </w:rPr>
        <w:t>等科目。收回应收账款时，借记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等科目，贷记本科目。涉及增值税销项税额的，还应进行相应的处理。代购货单位垫付的包装费、运杂费，借记本科目，贷记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等科目。收回代垫费用时，</w:t>
      </w:r>
      <w:r>
        <w:rPr>
          <w:rFonts w:ascii="仿宋_GB2312" w:eastAsia="仿宋_GB2312" w:hAnsi="Times New Roman" w:cs="仿宋_GB2312" w:hint="eastAsia"/>
          <w:sz w:val="28"/>
          <w:szCs w:val="28"/>
        </w:rPr>
        <w:lastRenderedPageBreak/>
        <w:t>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799417B0" w14:textId="77777777" w:rsidR="00D630C4" w:rsidRDefault="00D630C4" w:rsidP="00D630C4">
      <w:pPr>
        <w:pStyle w:val="CM1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四、企业与债务人进行债务重组，应当分别债务重组的不同方式进行处理。</w:t>
      </w:r>
    </w:p>
    <w:p w14:paraId="415DA7CF"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（一）收到债务人清偿债务的款项小于该项应收账款账面价值的，应按实际收到的金额，借记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等科目，按重组债权已计提的坏账准备，借记</w:t>
      </w:r>
      <w:r>
        <w:rPr>
          <w:rFonts w:ascii="Times New Roman" w:eastAsia="仿宋_GB2312" w:hAnsi="Times New Roman"/>
          <w:sz w:val="28"/>
          <w:szCs w:val="28"/>
        </w:rPr>
        <w:t>“</w:t>
      </w:r>
      <w:r>
        <w:rPr>
          <w:rFonts w:ascii="仿宋_GB2312" w:eastAsia="仿宋_GB2312" w:hAnsi="Times New Roman" w:cs="仿宋_GB2312" w:hint="eastAsia"/>
          <w:sz w:val="28"/>
          <w:szCs w:val="28"/>
        </w:rPr>
        <w:t>坏账准备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科目，按重组债权的账面余额，贷记本科目，按其差额，借记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0FB873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收到债务人清偿债务的款项大于该项应收账款账面价值的，应按实际收到的金额，借记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等科目，按重组债权已计提的坏账准备，借记</w:t>
      </w:r>
      <w:r>
        <w:rPr>
          <w:rFonts w:ascii="Times New Roman" w:eastAsia="仿宋_GB2312" w:hAnsi="Times New Roman"/>
          <w:sz w:val="28"/>
          <w:szCs w:val="28"/>
        </w:rPr>
        <w:t>“</w:t>
      </w:r>
      <w:r>
        <w:rPr>
          <w:rFonts w:ascii="仿宋_GB2312" w:eastAsia="仿宋_GB2312" w:hAnsi="Times New Roman" w:cs="仿宋_GB2312" w:hint="eastAsia"/>
          <w:sz w:val="28"/>
          <w:szCs w:val="28"/>
        </w:rPr>
        <w:t>坏账准备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科目，按重组债权的账面余额，贷记本科目，按其差额，贷记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C7E3839"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以下债务重组涉及重组债权减值准备的，应当比照此规定进行处</w:t>
      </w:r>
    </w:p>
    <w:p w14:paraId="613F98E1" w14:textId="77777777" w:rsidR="00D630C4" w:rsidRDefault="00D630C4" w:rsidP="00D630C4">
      <w:pPr>
        <w:pStyle w:val="CM4"/>
        <w:rPr>
          <w:rFonts w:ascii="仿宋_GB2312" w:eastAsia="仿宋_GB2312" w:hAnsi="Times New Roman" w:cs="仿宋_GB2312"/>
          <w:sz w:val="28"/>
          <w:szCs w:val="28"/>
        </w:rPr>
      </w:pPr>
      <w:r>
        <w:rPr>
          <w:rFonts w:ascii="仿宋_GB2312" w:eastAsia="仿宋_GB2312" w:hAnsi="Times New Roman" w:cs="仿宋_GB2312" w:hint="eastAsia"/>
          <w:sz w:val="28"/>
          <w:szCs w:val="28"/>
        </w:rPr>
        <w:t>理。</w:t>
      </w:r>
    </w:p>
    <w:p w14:paraId="5FD8D617"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（二）接受债务人用于清偿债务的非现金资产，应按该项非现金资产的公允价值，借记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无形资产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等科目，按重组债权的账面余额，贷记本科目，按应支付的相关税费和其他费用，贷记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科目。涉及增值税进项税额的，还应进行相应的处理。</w:t>
      </w:r>
    </w:p>
    <w:p w14:paraId="1C9A0ED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（三）将债权转为投资，应按享有股份的公允价值，借记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科目，按重组债权的账面余额，贷记本科目，按应支付的相关税费和其他费用，贷记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w:t>
      </w:r>
      <w:r>
        <w:rPr>
          <w:rFonts w:ascii="仿宋_GB2312" w:eastAsia="仿宋_GB2312" w:hAnsi="Times New Roman" w:cs="仿宋_GB2312" w:hint="eastAsia"/>
          <w:sz w:val="28"/>
          <w:szCs w:val="28"/>
        </w:rPr>
        <w:lastRenderedPageBreak/>
        <w:t>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D3829D1"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（四）以修改其他债务条件进行清偿的，应按修改其他债务条件后债权的公允价值，借记本科目，按重组债权的账面余额，贷记本科目，按其差额，借记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EA91D5A"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五、本科目期末借方余额，反映企业尚未收回的应收账款；期末如为贷方余额，反映企业预收的账款。</w:t>
      </w:r>
    </w:p>
    <w:p w14:paraId="48D7EB26" w14:textId="77777777" w:rsidR="00D630C4" w:rsidRDefault="00D630C4" w:rsidP="00D630C4">
      <w:pPr>
        <w:pStyle w:val="CM3"/>
        <w:rPr>
          <w:rFonts w:ascii="仿宋_GB2312" w:eastAsia="仿宋_GB2312" w:hAnsi="Times New Roman" w:cs="仿宋_GB2312"/>
          <w:sz w:val="28"/>
          <w:szCs w:val="28"/>
        </w:rPr>
      </w:pPr>
      <w:r>
        <w:rPr>
          <w:rFonts w:ascii="Times New Roman" w:eastAsia="仿宋_GB2312" w:hAnsi="Times New Roman"/>
          <w:b/>
          <w:bCs/>
          <w:sz w:val="28"/>
          <w:szCs w:val="28"/>
        </w:rPr>
        <w:t xml:space="preserve">1123  </w:t>
      </w:r>
      <w:r>
        <w:rPr>
          <w:rFonts w:ascii="仿宋_GB2312" w:eastAsia="仿宋_GB2312" w:hAnsi="Times New Roman" w:cs="仿宋_GB2312" w:hint="eastAsia"/>
          <w:sz w:val="28"/>
          <w:szCs w:val="28"/>
        </w:rPr>
        <w:t>预付账款</w:t>
      </w:r>
    </w:p>
    <w:p w14:paraId="1E64E866"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一、本科目核算企业按照合同规定预付的款项。预付款项情况不多的，也可以不设置本科目，将预付的款项直接记入</w:t>
      </w:r>
      <w:r>
        <w:rPr>
          <w:rFonts w:ascii="Times New Roman" w:eastAsia="仿宋_GB2312" w:hAnsi="Times New Roman"/>
          <w:sz w:val="28"/>
          <w:szCs w:val="28"/>
        </w:rPr>
        <w:t>“</w:t>
      </w:r>
      <w:r>
        <w:rPr>
          <w:rFonts w:ascii="仿宋_GB2312" w:eastAsia="仿宋_GB2312" w:hAnsi="Times New Roman" w:cs="仿宋_GB2312" w:hint="eastAsia"/>
          <w:sz w:val="28"/>
          <w:szCs w:val="28"/>
        </w:rPr>
        <w:t>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科目。企业进行在建工程预付的工程价款，也在本科目核算。企业（保险）从事保险业务预先支付的赔付款，可将本科目改为</w:t>
      </w:r>
      <w:r>
        <w:rPr>
          <w:rFonts w:ascii="Times New Roman" w:eastAsia="仿宋_GB2312" w:hAnsi="Times New Roman"/>
          <w:sz w:val="28"/>
          <w:szCs w:val="28"/>
        </w:rPr>
        <w:t xml:space="preserve">“1123  </w:t>
      </w:r>
      <w:r>
        <w:rPr>
          <w:rFonts w:ascii="仿宋_GB2312" w:eastAsia="仿宋_GB2312" w:hAnsi="Times New Roman" w:cs="仿宋_GB2312" w:hint="eastAsia"/>
          <w:sz w:val="28"/>
          <w:szCs w:val="28"/>
        </w:rPr>
        <w:t>预付赔付款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科目，并按照保险人或受益人进行明细核算。</w:t>
      </w:r>
    </w:p>
    <w:p w14:paraId="2034517F"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二、本科目可按供货单位进行明细核算。</w:t>
      </w:r>
    </w:p>
    <w:p w14:paraId="122730B5"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三、预付账款的主要账务处理。</w:t>
      </w:r>
    </w:p>
    <w:p w14:paraId="048452BE"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（一）企业因购货而预付的款项，借记本科目，贷记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63670555"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收到所购物资，按应计入购入物资成本的金额，借记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等科目，按应支付的金额，贷记本科目。补付的款项，借记本科目，贷记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等科目；退回多付的款项做相反的会计分录。涉及增值税进项税额的，还应进行相应的处理。</w:t>
      </w:r>
    </w:p>
    <w:p w14:paraId="0244849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（二）企业进行在建工程预付的工程价款，借记本科目，贷记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等科目。按工程进度结算工程价款，借记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在建工程</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199E7DBA" w14:textId="77777777" w:rsidR="00D630C4" w:rsidRDefault="00D630C4" w:rsidP="00D630C4">
      <w:pPr>
        <w:pStyle w:val="CM25"/>
        <w:ind w:firstLine="3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（三）企业（保险）预付的赔付款，借记本科目，贷记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等科目。转销预付的赔付款，借记</w:t>
      </w:r>
      <w:r>
        <w:rPr>
          <w:rFonts w:ascii="Times New Roman" w:eastAsia="仿宋_GB2312" w:hAnsi="Times New Roman"/>
          <w:sz w:val="28"/>
          <w:szCs w:val="28"/>
        </w:rPr>
        <w:t>“</w:t>
      </w:r>
      <w:r>
        <w:rPr>
          <w:rFonts w:ascii="仿宋_GB2312" w:eastAsia="仿宋_GB2312" w:hAnsi="Times New Roman" w:cs="仿宋_GB2312" w:hint="eastAsia"/>
          <w:sz w:val="28"/>
          <w:szCs w:val="28"/>
        </w:rPr>
        <w:t>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应付分保账款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w:t>
      </w:r>
    </w:p>
    <w:p w14:paraId="704A143F" w14:textId="77777777" w:rsidR="00D630C4" w:rsidRDefault="00D630C4" w:rsidP="00D630C4">
      <w:pPr>
        <w:pStyle w:val="CM73"/>
        <w:spacing w:line="546" w:lineRule="atLeast"/>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四、本科目期末借方余额，反映企业预付的款项；期末如为贷方余额，反映企业尚未补付的款项。</w:t>
      </w:r>
    </w:p>
    <w:p w14:paraId="64F7B743" w14:textId="77777777" w:rsidR="00D630C4" w:rsidRDefault="00D630C4" w:rsidP="00D630C4">
      <w:pPr>
        <w:pStyle w:val="CM26"/>
        <w:jc w:val="both"/>
        <w:rPr>
          <w:rFonts w:ascii="仿宋_GB2312" w:eastAsia="仿宋_GB2312" w:hAnsi="Times New Roman" w:cs="仿宋_GB2312"/>
          <w:sz w:val="28"/>
          <w:szCs w:val="28"/>
        </w:rPr>
      </w:pPr>
      <w:r>
        <w:rPr>
          <w:rFonts w:ascii="Times New Roman" w:eastAsia="仿宋_GB2312" w:hAnsi="Times New Roman"/>
          <w:b/>
          <w:bCs/>
          <w:sz w:val="28"/>
          <w:szCs w:val="28"/>
        </w:rPr>
        <w:t xml:space="preserve">1131  </w:t>
      </w:r>
      <w:r>
        <w:rPr>
          <w:rFonts w:ascii="仿宋_GB2312" w:eastAsia="仿宋_GB2312" w:hAnsi="Times New Roman" w:cs="仿宋_GB2312" w:hint="eastAsia"/>
          <w:sz w:val="28"/>
          <w:szCs w:val="28"/>
        </w:rPr>
        <w:t>应收股利</w:t>
      </w:r>
    </w:p>
    <w:p w14:paraId="0E3E614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一、本科目核算企业应收取的现金股利和应收取其他单位分配的利润。</w:t>
      </w:r>
    </w:p>
    <w:p w14:paraId="0A26B5C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二、本科目可按被投资单位进行明细核算。</w:t>
      </w:r>
    </w:p>
    <w:p w14:paraId="0A17D2E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三、应收股利的主要账务处理。</w:t>
      </w:r>
    </w:p>
    <w:p w14:paraId="4F03CD2D"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（一）企业取得交易性金融资产，按支付的价款中所包含的、已宣告但尚未发放的现金股利，借记本科目，按交易性金融资产的公允价值，借记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交易性金融资产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科目，按发生的交易费用，借记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结算备付金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5FE31395"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交易性金融资产持有期间被投资单位宣告发放的现金股利，按应</w:t>
      </w:r>
    </w:p>
    <w:p w14:paraId="25732BF9" w14:textId="77777777" w:rsidR="00D630C4" w:rsidRDefault="00D630C4" w:rsidP="00D630C4">
      <w:pPr>
        <w:pStyle w:val="CM1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享有的份额，借记本科目，贷记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E6AB810"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（二）取得长期股权投资，按支付的价款中所包含的、已宣告但</w:t>
      </w:r>
      <w:r>
        <w:rPr>
          <w:rFonts w:ascii="仿宋_GB2312" w:eastAsia="仿宋_GB2312" w:hAnsi="Times New Roman" w:cs="仿宋_GB2312" w:hint="eastAsia"/>
          <w:sz w:val="28"/>
          <w:szCs w:val="28"/>
        </w:rPr>
        <w:lastRenderedPageBreak/>
        <w:t>尚未发放的现金股利，借记本科目，按确定的长期股权投资成本，借记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F241806"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持有期间被投资单位宣告发放现金股利或利润的，按应享有的份额，借记本科目，贷记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（成本法）或</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损益调整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科目（权益法）。</w:t>
      </w:r>
    </w:p>
    <w:p w14:paraId="56BA92B1"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被投资单位宣告发放的现金股利或利润属于其在取得本企业投资前实现净利润的分配额，借记本科目，贷记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4E9A7B86"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（三）取得可供出售的金融资产，按支付的价款中所包含的、已宣告但尚未发放的现金股利，借记本科目，按可供出售金融资产的公允价值与交易费用之和，借记</w:t>
      </w:r>
      <w:r>
        <w:rPr>
          <w:rFonts w:ascii="Times New Roman" w:eastAsia="仿宋_GB2312" w:hAnsi="Times New Roman"/>
          <w:sz w:val="28"/>
          <w:szCs w:val="28"/>
        </w:rPr>
        <w:t>“</w:t>
      </w:r>
      <w:r>
        <w:rPr>
          <w:rFonts w:ascii="仿宋_GB2312" w:eastAsia="仿宋_GB2312" w:hAnsi="Times New Roman" w:cs="仿宋_GB2312" w:hint="eastAsia"/>
          <w:sz w:val="28"/>
          <w:szCs w:val="28"/>
        </w:rPr>
        <w:t>可供出售金融资产</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等科目。可供出售权益工具持有期间被投资单位宣告发放的现金股利，按应享有的份额，借记本科目，贷记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7819AC0"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（四）实际收到现金股利或利润，借记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等科目，贷记本科目等。</w:t>
      </w:r>
    </w:p>
    <w:p w14:paraId="621A6DC6" w14:textId="77777777" w:rsidR="00D630C4" w:rsidRDefault="00D630C4" w:rsidP="00D630C4">
      <w:pPr>
        <w:pStyle w:val="CM73"/>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四、本科目期末借方余额，反映企业尚未收回的现金股利或利润。</w:t>
      </w:r>
    </w:p>
    <w:p w14:paraId="2AF21D59"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1132  </w:t>
      </w:r>
      <w:r>
        <w:rPr>
          <w:rFonts w:ascii="仿宋_GB2312" w:eastAsia="仿宋_GB2312" w:hAnsi="Times New Roman" w:cs="仿宋_GB2312" w:hint="eastAsia"/>
          <w:sz w:val="28"/>
          <w:szCs w:val="28"/>
        </w:rPr>
        <w:t>应收利息</w:t>
      </w:r>
    </w:p>
    <w:p w14:paraId="255C9FB3"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一、本科目核算企业交易性金融资产、持有至到期投资、可供出售金融资产、发放贷款、存放中央银行款项、拆出资金、买入返</w:t>
      </w:r>
      <w:r>
        <w:rPr>
          <w:rFonts w:ascii="仿宋_GB2312" w:eastAsia="仿宋_GB2312" w:hAnsi="Times New Roman" w:cs="仿宋_GB2312" w:hint="eastAsia"/>
          <w:sz w:val="28"/>
          <w:szCs w:val="28"/>
        </w:rPr>
        <w:lastRenderedPageBreak/>
        <w:t>售金融资产等应收取的利息。</w:t>
      </w:r>
    </w:p>
    <w:p w14:paraId="6D674AA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企业购入的一次还本付息的持有至到期投资持有期间取得的利息，在</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2EA6C999" w14:textId="77777777" w:rsidR="00D630C4" w:rsidRDefault="00D630C4" w:rsidP="00D630C4">
      <w:pPr>
        <w:pStyle w:val="CM5"/>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二、本科目可按借款人或被投资单位进行明细核算。</w:t>
      </w:r>
    </w:p>
    <w:p w14:paraId="4F90B49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三、应收利息的主要账务处理。</w:t>
      </w:r>
    </w:p>
    <w:p w14:paraId="7D6D0607"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（一）企业取得的交易性金融资产，按支付的价款中所包含的、已到付息期但尚未领取的利息，借记本科目，按交易性金融资产的公允价值，借记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交易性金融资产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科目，按发生的交易费用，借记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科目，按实际支付的金额，贷记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结算备付金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5A8D4070"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（二）取得的持有至到期投资，应按该投资的面值，借记</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科目，按支付的价款中包含的、已到付息期但尚未领取的利息，借记本科目，按实际支付的金额，贷记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结算备付金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7EDF94D"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资产负债表日，持有至到期投资为分期付息、一次还本债券投资的，应按票面利率计算确定的应收未收利息，借记本科目，按持有至到期投资摊余成本和实际利率计算确定的利息收入，贷记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F81FF65"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持有至到期投资为一次还本付息债券投资的，应于资产负债表日按票面利率计算确定的应收未收利息，借记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应计利息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科目，按持有至到期投资摊余成本和实际利率计算确定的</w:t>
      </w:r>
      <w:r>
        <w:rPr>
          <w:rFonts w:ascii="仿宋_GB2312" w:eastAsia="仿宋_GB2312" w:hAnsi="Times New Roman" w:cs="仿宋_GB2312" w:hint="eastAsia"/>
          <w:sz w:val="28"/>
          <w:szCs w:val="28"/>
        </w:rPr>
        <w:lastRenderedPageBreak/>
        <w:t>利息收入，贷记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92FD2C8" w14:textId="77777777" w:rsidR="00D630C4" w:rsidRDefault="00D630C4" w:rsidP="00D630C4">
      <w:pPr>
        <w:pStyle w:val="CM17"/>
        <w:ind w:right="138"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（三）取得的可供出售债券投资，比照（二）的相关规定进行处理。</w:t>
      </w:r>
    </w:p>
    <w:p w14:paraId="7AB61DB1"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（四）发生减值的持有至到期投资、可供出售债券投资的利息收入，应当比照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贷款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科目相关规定进行处理。</w:t>
      </w:r>
    </w:p>
    <w:p w14:paraId="379E03BD"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（五）企业发放的贷款，应于资产负债表日按贷款的合同本金和合同利率计算确定的应收未收利息，借记本科目，按贷款的摊余成本和实际利率计算确定的利息收入，贷记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贷款</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4024DFD" w14:textId="77777777" w:rsidR="00D630C4" w:rsidRDefault="00D630C4" w:rsidP="00D630C4">
      <w:pPr>
        <w:pStyle w:val="CM73"/>
        <w:spacing w:line="546" w:lineRule="atLeast"/>
        <w:ind w:right="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（六）应收利息实际收到时，借记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等科目，贷记本科目。四、本科目期末借方余额，反映企业尚未收回的利息。</w:t>
      </w:r>
    </w:p>
    <w:p w14:paraId="2776C511" w14:textId="77777777" w:rsidR="00D630C4" w:rsidRDefault="00D630C4" w:rsidP="00D630C4">
      <w:pPr>
        <w:pStyle w:val="Default"/>
        <w:spacing w:line="546" w:lineRule="atLeast"/>
        <w:ind w:left="56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1201 </w:t>
      </w:r>
      <w:r>
        <w:rPr>
          <w:rFonts w:ascii="仿宋_GB2312" w:eastAsia="仿宋_GB2312" w:hAnsi="Times New Roman" w:cs="仿宋_GB2312" w:hint="eastAsia"/>
          <w:color w:val="auto"/>
          <w:sz w:val="28"/>
          <w:szCs w:val="28"/>
        </w:rPr>
        <w:t>应收代位追偿款</w:t>
      </w:r>
    </w:p>
    <w:p w14:paraId="1272F512"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一、本科目核算企业（保险）按照原保险合同约定承担赔付保险金责任后确认的代位追偿款。</w:t>
      </w:r>
    </w:p>
    <w:p w14:paraId="5F30697C" w14:textId="77777777" w:rsidR="00D630C4" w:rsidRDefault="00D630C4" w:rsidP="00D630C4">
      <w:pPr>
        <w:pStyle w:val="Default"/>
        <w:spacing w:line="546" w:lineRule="atLeast"/>
        <w:ind w:right="109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二、本科目可按被追偿单位（或个人）进行明细核算。</w:t>
      </w:r>
    </w:p>
    <w:p w14:paraId="5F4BB1DB" w14:textId="77777777" w:rsidR="00D630C4" w:rsidRDefault="00D630C4" w:rsidP="00D630C4">
      <w:pPr>
        <w:pStyle w:val="Default"/>
        <w:spacing w:line="546" w:lineRule="atLeast"/>
        <w:ind w:right="109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三、应收代位追偿款的主要账务处理。</w:t>
      </w:r>
    </w:p>
    <w:p w14:paraId="75F30967"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（一）企业承担赔付保险金责任后确认的代位追偿款，借记本科目，贷记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7BCB560"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（二）收回应收代位追偿款时，按实际收到的金额，借记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w:t>
      </w:r>
      <w:r>
        <w:rPr>
          <w:rFonts w:ascii="仿宋_GB2312" w:eastAsia="仿宋_GB2312" w:hAnsi="Times New Roman" w:cs="仿宋_GB2312" w:hint="eastAsia"/>
          <w:sz w:val="28"/>
          <w:szCs w:val="28"/>
        </w:rPr>
        <w:lastRenderedPageBreak/>
        <w:t>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等科目，按其账面余额，贷记本科目，按其差额，借记或贷记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科目。已计提坏账准备的，还应同时结转坏账准备。</w:t>
      </w:r>
    </w:p>
    <w:p w14:paraId="6D86C836"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四、本科目期末借方余额，反映企业已确认尚未收回的代位追偿款。</w:t>
      </w:r>
    </w:p>
    <w:p w14:paraId="66BBC37D" w14:textId="77777777" w:rsidR="00D630C4" w:rsidRDefault="00D630C4" w:rsidP="00D630C4">
      <w:pPr>
        <w:pStyle w:val="Default"/>
        <w:spacing w:line="546" w:lineRule="atLeast"/>
        <w:ind w:left="498" w:right="31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1211  </w:t>
      </w:r>
      <w:r>
        <w:rPr>
          <w:rFonts w:ascii="仿宋_GB2312" w:eastAsia="仿宋_GB2312" w:hAnsi="Times New Roman" w:cs="仿宋_GB2312" w:hint="eastAsia"/>
          <w:color w:val="auto"/>
          <w:sz w:val="28"/>
          <w:szCs w:val="28"/>
        </w:rPr>
        <w:t>应收分保账款</w:t>
      </w:r>
    </w:p>
    <w:p w14:paraId="4C4786A0" w14:textId="77777777" w:rsidR="00D630C4" w:rsidRDefault="00D630C4" w:rsidP="00D630C4">
      <w:pPr>
        <w:pStyle w:val="Default"/>
        <w:spacing w:line="546" w:lineRule="atLeast"/>
        <w:ind w:left="498" w:right="315"/>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一、本科目核算企业（保险）从事再保险业务应收取的款项。</w:t>
      </w:r>
    </w:p>
    <w:p w14:paraId="6F047766" w14:textId="77777777" w:rsidR="00D630C4" w:rsidRDefault="00D630C4" w:rsidP="00D630C4">
      <w:pPr>
        <w:pStyle w:val="CM28"/>
        <w:ind w:right="93" w:firstLine="473"/>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二、本科目可按再保险分出人或再保险接受人和再保险合同进行明细核算。</w:t>
      </w:r>
    </w:p>
    <w:p w14:paraId="196564A4"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三、再保险分出人应收分保账款的主要账务处理。</w:t>
      </w:r>
    </w:p>
    <w:p w14:paraId="61D2A04C"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（一）企业在确认原保险合同保费收入的当期，按相关再保险合同约定计算确定的应向再保险接受人摊回的分保费用，借记本科目，贷记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摊回分保费用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85C70B4"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在确定支付赔付款项金额或实际发生理赔费用而冲减原保险合同相应未决赔款准备金、寿险责任准备金、长期健康险责任准备金余额的当期，按相关再保险合同约定计算确定的应向再保险接受人摊回的赔付成本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摊回赔付支出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D5C9537"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（三）在因取得和处置损余物资、确认和收到应收代位追偿款等而调整原保险合同赔付成本的当期，按相关再保险合同约定计算确定的摊回赔付支出的调整金额，借记或贷记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摊回赔付支出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科目，贷记或借记本科目。</w:t>
      </w:r>
    </w:p>
    <w:p w14:paraId="23D52112"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（四）计算确定应向再保险接受人收取纯益手续费的，按相关再保险合同约定计算确定的纯益手续费，借记本科目，贷记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摊回分保费用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2626AF5"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（五）在原保险合同提前解除的当期，按相关再保险合同约定计算确定的摊回分保费用的调整金额，借记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摊回分保费用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54AE146A"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（六）对于超额赔款再保险等非比例再保险合同，在能够计算确定应向再保险接受人摊回的赔付成本时，按摊回的赔付成本金额，借记本科目，贷记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摊回赔付支出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552176D"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四、再保险接受人应收分保账款的主要账务处理。</w:t>
      </w:r>
    </w:p>
    <w:p w14:paraId="2959802C" w14:textId="77777777" w:rsidR="00D630C4" w:rsidRDefault="00D630C4" w:rsidP="00D630C4">
      <w:pPr>
        <w:pStyle w:val="Default"/>
        <w:spacing w:line="546" w:lineRule="atLeast"/>
        <w:ind w:left="420"/>
        <w:jc w:val="both"/>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（一）企业确认再保险合同保费收入时，借记本科目，贷记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保费收入</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6996EE13"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（二）收到分保业务账单时，按账单标明的金额对分保费收入进行调整，按调整增加额，借记本科目，贷记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保费收入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科目；按调整减少额做相反的会计分录。</w:t>
      </w:r>
    </w:p>
    <w:p w14:paraId="5E3843CA"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按照账单标明的再保险分出人扣存本期分保保证金，借记</w:t>
      </w:r>
      <w:r>
        <w:rPr>
          <w:rFonts w:ascii="Times New Roman" w:eastAsia="仿宋_GB2312" w:hAnsi="Times New Roman"/>
          <w:sz w:val="28"/>
          <w:szCs w:val="28"/>
        </w:rPr>
        <w:t>“</w:t>
      </w:r>
      <w:r>
        <w:rPr>
          <w:rFonts w:ascii="仿宋_GB2312" w:eastAsia="仿宋_GB2312" w:hAnsi="Times New Roman" w:cs="仿宋_GB2312" w:hint="eastAsia"/>
          <w:sz w:val="28"/>
          <w:szCs w:val="28"/>
        </w:rPr>
        <w:t>存出保证金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科目，贷记本科目。按账单标明的再保险分出人返还上期扣存分保保证金，借记本科目，贷记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存出保证金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F8D8403"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（三）计算存出分保保证金利息，借记本科目，贷记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630E229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五、再保险分出人、再保险接受人结算分保账款时，按应付分保账款金额，借记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科目，按应收分保账款金额，贷记本</w:t>
      </w:r>
      <w:r>
        <w:rPr>
          <w:rFonts w:ascii="仿宋_GB2312" w:eastAsia="仿宋_GB2312" w:hAnsi="Times New Roman" w:cs="仿宋_GB2312" w:hint="eastAsia"/>
          <w:sz w:val="28"/>
          <w:szCs w:val="28"/>
        </w:rPr>
        <w:lastRenderedPageBreak/>
        <w:t>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0519083"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六、本科目期末借方余额，反映企业从事再保险业务应收取的款项。</w:t>
      </w:r>
    </w:p>
    <w:p w14:paraId="4421B806"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1212 </w:t>
      </w:r>
      <w:r>
        <w:rPr>
          <w:rFonts w:ascii="仿宋_GB2312" w:eastAsia="仿宋_GB2312" w:hAnsi="Times New Roman" w:cs="仿宋_GB2312" w:hint="eastAsia"/>
          <w:sz w:val="28"/>
          <w:szCs w:val="28"/>
        </w:rPr>
        <w:t>应收分保合同准备金</w:t>
      </w:r>
    </w:p>
    <w:p w14:paraId="5C9D8E20"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一、本科目核算企业（再保险分出人）从事再保险业务确认的应收分保未到期责任准备金，以及应向再保险接受人摊回的保险责任准备金。</w:t>
      </w:r>
    </w:p>
    <w:p w14:paraId="23625A90"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企业（再保险分出人）可以单独设置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应收分保未到期责任准备金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应收分保未决赔款准备金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应收分保寿险责任准备金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应收分保长期健康险责任准备金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F39003C"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二、本科目可按再保险接受人和再保险合同进行明细核算。</w:t>
      </w:r>
    </w:p>
    <w:p w14:paraId="18CAC0EF"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三、应收分保合同准备金的主要账务处理。</w:t>
      </w:r>
    </w:p>
    <w:p w14:paraId="35586113"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（一）企业在确认非寿险原保险合同保费收入的当期，按相关再保险合同约定计算确定的相关应收分保未到期责任准备金金额，借记本科目，贷记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提取未到期责任准备金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A90DDFC"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资产负债表日，调整原保险合同未到期责任准备金余额，按相关再保险合同约定计算确定的应收分保未到期责任准备金的调整金额，借记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提取未到期责任准备金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42A0DC58"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（二）在提取原保险合同未决赔款准备金、寿险责任准备金、长期健康险责任准备金的当期，按相关再保险合同约定计算确定的应向再保险接受人摊回的保险责任准备金金额，借记本科目，贷记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摊回</w:t>
      </w:r>
      <w:r>
        <w:rPr>
          <w:rFonts w:ascii="仿宋_GB2312" w:eastAsia="仿宋_GB2312" w:hAnsi="Times New Roman" w:cs="仿宋_GB2312" w:hint="eastAsia"/>
          <w:sz w:val="28"/>
          <w:szCs w:val="28"/>
        </w:rPr>
        <w:lastRenderedPageBreak/>
        <w:t>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03206F8"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（三）在确定支付赔付款项金额或实际发生理赔费用而冲减原保险合同相应未决赔款准备金、寿险责任准备金、长期健康险责任准备金余额的当期，按相关应收分保保险责任准备金的相应冲减金额，借记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摊回保险责任准备金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A421A42"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在对原保险合同未决赔款准备金、寿险责任准备金、长期健康险责任准备金进行充足性测试补提保险责任准备金时，按相关再保险合同约定计算确定的应收分保保险责任准备金的相应增加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摊回保险责任准备金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4F6185D"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（五）在原保险合同提前解除而转销相关未到期责任准备金余额的当期，借记</w:t>
      </w:r>
      <w:r>
        <w:rPr>
          <w:rFonts w:ascii="Times New Roman" w:eastAsia="仿宋_GB2312" w:hAnsi="Times New Roman"/>
          <w:sz w:val="28"/>
          <w:szCs w:val="28"/>
        </w:rPr>
        <w:t>“</w:t>
      </w:r>
      <w:r>
        <w:rPr>
          <w:rFonts w:ascii="仿宋_GB2312" w:eastAsia="仿宋_GB2312" w:hAnsi="Times New Roman" w:cs="仿宋_GB2312" w:hint="eastAsia"/>
          <w:sz w:val="28"/>
          <w:szCs w:val="28"/>
        </w:rPr>
        <w:t>提取未到期责任准备金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10117F14"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在原保险合同提前解除而转销相关寿险责任准备金、长期健康险责任准备金余额的当期，按相关应收分保保险责任准备金余额，借记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摊回保险责任准备金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A44ED33" w14:textId="77777777" w:rsidR="00D630C4" w:rsidRDefault="00D630C4" w:rsidP="00D630C4">
      <w:pPr>
        <w:pStyle w:val="CM73"/>
        <w:spacing w:line="546" w:lineRule="atLeast"/>
        <w:ind w:right="93"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四、本科目期末借方余额，反映企业从事再保险业务确认的应收分保合同准备金余额。</w:t>
      </w:r>
    </w:p>
    <w:p w14:paraId="114C6338"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hAnsi="Times New Roman" w:cs="Times New Roman"/>
          <w:b/>
          <w:bCs/>
          <w:color w:val="auto"/>
          <w:sz w:val="28"/>
          <w:szCs w:val="28"/>
        </w:rPr>
        <w:t xml:space="preserve">1221 </w:t>
      </w:r>
      <w:r>
        <w:rPr>
          <w:rFonts w:ascii="仿宋_GB2312" w:eastAsia="仿宋_GB2312" w:hAnsi="Times New Roman" w:cs="仿宋_GB2312" w:hint="eastAsia"/>
          <w:color w:val="auto"/>
          <w:sz w:val="28"/>
          <w:szCs w:val="28"/>
        </w:rPr>
        <w:t>其他应收款</w:t>
      </w:r>
    </w:p>
    <w:p w14:paraId="3A871CD5"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除存出保证金、买入返售金融资产、应收票据、应收账款、预付账款、应收股利、应收利息、应收代位追偿款、应收分保账款、应收分保合同准备金、长期应收款等以外的其他各种应收及暂付款项。</w:t>
      </w:r>
    </w:p>
    <w:p w14:paraId="6C69E7C6"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二、本科目可按对方单位（或个人）进行明细核算。</w:t>
      </w:r>
    </w:p>
    <w:p w14:paraId="35ED935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三、采用售后回购方式融出资金的，应按实际支付的金额，借记本科目，贷记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科目。销售价格与原购买价格之间的差额，应在售后回购期间内按期计提利息费用，借记本科目，贷记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科目。按合同约定返售商品时，应按实际收到的金额，借记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w:t>
      </w:r>
      <w:r>
        <w:rPr>
          <w:rFonts w:ascii="仿宋_GB2312" w:eastAsia="仿宋_GB2312" w:hAnsi="Times New Roman" w:cs="仿宋_GB2312"/>
          <w:sz w:val="28"/>
          <w:szCs w:val="28"/>
        </w:rPr>
        <w:t xml:space="preserve"> </w:t>
      </w:r>
    </w:p>
    <w:p w14:paraId="76392B9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四、企业发生其他各种应收、暂付款项时，借记本科目，贷记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固定资产清理</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等科目；收回或转销各种款项时，借记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0A4B3826"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五、本科目期末借方余额，反映企业尚未收回的其他应收款项。</w:t>
      </w:r>
    </w:p>
    <w:p w14:paraId="02B5C514"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1231 </w:t>
      </w:r>
      <w:r>
        <w:rPr>
          <w:rFonts w:ascii="仿宋_GB2312" w:eastAsia="仿宋_GB2312" w:hAnsi="Times New Roman" w:cs="仿宋_GB2312" w:hint="eastAsia"/>
          <w:sz w:val="28"/>
          <w:szCs w:val="28"/>
        </w:rPr>
        <w:t>坏账准备</w:t>
      </w:r>
    </w:p>
    <w:p w14:paraId="12563762" w14:textId="77777777" w:rsidR="00D630C4" w:rsidRDefault="00D630C4" w:rsidP="00D630C4">
      <w:pPr>
        <w:pStyle w:val="CM5"/>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一、本科目核算企业应收款项的坏账准备。</w:t>
      </w:r>
    </w:p>
    <w:p w14:paraId="1097570A" w14:textId="77777777" w:rsidR="00D630C4" w:rsidRDefault="00D630C4" w:rsidP="00D630C4">
      <w:pPr>
        <w:pStyle w:val="CM5"/>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二、本科目可按应收款项的类别进行明细核算。</w:t>
      </w:r>
    </w:p>
    <w:p w14:paraId="18F2DA1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三、坏账准备的主要账务处理。</w:t>
      </w:r>
    </w:p>
    <w:p w14:paraId="37A5C527"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（一）资产负债表日，应收款项发生减值的，按应减记的金额，借记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科目，贷记本科目。本期应计提的坏账准备大于其账面余额的，应按其差额计提；应计提的坏账准备小于其账面余额的差额做相反的会计分录。</w:t>
      </w:r>
    </w:p>
    <w:p w14:paraId="6D893B5D"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（二）对于确实无法收回的应收款项，按管理权限报经批准后作为坏账，转销应收款项，借记本科目，贷记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应收票据</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预付账款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44B74297"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（三）已确认并转销的应收款项以后又收回的，应按实际收回的金额，借记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应收票据</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预付账款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等科目，贷记本科目；同时，借记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应收票据</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预付账款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45827299" w14:textId="77777777" w:rsidR="00D630C4" w:rsidRDefault="00D630C4" w:rsidP="00D630C4">
      <w:pPr>
        <w:pStyle w:val="CM73"/>
        <w:spacing w:line="546" w:lineRule="atLeast"/>
        <w:ind w:right="96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对于已确认并转销的应收款项以后又收回的，也可以按照实际收回的金额，借记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科目，贷记本科目。四、本科目期末贷方余额，反映企业已计提但尚未转销的坏账准备。</w:t>
      </w:r>
    </w:p>
    <w:p w14:paraId="387325F5" w14:textId="77777777" w:rsidR="00D630C4" w:rsidRDefault="00D630C4" w:rsidP="00D630C4">
      <w:pPr>
        <w:pStyle w:val="CM18"/>
        <w:ind w:right="143"/>
        <w:rPr>
          <w:rFonts w:ascii="仿宋_GB2312" w:eastAsia="仿宋_GB2312" w:hAnsi="Times New Roman" w:cs="仿宋_GB2312"/>
          <w:sz w:val="28"/>
          <w:szCs w:val="28"/>
        </w:rPr>
      </w:pPr>
      <w:r>
        <w:rPr>
          <w:rFonts w:ascii="Times New Roman" w:eastAsia="仿宋_GB2312" w:hAnsi="Times New Roman"/>
          <w:b/>
          <w:bCs/>
          <w:sz w:val="28"/>
          <w:szCs w:val="28"/>
        </w:rPr>
        <w:t xml:space="preserve">1301 </w:t>
      </w:r>
      <w:r>
        <w:rPr>
          <w:rFonts w:ascii="仿宋_GB2312" w:eastAsia="仿宋_GB2312" w:hAnsi="Times New Roman" w:cs="仿宋_GB2312" w:hint="eastAsia"/>
          <w:sz w:val="28"/>
          <w:szCs w:val="28"/>
        </w:rPr>
        <w:t>贴现资产</w:t>
      </w:r>
    </w:p>
    <w:p w14:paraId="348401B2"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一、本科目核算企业（银行）办理商业票据的贴现、转贴现等业务所融出的资金。企业（银行）买入的即期外币票据，也通过本科目核算。</w:t>
      </w:r>
    </w:p>
    <w:p w14:paraId="4741CD66" w14:textId="77777777" w:rsidR="00D630C4" w:rsidRDefault="00D630C4" w:rsidP="00D630C4">
      <w:pPr>
        <w:pStyle w:val="CM18"/>
        <w:ind w:right="143"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二、本科目可按贴现类别和贴现申请人进行明细核算。</w:t>
      </w:r>
    </w:p>
    <w:p w14:paraId="4271A3B0"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三、贴现资产的主要账务处理。</w:t>
      </w:r>
    </w:p>
    <w:p w14:paraId="1CA1646A"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（一）企业办理贴现时，按贴现票面金额，借记本科目（面值），</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按实际支付的金额，贷记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等科目，按其差额，贷记本科目（利息调整）。</w:t>
      </w:r>
    </w:p>
    <w:p w14:paraId="7696094D"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（二）资产负债表日，按计算确定的贴现利息收入，借记本科目（利息调整），贷记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4EFC42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（三）贴现票据到期，应按实际收到的金额，借记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w:t>
      </w:r>
      <w:r>
        <w:rPr>
          <w:rFonts w:ascii="仿宋_GB2312" w:eastAsia="仿宋_GB2312" w:hAnsi="Times New Roman" w:cs="仿宋_GB2312" w:hint="eastAsia"/>
          <w:sz w:val="28"/>
          <w:szCs w:val="28"/>
        </w:rPr>
        <w:lastRenderedPageBreak/>
        <w:t>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等科目，按贴现的票面金额，贷记本科目（面值），按其差额，贷记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科目。存在利息调整金额的，也应同时结转。</w:t>
      </w:r>
    </w:p>
    <w:p w14:paraId="2D453608" w14:textId="77777777" w:rsidR="00D630C4" w:rsidRDefault="00D630C4" w:rsidP="00D630C4">
      <w:pPr>
        <w:pStyle w:val="CM31"/>
        <w:ind w:right="138"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四、本科目期末借方余额，反映企业办理的贴现、转贴现等业务融出的资金。</w:t>
      </w:r>
    </w:p>
    <w:p w14:paraId="5336A25A" w14:textId="77777777" w:rsidR="00D630C4" w:rsidRDefault="00D630C4" w:rsidP="00D630C4">
      <w:pPr>
        <w:pStyle w:val="CM18"/>
        <w:ind w:right="143"/>
        <w:rPr>
          <w:rFonts w:ascii="仿宋_GB2312" w:eastAsia="仿宋_GB2312" w:hAnsi="Times New Roman" w:cs="仿宋_GB2312"/>
          <w:sz w:val="28"/>
          <w:szCs w:val="28"/>
        </w:rPr>
      </w:pPr>
      <w:r>
        <w:rPr>
          <w:rFonts w:ascii="Times New Roman" w:eastAsia="仿宋_GB2312" w:hAnsi="Times New Roman"/>
          <w:b/>
          <w:bCs/>
          <w:sz w:val="28"/>
          <w:szCs w:val="28"/>
        </w:rPr>
        <w:t xml:space="preserve">1302 </w:t>
      </w:r>
      <w:r>
        <w:rPr>
          <w:rFonts w:ascii="仿宋_GB2312" w:eastAsia="仿宋_GB2312" w:hAnsi="Times New Roman" w:cs="仿宋_GB2312" w:hint="eastAsia"/>
          <w:sz w:val="28"/>
          <w:szCs w:val="28"/>
        </w:rPr>
        <w:t>拆出资金</w:t>
      </w:r>
    </w:p>
    <w:p w14:paraId="71FF418A"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一、本科目核算企业（金融）拆借给境内、境外其他金融机构的款项。</w:t>
      </w:r>
    </w:p>
    <w:p w14:paraId="68824C15" w14:textId="77777777" w:rsidR="00D630C4" w:rsidRDefault="00D630C4" w:rsidP="00D630C4">
      <w:pPr>
        <w:pStyle w:val="CM9"/>
        <w:ind w:leftChars="100" w:left="210"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二、本科目可按拆放的金融机构进行明细核算。</w:t>
      </w:r>
    </w:p>
    <w:p w14:paraId="69ADB2B2" w14:textId="77777777" w:rsidR="00D630C4" w:rsidRDefault="00D630C4" w:rsidP="00D630C4">
      <w:pPr>
        <w:pStyle w:val="CM9"/>
        <w:ind w:leftChars="100" w:left="210"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三、企业拆出的资金，借记本科目，贷记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等科目；收回资金时做相反的会计分录。</w:t>
      </w:r>
    </w:p>
    <w:p w14:paraId="47AD342D" w14:textId="77777777" w:rsidR="00D630C4" w:rsidRDefault="00D630C4" w:rsidP="00D630C4">
      <w:pPr>
        <w:pStyle w:val="CM73"/>
        <w:spacing w:line="546" w:lineRule="atLeast"/>
        <w:ind w:leftChars="100" w:left="210"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四、本科目期末借方余额，反映企业按规定拆放给其他金融机构的款项。</w:t>
      </w:r>
    </w:p>
    <w:p w14:paraId="5AB77032"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1303 </w:t>
      </w:r>
      <w:r>
        <w:rPr>
          <w:rFonts w:ascii="仿宋_GB2312" w:eastAsia="仿宋_GB2312" w:hAnsi="Times New Roman" w:cs="仿宋_GB2312" w:hint="eastAsia"/>
          <w:color w:val="auto"/>
          <w:sz w:val="28"/>
          <w:szCs w:val="28"/>
        </w:rPr>
        <w:t>贷款</w:t>
      </w:r>
    </w:p>
    <w:p w14:paraId="4A5823CD"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一、本科目核算企业（银行）按规定发放的各种客户贷款，包括质押贷款、抵押贷款、保证贷款、信用贷款等。</w:t>
      </w:r>
    </w:p>
    <w:p w14:paraId="3262500E" w14:textId="77777777" w:rsidR="00D630C4" w:rsidRDefault="00D630C4" w:rsidP="00D630C4">
      <w:pPr>
        <w:pStyle w:val="CM27"/>
        <w:ind w:right="40"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企业（银行）按规定发放的具有贷款性质的银团贷款、贸易融资、协议透支、信用卡透支、转贷款以及垫款等，在本科目核算；也可以单独设置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银团贷款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贸易融资</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协议透支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信用卡透支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转贷款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垫款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0A60819" w14:textId="77777777" w:rsidR="00D630C4" w:rsidRDefault="00D630C4" w:rsidP="00D630C4">
      <w:pPr>
        <w:pStyle w:val="Default"/>
        <w:spacing w:line="546" w:lineRule="atLeast"/>
        <w:ind w:right="40" w:firstLine="465"/>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企业（保险）的保户质押贷款，可将本科目改为</w:t>
      </w:r>
      <w:r>
        <w:rPr>
          <w:rFonts w:ascii="Times New Roman" w:eastAsia="仿宋_GB2312" w:hAnsi="Times New Roman" w:cs="Times New Roman"/>
          <w:color w:val="auto"/>
          <w:sz w:val="28"/>
          <w:szCs w:val="28"/>
        </w:rPr>
        <w:t xml:space="preserve">“1303 </w:t>
      </w:r>
      <w:r>
        <w:rPr>
          <w:rFonts w:ascii="仿宋_GB2312" w:eastAsia="仿宋_GB2312" w:hAnsi="Times New Roman" w:cs="仿宋_GB2312" w:hint="eastAsia"/>
          <w:color w:val="auto"/>
          <w:sz w:val="28"/>
          <w:szCs w:val="28"/>
        </w:rPr>
        <w:t>保户质押</w:t>
      </w:r>
      <w:r>
        <w:rPr>
          <w:rFonts w:ascii="仿宋_GB2312" w:eastAsia="仿宋_GB2312" w:hAnsi="Times New Roman" w:cs="仿宋_GB2312" w:hint="eastAsia"/>
          <w:color w:val="auto"/>
          <w:sz w:val="28"/>
          <w:szCs w:val="28"/>
        </w:rPr>
        <w:lastRenderedPageBreak/>
        <w:t>贷款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科目。企业（典当）的质押贷款、抵押贷款，可将本科目改为</w:t>
      </w:r>
      <w:r>
        <w:rPr>
          <w:rFonts w:ascii="Times New Roman" w:eastAsia="仿宋_GB2312" w:hAnsi="Times New Roman" w:cs="Times New Roman"/>
          <w:color w:val="auto"/>
          <w:sz w:val="28"/>
          <w:szCs w:val="28"/>
        </w:rPr>
        <w:t xml:space="preserve">“1303 </w:t>
      </w:r>
      <w:r>
        <w:rPr>
          <w:rFonts w:ascii="仿宋_GB2312" w:eastAsia="仿宋_GB2312" w:hAnsi="Times New Roman" w:cs="仿宋_GB2312" w:hint="eastAsia"/>
          <w:color w:val="auto"/>
          <w:sz w:val="28"/>
          <w:szCs w:val="28"/>
        </w:rPr>
        <w:t>质押贷款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 xml:space="preserve">“1305 </w:t>
      </w:r>
      <w:r>
        <w:rPr>
          <w:rFonts w:ascii="仿宋_GB2312" w:eastAsia="仿宋_GB2312" w:hAnsi="Times New Roman" w:cs="仿宋_GB2312" w:hint="eastAsia"/>
          <w:color w:val="auto"/>
          <w:sz w:val="28"/>
          <w:szCs w:val="28"/>
        </w:rPr>
        <w:t>抵押贷款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科目。企业委托银行或其他金融机构向其他单位贷出的款项，可将本科目改为</w:t>
      </w:r>
      <w:r>
        <w:rPr>
          <w:rFonts w:ascii="Times New Roman" w:eastAsia="仿宋_GB2312" w:hAnsi="Times New Roman" w:cs="Times New Roman"/>
          <w:color w:val="auto"/>
          <w:sz w:val="28"/>
          <w:szCs w:val="28"/>
        </w:rPr>
        <w:t xml:space="preserve">“1303 </w:t>
      </w:r>
      <w:r>
        <w:rPr>
          <w:rFonts w:ascii="仿宋_GB2312" w:eastAsia="仿宋_GB2312" w:hAnsi="Times New Roman" w:cs="仿宋_GB2312" w:hint="eastAsia"/>
          <w:color w:val="auto"/>
          <w:sz w:val="28"/>
          <w:szCs w:val="28"/>
        </w:rPr>
        <w:t>委托贷款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7C9166D8" w14:textId="77777777" w:rsidR="00D630C4" w:rsidRDefault="00D630C4" w:rsidP="00D630C4">
      <w:pPr>
        <w:pStyle w:val="Default"/>
        <w:spacing w:line="546" w:lineRule="atLeast"/>
        <w:ind w:right="40" w:firstLine="465"/>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二、本科目可按贷款类别、客户，分别</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本金</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利息调整</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已减值</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等进行明细核算。</w:t>
      </w:r>
    </w:p>
    <w:p w14:paraId="71235C69" w14:textId="77777777" w:rsidR="00D630C4" w:rsidRDefault="00D630C4" w:rsidP="00D630C4">
      <w:pPr>
        <w:pStyle w:val="Default"/>
        <w:spacing w:line="546" w:lineRule="atLeast"/>
        <w:ind w:right="40" w:firstLine="465"/>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三、贷款的主要账务处理。</w:t>
      </w:r>
    </w:p>
    <w:p w14:paraId="749D1BC2" w14:textId="77777777" w:rsidR="00D630C4" w:rsidRDefault="00D630C4" w:rsidP="00D630C4">
      <w:pPr>
        <w:pStyle w:val="CM31"/>
        <w:ind w:right="138" w:firstLine="628"/>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（一）企业发放的贷款，应按贷款的合同本金，借记本科目（本金），按实际支付的金额，贷记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等科目，有差额的，借记或贷记本科目（利息调整）。</w:t>
      </w:r>
    </w:p>
    <w:p w14:paraId="4A3EC5C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资产负债表日，应按贷款的合同本金和合同利率计算确定的应收未收利息，借记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科目，按贷款的摊余成本和实际利率计算确定的利息收入，贷记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科目，按其差额，借记或贷记本科目（利息调整）。合同利率与实际利率差异较小的，也可以采用合同利率计算确定利息收入。</w:t>
      </w:r>
    </w:p>
    <w:p w14:paraId="6537521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收回贷款时，应按客户归还的金额，借记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等科目，按收回的应收利息金额，贷记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科目，按归还的贷款本金，贷记本科目（本金），按其差额，贷记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科目。存在利息调整余额的，还应同时结转。</w:t>
      </w:r>
    </w:p>
    <w:p w14:paraId="1654350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（二）资产负债表日，确定贷款发生减值的，按应减记的金额，借记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科目。同时，应将本科目（本金、利息调整）余额转入本科目（已减值），借记本科目（已减值），贷记本科目（本金、利息调整）。</w:t>
      </w:r>
      <w:r>
        <w:rPr>
          <w:rFonts w:ascii="仿宋_GB2312" w:eastAsia="仿宋_GB2312" w:hAnsi="Times New Roman" w:cs="仿宋_GB2312"/>
          <w:sz w:val="28"/>
          <w:szCs w:val="28"/>
        </w:rPr>
        <w:t xml:space="preserve"> </w:t>
      </w:r>
    </w:p>
    <w:p w14:paraId="37837276"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资产负债表日，应按贷款的摊余成本和实际利率计算确定的利息收入，借记</w:t>
      </w:r>
      <w:r>
        <w:rPr>
          <w:rFonts w:ascii="Times New Roman" w:eastAsia="仿宋_GB2312" w:hAnsi="Times New Roman"/>
          <w:sz w:val="28"/>
          <w:szCs w:val="28"/>
        </w:rPr>
        <w:t>“</w:t>
      </w:r>
      <w:r>
        <w:rPr>
          <w:rFonts w:ascii="仿宋_GB2312" w:eastAsia="仿宋_GB2312" w:hAnsi="Times New Roman" w:cs="仿宋_GB2312" w:hint="eastAsia"/>
          <w:sz w:val="28"/>
          <w:szCs w:val="28"/>
        </w:rPr>
        <w:t>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科目。同时，将按合同本金和合同利率计算确定的应收利息金额进行表外登记。</w:t>
      </w:r>
    </w:p>
    <w:p w14:paraId="48CAEAB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收回减值贷款时，应按实际收到的金额，借记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等科目，按相关贷款损失准备余额，借记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科目，按相关贷款余额，贷记本科目（已减值），按其差额，贷记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B9A4944"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对于确实无法收回的贷款，按管理权限报经批准后作为呆账予以转销，借记</w:t>
      </w:r>
      <w:r>
        <w:rPr>
          <w:rFonts w:ascii="Times New Roman" w:eastAsia="仿宋_GB2312" w:hAnsi="Times New Roman"/>
          <w:sz w:val="28"/>
          <w:szCs w:val="28"/>
        </w:rPr>
        <w:t>“</w:t>
      </w:r>
      <w:r>
        <w:rPr>
          <w:rFonts w:ascii="仿宋_GB2312" w:eastAsia="仿宋_GB2312" w:hAnsi="Times New Roman" w:cs="仿宋_GB2312" w:hint="eastAsia"/>
          <w:sz w:val="28"/>
          <w:szCs w:val="28"/>
        </w:rPr>
        <w:t>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科目，贷记本科目（已减值）。按管理权限报经批准后转销表外应收未收利息，减少表外</w:t>
      </w:r>
      <w:r>
        <w:rPr>
          <w:rFonts w:ascii="Times New Roman" w:eastAsia="仿宋_GB2312" w:hAnsi="Times New Roman"/>
          <w:sz w:val="28"/>
          <w:szCs w:val="28"/>
        </w:rPr>
        <w:t>“</w:t>
      </w:r>
      <w:r>
        <w:rPr>
          <w:rFonts w:ascii="仿宋_GB2312" w:eastAsia="仿宋_GB2312" w:hAnsi="Times New Roman" w:cs="仿宋_GB2312" w:hint="eastAsia"/>
          <w:sz w:val="28"/>
          <w:szCs w:val="28"/>
        </w:rPr>
        <w:t>应收未收利息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科目金额。</w:t>
      </w:r>
    </w:p>
    <w:p w14:paraId="58F97BAF"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已确认并转销的贷款以后又收回的，按原转销的已减值贷款余额，借记本科目（已减值），贷记</w:t>
      </w:r>
      <w:r>
        <w:rPr>
          <w:rFonts w:ascii="Times New Roman" w:eastAsia="仿宋_GB2312" w:hAnsi="Times New Roman"/>
          <w:sz w:val="28"/>
          <w:szCs w:val="28"/>
        </w:rPr>
        <w:t>“</w:t>
      </w:r>
      <w:r>
        <w:rPr>
          <w:rFonts w:ascii="仿宋_GB2312" w:eastAsia="仿宋_GB2312" w:hAnsi="Times New Roman" w:cs="仿宋_GB2312" w:hint="eastAsia"/>
          <w:sz w:val="28"/>
          <w:szCs w:val="28"/>
        </w:rPr>
        <w:t>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科目。按实际收到的金额，借记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吸收存款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等科目，按原转销的已减值贷款余额，贷记本科目（已减值），按其差额，贷记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资产减值损失</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r>
        <w:rPr>
          <w:rFonts w:ascii="仿宋_GB2312" w:eastAsia="仿宋_GB2312" w:hAnsi="Times New Roman" w:cs="仿宋_GB2312"/>
          <w:sz w:val="28"/>
          <w:szCs w:val="28"/>
        </w:rPr>
        <w:t xml:space="preserve"> </w:t>
      </w:r>
    </w:p>
    <w:p w14:paraId="760ADB70" w14:textId="77777777" w:rsidR="00D630C4" w:rsidRDefault="00D630C4" w:rsidP="00D630C4">
      <w:pPr>
        <w:pStyle w:val="CM73"/>
        <w:spacing w:line="546" w:lineRule="atLeast"/>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四、本科目期末借方余额，反映企业按规定发放尚未收回贷款的摊余成本。</w:t>
      </w:r>
    </w:p>
    <w:p w14:paraId="199142FD" w14:textId="77777777" w:rsidR="00D630C4" w:rsidRDefault="00D630C4" w:rsidP="00D630C4">
      <w:pPr>
        <w:pStyle w:val="Default"/>
        <w:spacing w:line="543"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1304 </w:t>
      </w:r>
      <w:r>
        <w:rPr>
          <w:rFonts w:ascii="仿宋_GB2312" w:eastAsia="仿宋_GB2312" w:hAnsi="Times New Roman" w:cs="仿宋_GB2312" w:hint="eastAsia"/>
          <w:color w:val="auto"/>
          <w:sz w:val="28"/>
          <w:szCs w:val="28"/>
        </w:rPr>
        <w:t>贷款损失准备</w:t>
      </w:r>
    </w:p>
    <w:p w14:paraId="74C39B94" w14:textId="77777777" w:rsidR="00D630C4" w:rsidRDefault="00D630C4" w:rsidP="00D630C4">
      <w:pPr>
        <w:pStyle w:val="Default"/>
        <w:spacing w:line="543"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一、本科目核算企业（银行）贷款的减值准备。计提贷款损失准备的资产包括贴现资产、拆出资金、客户贷款、</w:t>
      </w:r>
      <w:r>
        <w:rPr>
          <w:rFonts w:ascii="仿宋_GB2312" w:eastAsia="仿宋_GB2312" w:hAnsi="Times New Roman" w:cs="仿宋_GB2312" w:hint="eastAsia"/>
          <w:sz w:val="28"/>
          <w:szCs w:val="28"/>
        </w:rPr>
        <w:t>银团贷款、贸易融资、</w:t>
      </w:r>
      <w:r>
        <w:rPr>
          <w:rFonts w:ascii="仿宋_GB2312" w:eastAsia="仿宋_GB2312" w:hAnsi="Times New Roman" w:cs="仿宋_GB2312" w:hint="eastAsia"/>
          <w:sz w:val="28"/>
          <w:szCs w:val="28"/>
        </w:rPr>
        <w:lastRenderedPageBreak/>
        <w:t>协议透支、信用卡透支、转贷款和垫款等。企业（保险）的保户质押贷款计提的减值准备，也在本科目核算。企业（典当）的质押贷款、抵押贷款计提的减值准备，也在本科目核算。企业委托银行或其他金融机构向其他单位贷出的款项计提的减值准备，可将本科目改为</w:t>
      </w:r>
      <w:r>
        <w:rPr>
          <w:rFonts w:ascii="Times New Roman" w:eastAsia="仿宋_GB2312" w:hAnsi="Times New Roman"/>
          <w:sz w:val="28"/>
          <w:szCs w:val="28"/>
        </w:rPr>
        <w:t xml:space="preserve">“1304 </w:t>
      </w:r>
      <w:r>
        <w:rPr>
          <w:rFonts w:ascii="仿宋_GB2312" w:eastAsia="仿宋_GB2312" w:hAnsi="Times New Roman" w:cs="仿宋_GB2312" w:hint="eastAsia"/>
          <w:sz w:val="28"/>
          <w:szCs w:val="28"/>
        </w:rPr>
        <w:t>委托贷款损失准备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F347B66" w14:textId="77777777" w:rsidR="00D630C4" w:rsidRDefault="00D630C4" w:rsidP="00D630C4">
      <w:pPr>
        <w:pStyle w:val="Default"/>
        <w:spacing w:line="543"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二、本科目可按计提贷款损失准备的资产类别进行明细核算。</w:t>
      </w:r>
    </w:p>
    <w:p w14:paraId="6B6EAAA1" w14:textId="77777777" w:rsidR="00D630C4" w:rsidRDefault="00D630C4" w:rsidP="00D630C4">
      <w:pPr>
        <w:pStyle w:val="Default"/>
        <w:spacing w:line="543"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三、贷款损失准备的主要账务处理。</w:t>
      </w:r>
    </w:p>
    <w:p w14:paraId="0F94D3A2"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（一）资产负债表日，贷款发生减值的，按应减记的金额，借记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5B87AC1E"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（二）对于确实无法收回的各项贷款，按管理权限报经批准后转销各项贷款，借记本科目，贷记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贷款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贴现资产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拆出资金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7EE2D29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（三）已计提贷款损失准备的贷款价值以后又得以恢复，应在原已计提的贷款损失准备金额内，按恢复增加的金额，借记本科目，贷记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EB4CC15"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四、本科目期末贷方余额，反映企业已计提但尚未转销的贷款损失准备。</w:t>
      </w:r>
    </w:p>
    <w:p w14:paraId="59061F83" w14:textId="77777777" w:rsidR="00D630C4" w:rsidRDefault="00D630C4" w:rsidP="00D630C4">
      <w:pPr>
        <w:pStyle w:val="Default"/>
        <w:spacing w:line="546" w:lineRule="atLeast"/>
        <w:ind w:right="14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1311  </w:t>
      </w:r>
      <w:r>
        <w:rPr>
          <w:rFonts w:ascii="仿宋_GB2312" w:eastAsia="仿宋_GB2312" w:hAnsi="Times New Roman" w:cs="仿宋_GB2312" w:hint="eastAsia"/>
          <w:color w:val="auto"/>
          <w:sz w:val="28"/>
          <w:szCs w:val="28"/>
        </w:rPr>
        <w:t>代理兑付证券</w:t>
      </w:r>
    </w:p>
    <w:p w14:paraId="5AF3D548" w14:textId="77777777" w:rsidR="00D630C4" w:rsidRDefault="00D630C4" w:rsidP="00D630C4">
      <w:pPr>
        <w:pStyle w:val="Default"/>
        <w:spacing w:line="546" w:lineRule="atLeast"/>
        <w:ind w:right="143" w:firstLineChars="300" w:firstLine="84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一、本科目核算企业（证券、银行等）接受委托代理兑付到期</w:t>
      </w:r>
    </w:p>
    <w:p w14:paraId="574A0C30" w14:textId="77777777" w:rsidR="00D630C4" w:rsidRDefault="00D630C4" w:rsidP="00D630C4">
      <w:pPr>
        <w:pStyle w:val="Default"/>
        <w:spacing w:line="546" w:lineRule="atLeast"/>
        <w:ind w:left="630" w:right="1380" w:hanging="63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的证券。</w:t>
      </w:r>
    </w:p>
    <w:p w14:paraId="4EC26FE5" w14:textId="77777777" w:rsidR="00D630C4" w:rsidRDefault="00D630C4" w:rsidP="00D630C4">
      <w:pPr>
        <w:pStyle w:val="Default"/>
        <w:spacing w:line="546" w:lineRule="atLeast"/>
        <w:ind w:leftChars="100" w:left="210" w:right="138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lastRenderedPageBreak/>
        <w:t>二、本科目可按委托单位和证券种类进行明细核算。</w:t>
      </w:r>
    </w:p>
    <w:p w14:paraId="144B7198" w14:textId="77777777" w:rsidR="00D630C4" w:rsidRDefault="00D630C4" w:rsidP="00D630C4">
      <w:pPr>
        <w:pStyle w:val="Default"/>
        <w:spacing w:line="546" w:lineRule="atLeast"/>
        <w:ind w:leftChars="100" w:left="210" w:right="138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三、代理兑付证券的主要账务处理。</w:t>
      </w:r>
    </w:p>
    <w:p w14:paraId="2D51A00C"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（一）委托单位尚未拨付兑付资金而由企业垫付的，在收到客户交来的证券时，应按兑付金额，借记本科目，贷记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等科目。向委托单位交回已兑付的证券并收回垫付的资金时，借记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等科目，贷记本科目。</w:t>
      </w:r>
    </w:p>
    <w:p w14:paraId="2F75BF4E"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（二）收到客户交来的无记名证券时，应按兑付金额，借记本科目，贷记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库存现金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等科目。向委托单位交回已兑付证券时，借记</w:t>
      </w:r>
      <w:r>
        <w:rPr>
          <w:rFonts w:ascii="Times New Roman" w:eastAsia="仿宋_GB2312" w:hAnsi="Times New Roman"/>
          <w:sz w:val="28"/>
          <w:szCs w:val="28"/>
        </w:rPr>
        <w:t>“</w:t>
      </w:r>
      <w:r>
        <w:rPr>
          <w:rFonts w:ascii="仿宋_GB2312" w:eastAsia="仿宋_GB2312" w:hAnsi="Times New Roman" w:cs="仿宋_GB2312" w:hint="eastAsia"/>
          <w:sz w:val="28"/>
          <w:szCs w:val="28"/>
        </w:rPr>
        <w:t>代理兑付证券款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5338F019" w14:textId="77777777" w:rsidR="00D630C4" w:rsidRDefault="00D630C4" w:rsidP="00D630C4">
      <w:pPr>
        <w:pStyle w:val="CM73"/>
        <w:spacing w:line="546" w:lineRule="atLeast"/>
        <w:ind w:right="138"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四、本科目期末借方余额，反映企业已兑付但尚未收到委托单位兑付资金的证券金额。</w:t>
      </w:r>
    </w:p>
    <w:p w14:paraId="4A5FC3FA" w14:textId="77777777" w:rsidR="00D630C4" w:rsidRDefault="00D630C4" w:rsidP="00D630C4">
      <w:pPr>
        <w:pStyle w:val="Default"/>
        <w:spacing w:line="546" w:lineRule="atLeast"/>
        <w:ind w:right="161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1321 </w:t>
      </w:r>
      <w:r>
        <w:rPr>
          <w:rFonts w:ascii="仿宋_GB2312" w:eastAsia="仿宋_GB2312" w:hAnsi="Times New Roman" w:cs="仿宋_GB2312" w:hint="eastAsia"/>
          <w:color w:val="auto"/>
          <w:sz w:val="28"/>
          <w:szCs w:val="28"/>
        </w:rPr>
        <w:t>代理业务资产</w:t>
      </w:r>
    </w:p>
    <w:p w14:paraId="56EE1FF1"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一、本科目核算企业不承担风险的代理业务形成的资产，包括受托理财业务进行的证券投资和受托贷款等。企业采用收取手续费方式受托代销的商品，可将本科目改为</w:t>
      </w:r>
      <w:r>
        <w:rPr>
          <w:rFonts w:ascii="仿宋_GB2312" w:eastAsia="仿宋_GB2312" w:hAnsi="Times New Roman" w:cs="仿宋_GB2312"/>
          <w:color w:val="auto"/>
          <w:sz w:val="28"/>
          <w:szCs w:val="28"/>
        </w:rPr>
        <w:t>“</w:t>
      </w:r>
      <w:r>
        <w:rPr>
          <w:rFonts w:ascii="Times New Roman" w:eastAsia="仿宋_GB2312" w:hAnsi="Times New Roman" w:cs="Times New Roman"/>
          <w:color w:val="auto"/>
          <w:sz w:val="28"/>
          <w:szCs w:val="28"/>
        </w:rPr>
        <w:t xml:space="preserve">1321 </w:t>
      </w:r>
      <w:r>
        <w:rPr>
          <w:rFonts w:ascii="仿宋_GB2312" w:eastAsia="仿宋_GB2312" w:hAnsi="Times New Roman" w:cs="仿宋_GB2312" w:hint="eastAsia"/>
          <w:color w:val="auto"/>
          <w:sz w:val="28"/>
          <w:szCs w:val="28"/>
        </w:rPr>
        <w:t>受托代销商品</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w:t>
      </w:r>
    </w:p>
    <w:p w14:paraId="084C3D64" w14:textId="77777777" w:rsidR="00D630C4" w:rsidRDefault="00D630C4" w:rsidP="00D630C4">
      <w:pPr>
        <w:pStyle w:val="CM34"/>
        <w:ind w:right="138" w:firstLine="623"/>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二、本科目可按委托单位、资产管理类别（如定向、集合和专项资产管理业务）、贷款对象，分别</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已实现未结算损益</w:t>
      </w:r>
      <w:r>
        <w:rPr>
          <w:rFonts w:ascii="Times New Roman" w:eastAsia="仿宋_GB2312" w:hAnsi="Times New Roman"/>
          <w:sz w:val="28"/>
          <w:szCs w:val="28"/>
        </w:rPr>
        <w:t>”</w:t>
      </w:r>
      <w:r>
        <w:rPr>
          <w:rFonts w:ascii="仿宋_GB2312" w:eastAsia="仿宋_GB2312" w:hAnsi="Times New Roman" w:cs="仿宋_GB2312" w:hint="eastAsia"/>
          <w:sz w:val="28"/>
          <w:szCs w:val="28"/>
        </w:rPr>
        <w:t>等进行明细核算。</w:t>
      </w:r>
    </w:p>
    <w:p w14:paraId="6FDBDAD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三、代理业务资产的主要账务处理。（一）企业收到委托人的资金，应按实际收到的金额，借记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存放中央银行款项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吸收存款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代理业务负债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科目。（二）以代理业务资金购买证券</w:t>
      </w:r>
      <w:r>
        <w:rPr>
          <w:rFonts w:ascii="仿宋_GB2312" w:eastAsia="仿宋_GB2312" w:hAnsi="Times New Roman" w:cs="仿宋_GB2312" w:hint="eastAsia"/>
          <w:color w:val="auto"/>
          <w:sz w:val="28"/>
          <w:szCs w:val="28"/>
        </w:rPr>
        <w:lastRenderedPageBreak/>
        <w:t>等，借记本科目（成本），贷记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存放中央银行款项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结算备付金</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客户</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吸收存款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6066C504"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将购买的证券售出，应按实际收到的金额，借记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等科目，按卖出证券应结转的成本，贷记本科目（成本），按其差额，借记或贷记本科目（已实现未结算损益）。</w:t>
      </w:r>
    </w:p>
    <w:p w14:paraId="61A107BD" w14:textId="77777777" w:rsidR="00D630C4" w:rsidRDefault="00D630C4" w:rsidP="00D630C4">
      <w:pPr>
        <w:pStyle w:val="CM12"/>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定期或在合同到期与委托客户进行结算，按合同约定比例计算代理业务资产收益，结转已实现未结算损益，借记本科目（已实现未结算损益），贷记</w:t>
      </w:r>
      <w:r>
        <w:rPr>
          <w:rFonts w:ascii="Times New Roman" w:eastAsia="仿宋_GB2312" w:hAnsi="Times New Roman"/>
          <w:sz w:val="28"/>
          <w:szCs w:val="28"/>
        </w:rPr>
        <w:t>“</w:t>
      </w:r>
      <w:r>
        <w:rPr>
          <w:rFonts w:ascii="仿宋_GB2312" w:eastAsia="仿宋_GB2312" w:hAnsi="Times New Roman" w:cs="仿宋_GB2312" w:hint="eastAsia"/>
          <w:sz w:val="28"/>
          <w:szCs w:val="28"/>
        </w:rPr>
        <w:t>代理业务负债</w:t>
      </w:r>
      <w:r>
        <w:rPr>
          <w:rFonts w:ascii="Times New Roman" w:eastAsia="仿宋_GB2312" w:hAnsi="Times New Roman"/>
          <w:sz w:val="28"/>
          <w:szCs w:val="28"/>
        </w:rPr>
        <w:t>”</w:t>
      </w:r>
      <w:r>
        <w:rPr>
          <w:rFonts w:ascii="仿宋_GB2312" w:eastAsia="仿宋_GB2312" w:hAnsi="Times New Roman" w:cs="仿宋_GB2312" w:hint="eastAsia"/>
          <w:sz w:val="28"/>
          <w:szCs w:val="28"/>
        </w:rPr>
        <w:t>（委托客户的收益）、</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（本企业的收益）等科目。</w:t>
      </w:r>
    </w:p>
    <w:p w14:paraId="79B2BCF7"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（三）发放受托的贷款，应按实际发放的金额，借记本科目（本金），贷记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590851BB"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收回受托贷款，应按实际收到的金额，借记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等科目，贷记本科目（本金），按其差额，贷记本科目（已实现未结算损益）等。</w:t>
      </w:r>
    </w:p>
    <w:p w14:paraId="2F34527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定期或在合同到期与委托单位结算，按合同规定比例计算受托贷款收益，结算已实现未结算的收益，借记本科目（已实现未结算损益），</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代理业务负债</w:t>
      </w:r>
      <w:r>
        <w:rPr>
          <w:rFonts w:ascii="Times New Roman" w:eastAsia="仿宋_GB2312" w:hAnsi="Times New Roman"/>
          <w:sz w:val="28"/>
          <w:szCs w:val="28"/>
        </w:rPr>
        <w:t>”</w:t>
      </w:r>
      <w:r>
        <w:rPr>
          <w:rFonts w:ascii="仿宋_GB2312" w:eastAsia="仿宋_GB2312" w:hAnsi="Times New Roman" w:cs="仿宋_GB2312" w:hint="eastAsia"/>
          <w:sz w:val="28"/>
          <w:szCs w:val="28"/>
        </w:rPr>
        <w:t>（委托客户的收益）、</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（本企业的收益）等科目</w:t>
      </w:r>
    </w:p>
    <w:p w14:paraId="054C8FC7"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（四）收到受托代销的商品，按约定的价格，借记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65347206"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售出受托代销商品后，按实际收到或应收的金额，借记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w:t>
      </w:r>
      <w:r>
        <w:rPr>
          <w:rFonts w:ascii="仿宋_GB2312" w:eastAsia="仿宋_GB2312" w:hAnsi="Times New Roman" w:cs="仿宋_GB2312" w:hint="eastAsia"/>
          <w:sz w:val="28"/>
          <w:szCs w:val="28"/>
        </w:rPr>
        <w:lastRenderedPageBreak/>
        <w:t>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科目。计算代销手续费等收入，借记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科目。结清代销商品款时，借记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8073AE1"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四、本科目期末借方余额，反映企业代理业务资产的价值。</w:t>
      </w:r>
    </w:p>
    <w:p w14:paraId="386A9664"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1401 </w:t>
      </w:r>
      <w:r>
        <w:rPr>
          <w:rFonts w:ascii="仿宋_GB2312" w:eastAsia="仿宋_GB2312" w:hAnsi="Times New Roman" w:cs="仿宋_GB2312" w:hint="eastAsia"/>
          <w:color w:val="auto"/>
          <w:sz w:val="28"/>
          <w:szCs w:val="28"/>
        </w:rPr>
        <w:t>材料采购</w:t>
      </w:r>
    </w:p>
    <w:p w14:paraId="6C184D32"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一、本科目核算企业采用计划成本进行材料日常核算而购入材料的采购成本。采用实际成本进行材料日常核算的，购入材料的采购成本，在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在途物资</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科目核算。委托外单位加工材料、商品的加工成本，在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委托加工物资</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r>
        <w:rPr>
          <w:rFonts w:ascii="仿宋_GB2312" w:eastAsia="仿宋_GB2312" w:hAnsi="Times New Roman" w:cs="仿宋_GB2312" w:hint="eastAsia"/>
          <w:sz w:val="28"/>
          <w:szCs w:val="28"/>
        </w:rPr>
        <w:t>核算。购入的工程用材料，在</w:t>
      </w:r>
      <w:r>
        <w:rPr>
          <w:rFonts w:ascii="Times New Roman" w:eastAsia="仿宋_GB2312" w:hAnsi="Times New Roman"/>
          <w:sz w:val="28"/>
          <w:szCs w:val="28"/>
        </w:rPr>
        <w:t>“</w:t>
      </w:r>
      <w:r>
        <w:rPr>
          <w:rFonts w:ascii="仿宋_GB2312" w:eastAsia="仿宋_GB2312" w:hAnsi="Times New Roman" w:cs="仿宋_GB2312" w:hint="eastAsia"/>
          <w:sz w:val="28"/>
          <w:szCs w:val="28"/>
        </w:rPr>
        <w:t>工程物资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7B567351" w14:textId="77777777" w:rsidR="00D630C4" w:rsidRDefault="00D630C4" w:rsidP="00D630C4">
      <w:pPr>
        <w:pStyle w:val="CM35"/>
        <w:ind w:left="48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二、本科目可按供应单位和材料品种进行明细核算。</w:t>
      </w:r>
    </w:p>
    <w:p w14:paraId="3E92E9E1"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三、材料采购的主要账务处理。</w:t>
      </w:r>
    </w:p>
    <w:p w14:paraId="25233588"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（一）企业支付材料价款和运杂费等，按应计入材料采购成本的金额，借记本科目，按实际支付或应支付的金额，贷记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其他货币资金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应付票据</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预付账款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等科目。涉及增值税进项税额的，还应进行相应的处理。</w:t>
      </w:r>
    </w:p>
    <w:p w14:paraId="52C95F3F" w14:textId="77777777" w:rsidR="00D630C4" w:rsidRDefault="00D630C4" w:rsidP="00D630C4">
      <w:pPr>
        <w:pStyle w:val="Default"/>
        <w:spacing w:line="546" w:lineRule="atLeast"/>
        <w:ind w:right="93" w:firstLine="2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（二）期末，企业应将仓库转来的外购收料凭证，分别下列不同情况进行处理：</w:t>
      </w:r>
    </w:p>
    <w:p w14:paraId="1257E09C" w14:textId="77777777" w:rsidR="00D630C4" w:rsidRDefault="00D630C4" w:rsidP="00D630C4">
      <w:pPr>
        <w:pStyle w:val="CM27"/>
        <w:ind w:firstLine="483"/>
        <w:rPr>
          <w:rFonts w:ascii="仿宋_GB2312" w:eastAsia="仿宋_GB2312" w:hAnsi="Times New Roman" w:cs="仿宋_GB2312"/>
          <w:sz w:val="28"/>
          <w:szCs w:val="28"/>
        </w:rPr>
      </w:pPr>
      <w:r>
        <w:rPr>
          <w:rFonts w:ascii="Times New Roman" w:eastAsia="仿宋_GB2312" w:hAnsi="Times New Roman"/>
          <w:sz w:val="28"/>
          <w:szCs w:val="28"/>
        </w:rPr>
        <w:t>1</w:t>
      </w:r>
      <w:r>
        <w:rPr>
          <w:rFonts w:ascii="仿宋_GB2312" w:eastAsia="仿宋_GB2312" w:hAnsi="Times New Roman" w:cs="仿宋_GB2312" w:hint="eastAsia"/>
          <w:sz w:val="28"/>
          <w:szCs w:val="28"/>
        </w:rPr>
        <w:t>．对于已经付款或已开出、承兑商业汇票的收料凭证，应按实</w:t>
      </w:r>
    </w:p>
    <w:p w14:paraId="505089A7" w14:textId="77777777" w:rsidR="00D630C4" w:rsidRDefault="00D630C4" w:rsidP="00D630C4">
      <w:pPr>
        <w:pStyle w:val="CM20"/>
        <w:ind w:right="138"/>
        <w:rPr>
          <w:rFonts w:ascii="仿宋_GB2312" w:eastAsia="仿宋_GB2312" w:hAnsi="Times New Roman" w:cs="仿宋_GB2312"/>
          <w:sz w:val="28"/>
          <w:szCs w:val="28"/>
        </w:rPr>
      </w:pPr>
      <w:r>
        <w:rPr>
          <w:rFonts w:ascii="仿宋_GB2312" w:eastAsia="仿宋_GB2312" w:hAnsi="Times New Roman" w:cs="仿宋_GB2312" w:hint="eastAsia"/>
          <w:sz w:val="28"/>
          <w:szCs w:val="28"/>
        </w:rPr>
        <w:t>际成本和计划成本分别汇总，按计划成本，借记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周转材</w:t>
      </w:r>
      <w:r>
        <w:rPr>
          <w:rFonts w:ascii="仿宋_GB2312" w:eastAsia="仿宋_GB2312" w:hAnsi="Times New Roman" w:cs="仿宋_GB2312" w:hint="eastAsia"/>
          <w:sz w:val="28"/>
          <w:szCs w:val="28"/>
        </w:rPr>
        <w:lastRenderedPageBreak/>
        <w:t>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等科目，贷记本科目；将实际成本大于计划成本的差异，借记</w:t>
      </w:r>
      <w:r>
        <w:rPr>
          <w:rFonts w:ascii="Times New Roman" w:eastAsia="仿宋_GB2312" w:hAnsi="Times New Roman"/>
          <w:sz w:val="28"/>
          <w:szCs w:val="28"/>
        </w:rPr>
        <w:t>“</w:t>
      </w:r>
      <w:r>
        <w:rPr>
          <w:rFonts w:ascii="仿宋_GB2312" w:eastAsia="仿宋_GB2312" w:hAnsi="Times New Roman" w:cs="仿宋_GB2312" w:hint="eastAsia"/>
          <w:sz w:val="28"/>
          <w:szCs w:val="28"/>
        </w:rPr>
        <w:t>材料成本差异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科目，贷记本科目；实际成本小于计划成本的差异做相反的会计分录。</w:t>
      </w:r>
    </w:p>
    <w:p w14:paraId="3CBDA25C" w14:textId="77777777" w:rsidR="00D630C4" w:rsidRDefault="00D630C4" w:rsidP="00D630C4">
      <w:pPr>
        <w:pStyle w:val="CM27"/>
        <w:ind w:firstLine="483"/>
        <w:rPr>
          <w:rFonts w:ascii="仿宋_GB2312" w:eastAsia="仿宋_GB2312" w:hAnsi="Times New Roman" w:cs="仿宋_GB2312"/>
          <w:sz w:val="28"/>
          <w:szCs w:val="28"/>
        </w:rPr>
      </w:pPr>
      <w:r>
        <w:rPr>
          <w:rFonts w:ascii="Times New Roman" w:eastAsia="仿宋_GB2312" w:hAnsi="Times New Roman"/>
          <w:sz w:val="28"/>
          <w:szCs w:val="28"/>
        </w:rPr>
        <w:t>2</w:t>
      </w:r>
      <w:r>
        <w:rPr>
          <w:rFonts w:ascii="仿宋_GB2312" w:eastAsia="仿宋_GB2312" w:hAnsi="Times New Roman" w:cs="仿宋_GB2312" w:hint="eastAsia"/>
          <w:sz w:val="28"/>
          <w:szCs w:val="28"/>
        </w:rPr>
        <w:t>．对于尚未收到发票账单的收料凭证，应按计划成本暂估入账，借记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周转材料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暂估应付账款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科目，下期初做相反分录予以冲回。下期收到发票账单的收料凭证，借记本科目，贷记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应付票据</w:t>
      </w:r>
      <w:r>
        <w:rPr>
          <w:rFonts w:ascii="Times New Roman" w:eastAsia="仿宋_GB2312" w:hAnsi="Times New Roman"/>
          <w:sz w:val="28"/>
          <w:szCs w:val="28"/>
        </w:rPr>
        <w:t>”</w:t>
      </w:r>
      <w:r>
        <w:rPr>
          <w:rFonts w:ascii="仿宋_GB2312" w:eastAsia="仿宋_GB2312" w:hAnsi="Times New Roman" w:cs="仿宋_GB2312" w:hint="eastAsia"/>
          <w:sz w:val="28"/>
          <w:szCs w:val="28"/>
        </w:rPr>
        <w:t>等科目。涉及增值税进项税额的，还应进行相应的处理。</w:t>
      </w:r>
    </w:p>
    <w:p w14:paraId="520A8354" w14:textId="77777777" w:rsidR="00D630C4" w:rsidRDefault="00D630C4" w:rsidP="00D630C4">
      <w:pPr>
        <w:pStyle w:val="CM73"/>
        <w:spacing w:line="546" w:lineRule="atLeast"/>
        <w:ind w:left="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四、本科目期末借方余额，反映企业在途材料的采购成本。</w:t>
      </w:r>
    </w:p>
    <w:p w14:paraId="785D1A88" w14:textId="77777777" w:rsidR="00D630C4" w:rsidRDefault="00D630C4" w:rsidP="00D630C4">
      <w:pPr>
        <w:pStyle w:val="CM36"/>
        <w:ind w:right="140"/>
        <w:rPr>
          <w:rFonts w:ascii="仿宋_GB2312" w:eastAsia="仿宋_GB2312" w:hAnsi="Times New Roman" w:cs="仿宋_GB2312"/>
          <w:sz w:val="28"/>
          <w:szCs w:val="28"/>
        </w:rPr>
      </w:pPr>
      <w:r>
        <w:rPr>
          <w:rFonts w:ascii="Times New Roman" w:eastAsia="仿宋_GB2312" w:hAnsi="Times New Roman"/>
          <w:b/>
          <w:bCs/>
          <w:sz w:val="28"/>
          <w:szCs w:val="28"/>
        </w:rPr>
        <w:t xml:space="preserve">1402 </w:t>
      </w:r>
      <w:r>
        <w:rPr>
          <w:rFonts w:ascii="仿宋_GB2312" w:eastAsia="仿宋_GB2312" w:hAnsi="Times New Roman" w:cs="仿宋_GB2312" w:hint="eastAsia"/>
          <w:sz w:val="28"/>
          <w:szCs w:val="28"/>
        </w:rPr>
        <w:t>在途物资</w:t>
      </w:r>
    </w:p>
    <w:p w14:paraId="26CFDEA0" w14:textId="77777777" w:rsidR="00D630C4" w:rsidRDefault="00D630C4" w:rsidP="00D630C4">
      <w:pPr>
        <w:pStyle w:val="CM3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一、本科目核算企业采用实际成本（或进价）进行材料、商品等物资的日常核算、货款已付尚未验收入库的在途物资的采购成本。</w:t>
      </w:r>
    </w:p>
    <w:p w14:paraId="0F9C667C" w14:textId="77777777" w:rsidR="00D630C4" w:rsidRDefault="00D630C4" w:rsidP="00D630C4">
      <w:pPr>
        <w:pStyle w:val="CM3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二、本科目可按供应单位和物资品种进行明细核算。</w:t>
      </w:r>
    </w:p>
    <w:p w14:paraId="7E146C06" w14:textId="77777777" w:rsidR="00D630C4" w:rsidRDefault="00D630C4" w:rsidP="00D630C4">
      <w:pPr>
        <w:pStyle w:val="CM3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三、在途物资的主要账务处理。（一）企业购入材料、商品，按应计入材料、商品采购成本的金额，借记本科目，按实际支付或应支付的金额，贷记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应付票据</w:t>
      </w:r>
      <w:r>
        <w:rPr>
          <w:rFonts w:ascii="Times New Roman" w:eastAsia="仿宋_GB2312" w:hAnsi="Times New Roman"/>
          <w:sz w:val="28"/>
          <w:szCs w:val="28"/>
        </w:rPr>
        <w:t>”</w:t>
      </w:r>
      <w:r>
        <w:rPr>
          <w:rFonts w:ascii="仿宋_GB2312" w:eastAsia="仿宋_GB2312" w:hAnsi="Times New Roman" w:cs="仿宋_GB2312" w:hint="eastAsia"/>
          <w:sz w:val="28"/>
          <w:szCs w:val="28"/>
        </w:rPr>
        <w:t>等科目。涉及增值税进项税额的，还应进行相应的处理。</w:t>
      </w:r>
    </w:p>
    <w:p w14:paraId="70811F3B"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（二）所购材料、商品到达验收入库，借记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等科目，贷记本科目。</w:t>
      </w:r>
    </w:p>
    <w:p w14:paraId="249820C8"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库存商品采用售价核算的，按售价，借记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科目，按进价，贷记本科目，进价与售价之间的差额，借记或贷记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商品进销差</w:t>
      </w:r>
      <w:r>
        <w:rPr>
          <w:rFonts w:ascii="仿宋_GB2312" w:eastAsia="仿宋_GB2312" w:hAnsi="Times New Roman" w:cs="仿宋_GB2312" w:hint="eastAsia"/>
          <w:sz w:val="28"/>
          <w:szCs w:val="28"/>
        </w:rPr>
        <w:lastRenderedPageBreak/>
        <w:t>价</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B2E665B" w14:textId="77777777" w:rsidR="00D630C4" w:rsidRDefault="00D630C4" w:rsidP="00D630C4">
      <w:pPr>
        <w:pStyle w:val="CM78"/>
        <w:spacing w:line="546" w:lineRule="atLeast"/>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四、本科目期末借方余额，反映企业在途材料、商品等物资的采购成本。</w:t>
      </w:r>
    </w:p>
    <w:p w14:paraId="3E1998C3" w14:textId="77777777" w:rsidR="00D630C4" w:rsidRDefault="00D630C4" w:rsidP="00D630C4">
      <w:pPr>
        <w:pStyle w:val="CM1"/>
        <w:rPr>
          <w:rFonts w:ascii="仿宋_GB2312" w:eastAsia="仿宋_GB2312" w:hAnsi="Times New Roman" w:cs="仿宋_GB2312"/>
          <w:sz w:val="28"/>
          <w:szCs w:val="28"/>
        </w:rPr>
      </w:pPr>
      <w:r>
        <w:rPr>
          <w:rFonts w:ascii="Times New Roman" w:eastAsia="仿宋_GB2312" w:hAnsi="Times New Roman"/>
          <w:b/>
          <w:bCs/>
          <w:sz w:val="28"/>
          <w:szCs w:val="28"/>
        </w:rPr>
        <w:t xml:space="preserve">1403 </w:t>
      </w:r>
      <w:r>
        <w:rPr>
          <w:rFonts w:ascii="仿宋_GB2312" w:eastAsia="仿宋_GB2312" w:hAnsi="Times New Roman" w:cs="仿宋_GB2312" w:hint="eastAsia"/>
          <w:sz w:val="28"/>
          <w:szCs w:val="28"/>
        </w:rPr>
        <w:t>原材料</w:t>
      </w:r>
    </w:p>
    <w:p w14:paraId="7706334C"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一、本科目核算企业库存的各种材料，包括原料及主要材料、辅助材料、外购半成品</w:t>
      </w:r>
      <w:r>
        <w:rPr>
          <w:rFonts w:ascii="Times New Roman" w:eastAsia="仿宋_GB2312" w:hAnsi="Times New Roman"/>
          <w:sz w:val="28"/>
          <w:szCs w:val="28"/>
        </w:rPr>
        <w:t>(</w:t>
      </w:r>
      <w:r>
        <w:rPr>
          <w:rFonts w:ascii="仿宋_GB2312" w:eastAsia="仿宋_GB2312" w:hAnsi="Times New Roman" w:cs="仿宋_GB2312" w:hint="eastAsia"/>
          <w:sz w:val="28"/>
          <w:szCs w:val="28"/>
        </w:rPr>
        <w:t>外购件</w:t>
      </w:r>
      <w:r>
        <w:rPr>
          <w:rFonts w:ascii="Times New Roman" w:eastAsia="仿宋_GB2312" w:hAnsi="Times New Roman"/>
          <w:sz w:val="28"/>
          <w:szCs w:val="28"/>
        </w:rPr>
        <w:t>)</w:t>
      </w:r>
      <w:r>
        <w:rPr>
          <w:rFonts w:ascii="仿宋_GB2312" w:eastAsia="仿宋_GB2312" w:hAnsi="Times New Roman" w:cs="仿宋_GB2312" w:hint="eastAsia"/>
          <w:sz w:val="28"/>
          <w:szCs w:val="28"/>
        </w:rPr>
        <w:t>、修理用备件</w:t>
      </w:r>
      <w:r>
        <w:rPr>
          <w:rFonts w:ascii="Times New Roman" w:eastAsia="仿宋_GB2312" w:hAnsi="Times New Roman"/>
          <w:sz w:val="28"/>
          <w:szCs w:val="28"/>
        </w:rPr>
        <w:t>(</w:t>
      </w:r>
      <w:r>
        <w:rPr>
          <w:rFonts w:ascii="仿宋_GB2312" w:eastAsia="仿宋_GB2312" w:hAnsi="Times New Roman" w:cs="仿宋_GB2312" w:hint="eastAsia"/>
          <w:sz w:val="28"/>
          <w:szCs w:val="28"/>
        </w:rPr>
        <w:t>备品备件</w:t>
      </w:r>
      <w:r>
        <w:rPr>
          <w:rFonts w:ascii="Times New Roman" w:eastAsia="仿宋_GB2312" w:hAnsi="Times New Roman"/>
          <w:sz w:val="28"/>
          <w:szCs w:val="28"/>
        </w:rPr>
        <w:t>)</w:t>
      </w:r>
      <w:r>
        <w:rPr>
          <w:rFonts w:ascii="仿宋_GB2312" w:eastAsia="仿宋_GB2312" w:hAnsi="Times New Roman" w:cs="仿宋_GB2312" w:hint="eastAsia"/>
          <w:sz w:val="28"/>
          <w:szCs w:val="28"/>
        </w:rPr>
        <w:t>、包装材料、燃料等的计划成本或实际成本。收到来料加工装配业务的原料、零件等，应当设置备查簿进行登记。</w:t>
      </w:r>
    </w:p>
    <w:p w14:paraId="43EAEF3C"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二、本科目可按材料的保管地点</w:t>
      </w:r>
      <w:r>
        <w:rPr>
          <w:rFonts w:ascii="Times New Roman" w:eastAsia="仿宋_GB2312" w:hAnsi="Times New Roman"/>
          <w:sz w:val="28"/>
          <w:szCs w:val="28"/>
        </w:rPr>
        <w:t>(</w:t>
      </w:r>
      <w:r>
        <w:rPr>
          <w:rFonts w:ascii="仿宋_GB2312" w:eastAsia="仿宋_GB2312" w:hAnsi="Times New Roman" w:cs="仿宋_GB2312" w:hint="eastAsia"/>
          <w:sz w:val="28"/>
          <w:szCs w:val="28"/>
        </w:rPr>
        <w:t>仓库</w:t>
      </w:r>
      <w:r>
        <w:rPr>
          <w:rFonts w:ascii="Times New Roman" w:eastAsia="仿宋_GB2312" w:hAnsi="Times New Roman"/>
          <w:sz w:val="28"/>
          <w:szCs w:val="28"/>
        </w:rPr>
        <w:t>)</w:t>
      </w:r>
      <w:r>
        <w:rPr>
          <w:rFonts w:ascii="仿宋_GB2312" w:eastAsia="仿宋_GB2312" w:hAnsi="Times New Roman" w:cs="仿宋_GB2312" w:hint="eastAsia"/>
          <w:sz w:val="28"/>
          <w:szCs w:val="28"/>
        </w:rPr>
        <w:t>、材料的类别、品种和规格等进行明细核算。</w:t>
      </w:r>
    </w:p>
    <w:p w14:paraId="26E897C1"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三、原材料的主要账务处理。</w:t>
      </w:r>
    </w:p>
    <w:p w14:paraId="4412A17A"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（一）企业购入并已验收入库的材料，按计划成本或实际成本，借记本科目，按实际成本，贷记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在途物资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科目，按计划成本与实际成本的差异，借记或贷记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材料成本差异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9C9A169"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（二）自制并已验收入库的材料，按计划成本或实际成本，借记本科目，按实际成本，贷记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科目，按计划成本与实际成本的差异，借记或贷记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材料成本差异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741F5A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委托外单位加工完成并已验收入库的材料，按计划成本或实际成本，借记本科目，按实际成本，贷记</w:t>
      </w:r>
      <w:r>
        <w:rPr>
          <w:rFonts w:ascii="Times New Roman" w:eastAsia="仿宋_GB2312" w:hAnsi="Times New Roman"/>
          <w:sz w:val="28"/>
          <w:szCs w:val="28"/>
        </w:rPr>
        <w:t>“</w:t>
      </w:r>
      <w:r>
        <w:rPr>
          <w:rFonts w:ascii="仿宋_GB2312" w:eastAsia="仿宋_GB2312" w:hAnsi="Times New Roman" w:cs="仿宋_GB2312" w:hint="eastAsia"/>
          <w:sz w:val="28"/>
          <w:szCs w:val="28"/>
        </w:rPr>
        <w:t>委托加工物资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科目，按计划成本与实际成本的差异，借记或贷记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材料成本差异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87B31C8"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（三）生产经营领用材料，借记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生产成本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制造费用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销</w:t>
      </w:r>
      <w:r>
        <w:rPr>
          <w:rFonts w:ascii="仿宋_GB2312" w:eastAsia="仿宋_GB2312" w:hAnsi="Times New Roman" w:cs="仿宋_GB2312" w:hint="eastAsia"/>
          <w:color w:val="auto"/>
          <w:sz w:val="28"/>
          <w:szCs w:val="28"/>
        </w:rPr>
        <w:lastRenderedPageBreak/>
        <w:t>售</w:t>
      </w:r>
      <w:r>
        <w:rPr>
          <w:rFonts w:ascii="仿宋_GB2312" w:eastAsia="仿宋_GB2312" w:hAnsi="Times New Roman" w:cs="仿宋_GB2312" w:hint="eastAsia"/>
          <w:sz w:val="28"/>
          <w:szCs w:val="28"/>
        </w:rPr>
        <w:t>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等科目，贷记本科目。出售材料结转成本，借记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科目，贷记本科目。发出委托外单位加工的材料，借记</w:t>
      </w:r>
      <w:r>
        <w:rPr>
          <w:rFonts w:ascii="Times New Roman" w:eastAsia="仿宋_GB2312" w:hAnsi="Times New Roman"/>
          <w:sz w:val="28"/>
          <w:szCs w:val="28"/>
        </w:rPr>
        <w:t>“</w:t>
      </w:r>
      <w:r>
        <w:rPr>
          <w:rFonts w:ascii="仿宋_GB2312" w:eastAsia="仿宋_GB2312" w:hAnsi="Times New Roman" w:cs="仿宋_GB2312" w:hint="eastAsia"/>
          <w:sz w:val="28"/>
          <w:szCs w:val="28"/>
        </w:rPr>
        <w:t>委托加工物资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科目，贷记本科目。采用计划成本进行材料日常核算的，发出材料还应结转材料成本差异，将发出材料的计划成本调整为实际成本。</w:t>
      </w:r>
    </w:p>
    <w:p w14:paraId="5931C57C"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采用实际成本进行材料日常核算的，发出材料的实际成本，可以采用先进先出法、加权平均法或个别认定法计算确定。</w:t>
      </w:r>
    </w:p>
    <w:p w14:paraId="6571FB3D" w14:textId="77777777" w:rsidR="00D630C4" w:rsidRDefault="00D630C4" w:rsidP="00D630C4">
      <w:pPr>
        <w:pStyle w:val="CM73"/>
        <w:spacing w:line="546" w:lineRule="atLeast"/>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四、本科目期末借方余额，反映企业库存材料的计划成本或实际成本。</w:t>
      </w:r>
    </w:p>
    <w:p w14:paraId="60C04127" w14:textId="77777777" w:rsidR="00D630C4" w:rsidRDefault="00D630C4" w:rsidP="00D630C4">
      <w:pPr>
        <w:pStyle w:val="CM38"/>
        <w:ind w:right="3225"/>
        <w:rPr>
          <w:rFonts w:ascii="仿宋_GB2312" w:eastAsia="仿宋_GB2312" w:hAnsi="Times New Roman" w:cs="仿宋_GB2312"/>
          <w:sz w:val="28"/>
          <w:szCs w:val="28"/>
        </w:rPr>
      </w:pPr>
      <w:r>
        <w:rPr>
          <w:rFonts w:ascii="Times New Roman" w:eastAsia="仿宋_GB2312" w:hAnsi="Times New Roman"/>
          <w:b/>
          <w:bCs/>
          <w:sz w:val="28"/>
          <w:szCs w:val="28"/>
        </w:rPr>
        <w:t xml:space="preserve">1404 </w:t>
      </w:r>
      <w:r>
        <w:rPr>
          <w:rFonts w:ascii="仿宋_GB2312" w:eastAsia="仿宋_GB2312" w:hAnsi="Times New Roman" w:cs="仿宋_GB2312" w:hint="eastAsia"/>
          <w:sz w:val="28"/>
          <w:szCs w:val="28"/>
        </w:rPr>
        <w:t>材料成本差异</w:t>
      </w:r>
    </w:p>
    <w:p w14:paraId="4A9067E2" w14:textId="77777777" w:rsidR="00D630C4" w:rsidRDefault="00D630C4" w:rsidP="00D630C4">
      <w:pPr>
        <w:pStyle w:val="CM3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一、本科目核算企业采用计划成本进行日常核算的材料计划成本与实际成本的差额。企业也可以在</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Times New Roman" w:eastAsia="仿宋_GB2312" w:hAnsi="Times New Roman" w:hint="eastAsia"/>
          <w:sz w:val="28"/>
          <w:szCs w:val="28"/>
        </w:rPr>
        <w:t>周转材料</w:t>
      </w:r>
      <w:r>
        <w:rPr>
          <w:rFonts w:ascii="Times New Roman" w:eastAsia="仿宋_GB2312" w:hAnsi="Times New Roman"/>
          <w:sz w:val="28"/>
          <w:szCs w:val="28"/>
        </w:rPr>
        <w:t>”</w:t>
      </w:r>
      <w:r>
        <w:rPr>
          <w:rFonts w:ascii="Times New Roman" w:eastAsia="仿宋_GB2312" w:hAnsi="Times New Roman" w:hint="eastAsia"/>
          <w:sz w:val="28"/>
          <w:szCs w:val="28"/>
        </w:rPr>
        <w:t>等</w:t>
      </w:r>
      <w:r>
        <w:rPr>
          <w:rFonts w:ascii="仿宋_GB2312" w:eastAsia="仿宋_GB2312" w:hAnsi="Times New Roman" w:cs="仿宋_GB2312" w:hint="eastAsia"/>
          <w:sz w:val="28"/>
          <w:szCs w:val="28"/>
        </w:rPr>
        <w:t>科目设置</w:t>
      </w:r>
      <w:r>
        <w:rPr>
          <w:rFonts w:ascii="Times New Roman" w:eastAsia="仿宋_GB2312" w:hAnsi="Times New Roman"/>
          <w:sz w:val="28"/>
          <w:szCs w:val="28"/>
        </w:rPr>
        <w:t>“</w:t>
      </w:r>
      <w:r>
        <w:rPr>
          <w:rFonts w:ascii="仿宋_GB2312" w:eastAsia="仿宋_GB2312" w:hAnsi="Times New Roman" w:cs="仿宋_GB2312" w:hint="eastAsia"/>
          <w:sz w:val="28"/>
          <w:szCs w:val="28"/>
        </w:rPr>
        <w:t>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明细科目。</w:t>
      </w:r>
    </w:p>
    <w:p w14:paraId="20EE2677" w14:textId="77777777" w:rsidR="00D630C4" w:rsidRDefault="00D630C4" w:rsidP="00D630C4">
      <w:pPr>
        <w:pStyle w:val="CM3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二、本科目可以分别</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周转材料</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等，按照类别或品种进行明细核算。</w:t>
      </w:r>
    </w:p>
    <w:p w14:paraId="6B466324" w14:textId="77777777" w:rsidR="00D630C4" w:rsidRDefault="00D630C4" w:rsidP="00D630C4">
      <w:pPr>
        <w:pStyle w:val="CM29"/>
        <w:ind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三、材料成本差异的主要账务处理。</w:t>
      </w:r>
    </w:p>
    <w:p w14:paraId="065659F6"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（一）入库材料发生的材料成本差异，实际成本大于计划成本的差异，借记本科目，贷记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w:t>
      </w:r>
      <w:r>
        <w:rPr>
          <w:rFonts w:ascii="仿宋_GB2312" w:eastAsia="仿宋_GB2312" w:hAnsi="Times New Roman" w:cs="仿宋_GB2312" w:hint="eastAsia"/>
          <w:sz w:val="28"/>
          <w:szCs w:val="28"/>
        </w:rPr>
        <w:t>科目；实际成本小于计划成本的差异做相反的会计分录。</w:t>
      </w:r>
    </w:p>
    <w:p w14:paraId="39C5EBD7"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入库材料的计划成本应当尽可能接近实际成本。除特殊情况外，计划成本在年度内不得随意变更。</w:t>
      </w:r>
    </w:p>
    <w:p w14:paraId="78F556CB"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（二）结转发出材料应负担的材料成本差异，按实际成本大于计划成本的差异，借记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委托加工物资</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宋体" w:eastAsia="宋体" w:hAnsi="Times New Roman" w:cs="宋体" w:hint="eastAsia"/>
          <w:sz w:val="28"/>
          <w:szCs w:val="28"/>
        </w:rPr>
        <w:t>其他业务成本</w:t>
      </w:r>
      <w:r>
        <w:rPr>
          <w:rFonts w:ascii="Times New Roman" w:eastAsia="宋体" w:hAnsi="Times New Roman"/>
          <w:sz w:val="28"/>
          <w:szCs w:val="28"/>
        </w:rPr>
        <w:t>”</w:t>
      </w:r>
      <w:r>
        <w:rPr>
          <w:rFonts w:ascii="仿宋_GB2312" w:eastAsia="仿宋_GB2312" w:hAnsi="Times New Roman" w:cs="仿宋_GB2312" w:hint="eastAsia"/>
          <w:sz w:val="28"/>
          <w:szCs w:val="28"/>
        </w:rPr>
        <w:t>等科目，贷记本科目；实际成本小于计划成本的差异做相反的会计分录。</w:t>
      </w:r>
    </w:p>
    <w:p w14:paraId="770F92B8"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发出材料应负担的成本差异应当按期（月）分摊，不得在季末或年末一次计算。发出材料应负担的成本差异，除委托外部加工发出材料可按期初成本差异率计算外，应使用当期的实际差异率；期初成本差异率与本期成本差异率相差不大的，也可按期初成本差异率计算。计算方法一经确定，不得随意变更。材料成本差异率的计算公式如下：</w:t>
      </w:r>
    </w:p>
    <w:p w14:paraId="2B7C891E" w14:textId="77777777" w:rsidR="00D630C4" w:rsidRDefault="00D630C4" w:rsidP="00D630C4">
      <w:pPr>
        <w:pStyle w:val="CM13"/>
        <w:ind w:right="138" w:firstLine="478"/>
        <w:jc w:val="both"/>
        <w:rPr>
          <w:rFonts w:ascii="Times New Roman" w:eastAsia="仿宋_GB2312" w:hAnsi="Times New Roman"/>
          <w:sz w:val="28"/>
          <w:szCs w:val="28"/>
        </w:rPr>
      </w:pPr>
      <w:r>
        <w:rPr>
          <w:rFonts w:ascii="仿宋_GB2312" w:eastAsia="仿宋_GB2312" w:hAnsi="Times New Roman" w:cs="仿宋_GB2312" w:hint="eastAsia"/>
          <w:sz w:val="28"/>
          <w:szCs w:val="28"/>
        </w:rPr>
        <w:t>本期材料成本差异率</w:t>
      </w:r>
      <w:r>
        <w:rPr>
          <w:rFonts w:ascii="Times New Roman" w:eastAsia="仿宋_GB2312" w:hAnsi="Times New Roman"/>
          <w:sz w:val="28"/>
          <w:szCs w:val="28"/>
        </w:rPr>
        <w:t>=</w:t>
      </w:r>
      <w:r>
        <w:rPr>
          <w:rFonts w:ascii="仿宋_GB2312" w:eastAsia="仿宋_GB2312" w:hAnsi="Times New Roman" w:cs="仿宋_GB2312" w:hint="eastAsia"/>
          <w:sz w:val="28"/>
          <w:szCs w:val="28"/>
        </w:rPr>
        <w:t>（期初结存材料的成本差异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本期验收入库材料的成本差异）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（期初结存材料的计划成本</w:t>
      </w:r>
      <w:r>
        <w:rPr>
          <w:rFonts w:ascii="Times New Roman" w:eastAsia="仿宋_GB2312" w:hAnsi="Times New Roman"/>
          <w:sz w:val="28"/>
          <w:szCs w:val="28"/>
        </w:rPr>
        <w:t>+</w:t>
      </w:r>
      <w:r>
        <w:rPr>
          <w:rFonts w:ascii="仿宋_GB2312" w:eastAsia="仿宋_GB2312" w:hAnsi="Times New Roman" w:cs="仿宋_GB2312" w:hint="eastAsia"/>
          <w:sz w:val="28"/>
          <w:szCs w:val="28"/>
        </w:rPr>
        <w:t>本期验收入库材料的计划成本）</w:t>
      </w:r>
      <w:r>
        <w:rPr>
          <w:rFonts w:ascii="Times New Roman" w:eastAsia="仿宋_GB2312" w:hAnsi="Times New Roman"/>
          <w:sz w:val="28"/>
          <w:szCs w:val="28"/>
        </w:rPr>
        <w:t xml:space="preserve">×100% </w:t>
      </w:r>
    </w:p>
    <w:p w14:paraId="63A50981" w14:textId="77777777" w:rsidR="00D630C4" w:rsidRDefault="00D630C4" w:rsidP="00D630C4">
      <w:pPr>
        <w:pStyle w:val="CM13"/>
        <w:ind w:right="138" w:firstLine="478"/>
        <w:jc w:val="both"/>
        <w:rPr>
          <w:rFonts w:ascii="Times New Roman" w:eastAsia="仿宋_GB2312" w:hAnsi="Times New Roman"/>
          <w:sz w:val="28"/>
          <w:szCs w:val="28"/>
        </w:rPr>
      </w:pPr>
      <w:r>
        <w:rPr>
          <w:rFonts w:ascii="仿宋_GB2312" w:eastAsia="仿宋_GB2312" w:hAnsi="Times New Roman" w:cs="仿宋_GB2312" w:hint="eastAsia"/>
          <w:sz w:val="28"/>
          <w:szCs w:val="28"/>
        </w:rPr>
        <w:t>期初材料成本差异率</w:t>
      </w:r>
      <w:r>
        <w:rPr>
          <w:rFonts w:ascii="Times New Roman" w:eastAsia="仿宋_GB2312" w:hAnsi="Times New Roman"/>
          <w:sz w:val="28"/>
          <w:szCs w:val="28"/>
        </w:rPr>
        <w:t>=</w:t>
      </w:r>
      <w:r>
        <w:rPr>
          <w:rFonts w:ascii="仿宋_GB2312" w:eastAsia="仿宋_GB2312" w:hAnsi="Times New Roman" w:cs="仿宋_GB2312" w:hint="eastAsia"/>
          <w:sz w:val="28"/>
          <w:szCs w:val="28"/>
        </w:rPr>
        <w:t>期初结存材料的成本差异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期初结存材料的计划成本</w:t>
      </w:r>
      <w:r>
        <w:rPr>
          <w:rFonts w:ascii="Times New Roman" w:eastAsia="仿宋_GB2312" w:hAnsi="Times New Roman"/>
          <w:sz w:val="28"/>
          <w:szCs w:val="28"/>
        </w:rPr>
        <w:t xml:space="preserve">×100% </w:t>
      </w:r>
    </w:p>
    <w:p w14:paraId="4D6A9040"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发出材料应负担的成本差异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发出材料的计划成本</w:t>
      </w:r>
      <w:r>
        <w:rPr>
          <w:rFonts w:ascii="Times New Roman" w:eastAsia="仿宋_GB2312" w:hAnsi="Times New Roman"/>
          <w:sz w:val="28"/>
          <w:szCs w:val="28"/>
        </w:rPr>
        <w:t>×</w:t>
      </w:r>
      <w:r>
        <w:rPr>
          <w:rFonts w:ascii="仿宋_GB2312" w:eastAsia="仿宋_GB2312" w:hAnsi="Times New Roman" w:cs="仿宋_GB2312" w:hint="eastAsia"/>
          <w:sz w:val="28"/>
          <w:szCs w:val="28"/>
        </w:rPr>
        <w:t>材料成本差异率</w:t>
      </w:r>
    </w:p>
    <w:p w14:paraId="0C2CC0CB" w14:textId="77777777" w:rsidR="00D630C4" w:rsidRDefault="00D630C4" w:rsidP="00D630C4">
      <w:pPr>
        <w:pStyle w:val="CM73"/>
        <w:spacing w:line="546" w:lineRule="atLeast"/>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四、本科目期末借方余额，反映企业库存材料等的实际成本大于计划成本的差异；贷方余额反映企业库存材料等的实际成本小于计划成本的差异。</w:t>
      </w:r>
    </w:p>
    <w:p w14:paraId="2BECE18C"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1405 </w:t>
      </w:r>
      <w:r>
        <w:rPr>
          <w:rFonts w:ascii="仿宋_GB2312" w:eastAsia="仿宋_GB2312" w:hAnsi="Times New Roman" w:cs="仿宋_GB2312" w:hint="eastAsia"/>
          <w:sz w:val="28"/>
          <w:szCs w:val="28"/>
        </w:rPr>
        <w:t>库存商品</w:t>
      </w:r>
    </w:p>
    <w:p w14:paraId="39957B5F"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一、本科目核算企业库存的各种商品的实际成本</w:t>
      </w:r>
      <w:r>
        <w:rPr>
          <w:rFonts w:ascii="Times New Roman" w:eastAsia="仿宋_GB2312" w:hAnsi="Times New Roman"/>
          <w:sz w:val="28"/>
          <w:szCs w:val="28"/>
        </w:rPr>
        <w:t>(</w:t>
      </w:r>
      <w:r>
        <w:rPr>
          <w:rFonts w:ascii="仿宋_GB2312" w:eastAsia="仿宋_GB2312" w:hAnsi="Times New Roman" w:cs="仿宋_GB2312" w:hint="eastAsia"/>
          <w:sz w:val="28"/>
          <w:szCs w:val="28"/>
        </w:rPr>
        <w:t>或进价</w:t>
      </w:r>
      <w:r>
        <w:rPr>
          <w:rFonts w:ascii="Times New Roman" w:eastAsia="仿宋_GB2312" w:hAnsi="Times New Roman"/>
          <w:sz w:val="28"/>
          <w:szCs w:val="28"/>
        </w:rPr>
        <w:t>)</w:t>
      </w:r>
      <w:r>
        <w:rPr>
          <w:rFonts w:ascii="仿宋_GB2312" w:eastAsia="仿宋_GB2312" w:hAnsi="Times New Roman" w:cs="仿宋_GB2312" w:hint="eastAsia"/>
          <w:sz w:val="28"/>
          <w:szCs w:val="28"/>
        </w:rPr>
        <w:t>或计划</w:t>
      </w:r>
      <w:r>
        <w:rPr>
          <w:rFonts w:ascii="仿宋_GB2312" w:eastAsia="仿宋_GB2312" w:hAnsi="Times New Roman" w:cs="仿宋_GB2312" w:hint="eastAsia"/>
          <w:sz w:val="28"/>
          <w:szCs w:val="28"/>
        </w:rPr>
        <w:lastRenderedPageBreak/>
        <w:t>成本（或售价），包括库存产成品、外购商品、存放在门市部准备出售的商品、发出展览的商品以及寄存在外的商品等。</w:t>
      </w:r>
    </w:p>
    <w:p w14:paraId="36AAB83D"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接受来料加工制造的代制品和为外单位加工修理的代修品，在制造和修理完成验收入库后，视同企业的产成品，也通过本科目核算。</w:t>
      </w:r>
    </w:p>
    <w:p w14:paraId="4E6AD600"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企业（房地产开发）的开发产品，可将本科目改为</w:t>
      </w:r>
      <w:r>
        <w:rPr>
          <w:rFonts w:ascii="Times New Roman" w:eastAsia="仿宋_GB2312" w:hAnsi="Times New Roman"/>
          <w:sz w:val="28"/>
          <w:szCs w:val="28"/>
        </w:rPr>
        <w:t xml:space="preserve">“1405 </w:t>
      </w:r>
      <w:r>
        <w:rPr>
          <w:rFonts w:ascii="仿宋_GB2312" w:eastAsia="仿宋_GB2312" w:hAnsi="Times New Roman" w:cs="仿宋_GB2312" w:hint="eastAsia"/>
          <w:sz w:val="28"/>
          <w:szCs w:val="28"/>
        </w:rPr>
        <w:t>开发产品</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3A08FAB"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企业（农业）收获的农产品，可将本科目改为</w:t>
      </w:r>
      <w:r>
        <w:rPr>
          <w:rFonts w:ascii="Times New Roman" w:eastAsia="仿宋_GB2312" w:hAnsi="Times New Roman"/>
          <w:sz w:val="28"/>
          <w:szCs w:val="28"/>
        </w:rPr>
        <w:t xml:space="preserve">“1405 </w:t>
      </w:r>
      <w:r>
        <w:rPr>
          <w:rFonts w:ascii="仿宋_GB2312" w:eastAsia="仿宋_GB2312" w:hAnsi="Times New Roman" w:cs="仿宋_GB2312" w:hint="eastAsia"/>
          <w:sz w:val="28"/>
          <w:szCs w:val="28"/>
        </w:rPr>
        <w:t>农产品</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71B492DF"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二、本科目可按库存商品的种类、品种和规格等进行明细核算。</w:t>
      </w:r>
    </w:p>
    <w:p w14:paraId="377369AD"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三、库存商品的主要账务处理。</w:t>
      </w:r>
    </w:p>
    <w:p w14:paraId="61A9E4A4"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（一）企业生产的产成品一般应按实际成本核算，产成品的入库和</w:t>
      </w:r>
    </w:p>
    <w:p w14:paraId="4DB55CC4" w14:textId="77777777" w:rsidR="00D630C4" w:rsidRDefault="00D630C4" w:rsidP="00D630C4">
      <w:pPr>
        <w:pStyle w:val="CM20"/>
        <w:ind w:right="138"/>
        <w:rPr>
          <w:rFonts w:ascii="仿宋_GB2312" w:eastAsia="仿宋_GB2312" w:hAnsi="Times New Roman" w:cs="仿宋_GB2312"/>
          <w:sz w:val="28"/>
          <w:szCs w:val="28"/>
        </w:rPr>
      </w:pPr>
      <w:r>
        <w:rPr>
          <w:rFonts w:ascii="仿宋_GB2312" w:eastAsia="仿宋_GB2312" w:hAnsi="Times New Roman" w:cs="仿宋_GB2312" w:hint="eastAsia"/>
          <w:sz w:val="28"/>
          <w:szCs w:val="28"/>
        </w:rPr>
        <w:t>出库，平时只记数量不记金额，期（月）末计算入库产成品的实际成本。生产完成验收入库的产成品，按其实际成本，借记本科目、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农产品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消耗性生物资产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农业生产成本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41B4A857"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产成品种类较多的，也可按计划成本进行日常核算，其实际成本与计划成本的差异，可以单独设置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产品成本差异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Times New Roman" w:eastAsia="仿宋_GB2312" w:hAnsi="Times New Roman"/>
          <w:sz w:val="28"/>
          <w:szCs w:val="28"/>
        </w:rPr>
        <w:t>“</w:t>
      </w:r>
      <w:r>
        <w:rPr>
          <w:rFonts w:ascii="仿宋_GB2312" w:eastAsia="仿宋_GB2312" w:hAnsi="Times New Roman" w:cs="仿宋_GB2312" w:hint="eastAsia"/>
          <w:sz w:val="28"/>
          <w:szCs w:val="28"/>
        </w:rPr>
        <w:t>材料成本差异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4AAAE2FA"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采用实际成本进行产成品日常核算的，发出产成品的实际成本，可以采用先进先出法、加权平均法或个别认定法计算确定。</w:t>
      </w:r>
    </w:p>
    <w:p w14:paraId="18D274B4"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对外销售产成品（包括采用分期收款方式销售产成品），结转销售成本时，借记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科目，贷记本科目。采用计划成</w:t>
      </w:r>
      <w:r>
        <w:rPr>
          <w:rFonts w:ascii="仿宋_GB2312" w:eastAsia="仿宋_GB2312" w:hAnsi="Times New Roman" w:cs="仿宋_GB2312" w:hint="eastAsia"/>
          <w:sz w:val="28"/>
          <w:szCs w:val="28"/>
        </w:rPr>
        <w:lastRenderedPageBreak/>
        <w:t>本核算的，发出产成品还应结转产品成本差异，将发出产成品的计划成本调整为实际成本。</w:t>
      </w:r>
    </w:p>
    <w:p w14:paraId="5CD3D5BC"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（二）购入商品采用进价核算的，在商品到达验收入库后，按商品进价，借记本科目，贷记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在途物资</w:t>
      </w:r>
      <w:r>
        <w:rPr>
          <w:rFonts w:ascii="Times New Roman" w:eastAsia="仿宋_GB2312" w:hAnsi="Times New Roman"/>
          <w:sz w:val="28"/>
          <w:szCs w:val="28"/>
        </w:rPr>
        <w:t>”</w:t>
      </w:r>
      <w:r>
        <w:rPr>
          <w:rFonts w:ascii="仿宋_GB2312" w:eastAsia="仿宋_GB2312" w:hAnsi="Times New Roman" w:cs="仿宋_GB2312" w:hint="eastAsia"/>
          <w:sz w:val="28"/>
          <w:szCs w:val="28"/>
        </w:rPr>
        <w:t>等科目。委托外单位加工收回的商品，按商品进价，借记本科目，贷记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委托加工物资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5BB7DEA"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购入商品采用售价核算的，在商品到达验收入库后，按商品售价，借记本科目，按商品进价，贷记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在途物资</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等科目，按商品售价与进价的差额，贷记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商品进销差价</w:t>
      </w:r>
      <w:r>
        <w:rPr>
          <w:rFonts w:ascii="Times New Roman" w:eastAsia="仿宋_GB2312" w:hAnsi="Times New Roman"/>
          <w:sz w:val="28"/>
          <w:szCs w:val="28"/>
        </w:rPr>
        <w:t>”</w:t>
      </w:r>
      <w:r>
        <w:rPr>
          <w:rFonts w:ascii="仿宋_GB2312" w:eastAsia="仿宋_GB2312" w:hAnsi="Times New Roman" w:cs="仿宋_GB2312" w:hint="eastAsia"/>
          <w:sz w:val="28"/>
          <w:szCs w:val="28"/>
        </w:rPr>
        <w:t>科目。委托外单位加工收回的商品，按商品售价，借记本科目，按委托加工商品的账面余额，贷记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委托加工物资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科目，按商品售价与进价的差额，贷记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商品进销差价</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4DA5412"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对外销售商品（包括采用分期收款方式销售商品），结转销售成本时，借记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科目，贷记本科目。采用进价进行商品日常核算的，发出商品的实际成本，可以采用先进先出法、加权平均法或个别认定法计算确定。采用售价核算的，还应结转应分摊的商品进销差价。</w:t>
      </w:r>
    </w:p>
    <w:p w14:paraId="06D81D1F" w14:textId="77777777" w:rsidR="00D630C4" w:rsidRDefault="00D630C4" w:rsidP="00D630C4">
      <w:pPr>
        <w:pStyle w:val="Default"/>
        <w:spacing w:line="546" w:lineRule="atLeast"/>
        <w:ind w:right="355"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（三）企业（房地产开发）开发的产品，达到预定可销售状态时，按实际成本，借记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开发产品</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开发成本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科目。期末，企业结转对外转让、销售和结算开发产品的实际成本，借记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主营业务成本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开发产品</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w:t>
      </w:r>
    </w:p>
    <w:p w14:paraId="2BE1D4ED"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企业将开发的营业性配套设施用于本企业从事第三产业经营用</w:t>
      </w:r>
      <w:r>
        <w:rPr>
          <w:rFonts w:ascii="仿宋_GB2312" w:eastAsia="仿宋_GB2312" w:hAnsi="Times New Roman" w:cs="仿宋_GB2312" w:hint="eastAsia"/>
          <w:sz w:val="28"/>
          <w:szCs w:val="28"/>
        </w:rPr>
        <w:lastRenderedPageBreak/>
        <w:t>房，应视同自用固定资产进行处理，并按营业性配套设施的实际成本，借记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开发产品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11B25773" w14:textId="77777777" w:rsidR="00D630C4" w:rsidRDefault="00D630C4" w:rsidP="00D630C4">
      <w:pPr>
        <w:pStyle w:val="CM73"/>
        <w:spacing w:line="546" w:lineRule="atLeast"/>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四、本科目期末借方余额，反映企业库存商品的实际成本</w:t>
      </w:r>
      <w:r>
        <w:rPr>
          <w:rFonts w:ascii="Times New Roman" w:eastAsia="仿宋_GB2312" w:hAnsi="Times New Roman"/>
          <w:sz w:val="28"/>
          <w:szCs w:val="28"/>
        </w:rPr>
        <w:t>(</w:t>
      </w:r>
      <w:r>
        <w:rPr>
          <w:rFonts w:ascii="仿宋_GB2312" w:eastAsia="仿宋_GB2312" w:hAnsi="Times New Roman" w:cs="仿宋_GB2312" w:hint="eastAsia"/>
          <w:sz w:val="28"/>
          <w:szCs w:val="28"/>
        </w:rPr>
        <w:t>或进价</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或计划成本</w:t>
      </w:r>
      <w:r>
        <w:rPr>
          <w:rFonts w:ascii="Times New Roman" w:eastAsia="仿宋_GB2312" w:hAnsi="Times New Roman"/>
          <w:sz w:val="28"/>
          <w:szCs w:val="28"/>
        </w:rPr>
        <w:t>(</w:t>
      </w:r>
      <w:r>
        <w:rPr>
          <w:rFonts w:ascii="仿宋_GB2312" w:eastAsia="仿宋_GB2312" w:hAnsi="Times New Roman" w:cs="仿宋_GB2312" w:hint="eastAsia"/>
          <w:sz w:val="28"/>
          <w:szCs w:val="28"/>
        </w:rPr>
        <w:t>或售价</w:t>
      </w:r>
      <w:r>
        <w:rPr>
          <w:rFonts w:ascii="Times New Roman" w:eastAsia="仿宋_GB2312" w:hAnsi="Times New Roman"/>
          <w:sz w:val="28"/>
          <w:szCs w:val="28"/>
        </w:rPr>
        <w:t>)</w:t>
      </w:r>
      <w:r>
        <w:rPr>
          <w:rFonts w:ascii="仿宋_GB2312" w:eastAsia="仿宋_GB2312" w:hAnsi="Times New Roman" w:cs="仿宋_GB2312" w:hint="eastAsia"/>
          <w:sz w:val="28"/>
          <w:szCs w:val="28"/>
        </w:rPr>
        <w:t>。</w:t>
      </w:r>
    </w:p>
    <w:p w14:paraId="01D197F8"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1406 </w:t>
      </w:r>
      <w:r>
        <w:rPr>
          <w:rFonts w:ascii="仿宋_GB2312" w:eastAsia="仿宋_GB2312" w:hAnsi="Times New Roman" w:cs="仿宋_GB2312" w:hint="eastAsia"/>
          <w:color w:val="auto"/>
          <w:sz w:val="28"/>
          <w:szCs w:val="28"/>
        </w:rPr>
        <w:t>发出商品</w:t>
      </w:r>
    </w:p>
    <w:p w14:paraId="60BFB99E"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一、本科目核算企业未满足收入确认条件但已发出商品的实际成本（或进价）或计划成本（或售价）。采用支付手续费方式委托其他单位代销的商品，也可以单独设置</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委托代销商品</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3640C8E7"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二、本科目可按购货单位、商品类别和品种进行明细核算。</w:t>
      </w:r>
    </w:p>
    <w:p w14:paraId="6E6822FA"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三、发出商品的主要账务处理。</w:t>
      </w:r>
    </w:p>
    <w:p w14:paraId="2C12C197"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（一）对于未满足收入确认条件的发出商品，应按发出商品的实际成本（或进价）或计划成本（或售价），借记本科目，贷记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6997F91" w14:textId="77777777" w:rsidR="00D630C4" w:rsidRDefault="00D630C4" w:rsidP="00D630C4">
      <w:pPr>
        <w:pStyle w:val="Default"/>
        <w:tabs>
          <w:tab w:val="left" w:pos="8647"/>
        </w:tabs>
        <w:spacing w:line="546" w:lineRule="atLeast"/>
        <w:ind w:right="40" w:firstLine="42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发出商品发生退回的，应按退回商品的实际成本（或进价）或计划成本（或售价），借记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库存商品</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科目，贷记本科目。（二）发出商品满足收入确认条件时，应结转销售成本，借记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主</w:t>
      </w:r>
      <w:r>
        <w:rPr>
          <w:rFonts w:ascii="仿宋_GB2312" w:eastAsia="仿宋_GB2312" w:hAnsi="Times New Roman" w:cs="仿宋_GB2312" w:hint="eastAsia"/>
          <w:sz w:val="28"/>
          <w:szCs w:val="28"/>
        </w:rPr>
        <w:t>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科目，贷记本科目。采用计划成本或售价核算的，还应结转应分摊的产品成本差异或商品进销差价。</w:t>
      </w:r>
    </w:p>
    <w:p w14:paraId="29BFC2FB" w14:textId="77777777" w:rsidR="00D630C4" w:rsidRDefault="00D630C4" w:rsidP="00D630C4">
      <w:pPr>
        <w:pStyle w:val="Default"/>
        <w:tabs>
          <w:tab w:val="left" w:pos="8647"/>
        </w:tabs>
        <w:spacing w:line="546" w:lineRule="atLeast"/>
        <w:ind w:right="40" w:firstLine="42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四、本科目期末借方余额，反映企业发出商品的实际成本（或进价）或计划成本（或售价）。</w:t>
      </w:r>
    </w:p>
    <w:p w14:paraId="3CA7E0D7" w14:textId="77777777" w:rsidR="00D630C4" w:rsidRDefault="00D630C4" w:rsidP="00D630C4">
      <w:pPr>
        <w:pStyle w:val="CM41"/>
        <w:ind w:right="140"/>
        <w:rPr>
          <w:rFonts w:ascii="Times New Roman" w:eastAsia="仿宋_GB2312" w:hAnsi="Times New Roman"/>
          <w:b/>
          <w:bCs/>
          <w:sz w:val="28"/>
          <w:szCs w:val="28"/>
        </w:rPr>
      </w:pPr>
    </w:p>
    <w:p w14:paraId="0F6960CA" w14:textId="77777777" w:rsidR="00D630C4" w:rsidRDefault="00D630C4" w:rsidP="00D630C4">
      <w:pPr>
        <w:pStyle w:val="CM41"/>
        <w:ind w:right="140"/>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1407 </w:t>
      </w:r>
      <w:r>
        <w:rPr>
          <w:rFonts w:ascii="仿宋_GB2312" w:eastAsia="仿宋_GB2312" w:hAnsi="Times New Roman" w:cs="仿宋_GB2312" w:hint="eastAsia"/>
          <w:sz w:val="28"/>
          <w:szCs w:val="28"/>
        </w:rPr>
        <w:t>商品进销差价</w:t>
      </w:r>
    </w:p>
    <w:p w14:paraId="58B2E033" w14:textId="77777777" w:rsidR="00D630C4" w:rsidRDefault="00D630C4" w:rsidP="00D630C4">
      <w:pPr>
        <w:pStyle w:val="CM41"/>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一、本科目核算企业采用售价进行日常核算的商品售价与进价之</w:t>
      </w:r>
    </w:p>
    <w:p w14:paraId="614FF4EB" w14:textId="77777777" w:rsidR="00D630C4" w:rsidRDefault="00D630C4" w:rsidP="00D630C4">
      <w:pPr>
        <w:pStyle w:val="CM32"/>
        <w:ind w:left="478" w:right="135" w:hanging="477"/>
        <w:rPr>
          <w:rFonts w:ascii="仿宋_GB2312" w:eastAsia="仿宋_GB2312" w:hAnsi="Times New Roman" w:cs="仿宋_GB2312"/>
          <w:sz w:val="28"/>
          <w:szCs w:val="28"/>
        </w:rPr>
      </w:pPr>
      <w:r>
        <w:rPr>
          <w:rFonts w:ascii="仿宋_GB2312" w:eastAsia="仿宋_GB2312" w:hAnsi="Times New Roman" w:cs="仿宋_GB2312" w:hint="eastAsia"/>
          <w:sz w:val="28"/>
          <w:szCs w:val="28"/>
        </w:rPr>
        <w:t>间的差额。</w:t>
      </w:r>
    </w:p>
    <w:p w14:paraId="5373C6E4" w14:textId="77777777" w:rsidR="00D630C4" w:rsidRDefault="00D630C4" w:rsidP="00D630C4">
      <w:pPr>
        <w:pStyle w:val="CM32"/>
        <w:ind w:right="135"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二、本科目可按商品类别或实物管理负责人进行明细核算。</w:t>
      </w:r>
    </w:p>
    <w:p w14:paraId="1BA20BC5" w14:textId="77777777" w:rsidR="00D630C4" w:rsidRDefault="00D630C4" w:rsidP="00D630C4">
      <w:pPr>
        <w:pStyle w:val="CM32"/>
        <w:ind w:right="135"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三、商品进销差价的主要账务处理。</w:t>
      </w:r>
    </w:p>
    <w:p w14:paraId="32AA5078" w14:textId="77777777" w:rsidR="00D630C4" w:rsidRDefault="00D630C4" w:rsidP="00D630C4">
      <w:pPr>
        <w:pStyle w:val="CM32"/>
        <w:ind w:right="135"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（一）企业购入、加工收回以及销售退回等增加的库存商品，按商品售价，借记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科目，按商品进价，贷记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委托加工物资</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等科目，按售价与进价之间的差额，贷记本科目。</w:t>
      </w:r>
    </w:p>
    <w:p w14:paraId="4ADDE582" w14:textId="77777777" w:rsidR="00D630C4" w:rsidRDefault="00D630C4" w:rsidP="00D630C4">
      <w:pPr>
        <w:pStyle w:val="CM32"/>
        <w:ind w:right="135"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（二）期（月）末分摊已销商品的进销差价，借记本科目，贷记</w:t>
      </w:r>
    </w:p>
    <w:p w14:paraId="3DBA84DE" w14:textId="77777777" w:rsidR="00D630C4" w:rsidRDefault="00D630C4" w:rsidP="00D630C4">
      <w:pPr>
        <w:pStyle w:val="CM32"/>
        <w:ind w:right="135" w:firstLine="1"/>
        <w:rPr>
          <w:rFonts w:ascii="仿宋_GB2312" w:eastAsia="仿宋_GB2312" w:hAnsi="Times New Roman" w:cs="仿宋_GB2312"/>
          <w:sz w:val="28"/>
          <w:szCs w:val="28"/>
        </w:rPr>
      </w:pPr>
      <w:r>
        <w:rPr>
          <w:rFonts w:ascii="Times New Roman" w:eastAsia="仿宋_GB2312" w:hAnsi="Times New Roman"/>
          <w:sz w:val="28"/>
          <w:szCs w:val="28"/>
        </w:rPr>
        <w:t>“</w:t>
      </w:r>
      <w:r>
        <w:rPr>
          <w:rFonts w:ascii="仿宋_GB2312" w:eastAsia="仿宋_GB2312" w:hAnsi="Times New Roman" w:cs="仿宋_GB2312" w:hint="eastAsia"/>
          <w:sz w:val="28"/>
          <w:szCs w:val="28"/>
        </w:rPr>
        <w:t>主营业务成本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科目。销售商品应分摊的商品进销差价，按以下公式计算：商品进销差价率</w:t>
      </w:r>
      <w:r>
        <w:rPr>
          <w:rFonts w:ascii="Times New Roman" w:eastAsia="仿宋_GB2312" w:hAnsi="Times New Roman"/>
          <w:sz w:val="28"/>
          <w:szCs w:val="28"/>
        </w:rPr>
        <w:t>=</w:t>
      </w:r>
      <w:r>
        <w:rPr>
          <w:rFonts w:ascii="仿宋_GB2312" w:eastAsia="仿宋_GB2312" w:hAnsi="Times New Roman" w:cs="仿宋_GB2312" w:hint="eastAsia"/>
          <w:sz w:val="28"/>
          <w:szCs w:val="28"/>
        </w:rPr>
        <w:t>期末分摊前本科目余额</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科目期末余额</w:t>
      </w:r>
      <w:r>
        <w:rPr>
          <w:rFonts w:ascii="Times New Roman" w:eastAsia="仿宋_GB2312" w:hAnsi="Times New Roman"/>
          <w:sz w:val="28"/>
          <w:szCs w:val="28"/>
        </w:rPr>
        <w:t>+“</w:t>
      </w:r>
      <w:r>
        <w:rPr>
          <w:rFonts w:ascii="仿宋_GB2312" w:eastAsia="仿宋_GB2312" w:hAnsi="Times New Roman" w:cs="仿宋_GB2312" w:hint="eastAsia"/>
          <w:sz w:val="28"/>
          <w:szCs w:val="28"/>
        </w:rPr>
        <w:t>委托代销商品</w:t>
      </w:r>
      <w:r>
        <w:rPr>
          <w:rFonts w:ascii="Times New Roman" w:eastAsia="仿宋_GB2312" w:hAnsi="Times New Roman"/>
          <w:sz w:val="28"/>
          <w:szCs w:val="28"/>
        </w:rPr>
        <w:t>”</w:t>
      </w:r>
      <w:r>
        <w:rPr>
          <w:rFonts w:ascii="仿宋_GB2312" w:eastAsia="仿宋_GB2312" w:hAnsi="Times New Roman" w:cs="仿宋_GB2312" w:hint="eastAsia"/>
          <w:sz w:val="28"/>
          <w:szCs w:val="28"/>
        </w:rPr>
        <w:t>科目期末余额</w:t>
      </w:r>
      <w:r>
        <w:rPr>
          <w:rFonts w:ascii="Times New Roman" w:eastAsia="仿宋_GB2312" w:hAnsi="Times New Roman"/>
          <w:sz w:val="28"/>
          <w:szCs w:val="28"/>
        </w:rPr>
        <w:t>+“</w:t>
      </w:r>
      <w:r>
        <w:rPr>
          <w:rFonts w:ascii="仿宋_GB2312" w:eastAsia="仿宋_GB2312" w:hAnsi="Times New Roman" w:cs="仿宋_GB2312" w:hint="eastAsia"/>
          <w:sz w:val="28"/>
          <w:szCs w:val="28"/>
        </w:rPr>
        <w:t>发出商品</w:t>
      </w:r>
      <w:r>
        <w:rPr>
          <w:rFonts w:ascii="Times New Roman" w:eastAsia="仿宋_GB2312" w:hAnsi="Times New Roman"/>
          <w:sz w:val="28"/>
          <w:szCs w:val="28"/>
        </w:rPr>
        <w:t>”</w:t>
      </w:r>
      <w:r>
        <w:rPr>
          <w:rFonts w:ascii="仿宋_GB2312" w:eastAsia="仿宋_GB2312" w:hAnsi="Times New Roman" w:cs="仿宋_GB2312" w:hint="eastAsia"/>
          <w:sz w:val="28"/>
          <w:szCs w:val="28"/>
        </w:rPr>
        <w:t>科目期末余额</w:t>
      </w:r>
      <w:r>
        <w:rPr>
          <w:rFonts w:ascii="Times New Roman" w:eastAsia="仿宋_GB2312" w:hAnsi="Times New Roman"/>
          <w:sz w:val="28"/>
          <w:szCs w:val="28"/>
        </w:rPr>
        <w:t>+</w:t>
      </w:r>
      <w:r>
        <w:rPr>
          <w:rFonts w:ascii="仿宋_GB2312" w:eastAsia="仿宋_GB2312" w:hAnsi="Times New Roman" w:cs="仿宋_GB2312" w:hint="eastAsia"/>
          <w:sz w:val="28"/>
          <w:szCs w:val="28"/>
        </w:rPr>
        <w:t>本期</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科目贷方发生额）</w:t>
      </w:r>
      <w:r>
        <w:rPr>
          <w:rFonts w:ascii="Times New Roman" w:eastAsia="仿宋_GB2312" w:hAnsi="Times New Roman"/>
          <w:sz w:val="28"/>
          <w:szCs w:val="28"/>
        </w:rPr>
        <w:t xml:space="preserve">×100% </w:t>
      </w:r>
      <w:r>
        <w:rPr>
          <w:rFonts w:ascii="仿宋_GB2312" w:eastAsia="仿宋_GB2312" w:hAnsi="Times New Roman" w:cs="仿宋_GB2312" w:hint="eastAsia"/>
          <w:sz w:val="28"/>
          <w:szCs w:val="28"/>
        </w:rPr>
        <w:t>本期销售商品应分摊的商品进销差价</w:t>
      </w:r>
      <w:r>
        <w:rPr>
          <w:rFonts w:ascii="Times New Roman" w:eastAsia="仿宋_GB2312" w:hAnsi="Times New Roman"/>
          <w:sz w:val="28"/>
          <w:szCs w:val="28"/>
        </w:rPr>
        <w:t>=</w:t>
      </w:r>
      <w:r>
        <w:rPr>
          <w:rFonts w:ascii="仿宋_GB2312" w:eastAsia="仿宋_GB2312" w:hAnsi="Times New Roman" w:cs="仿宋_GB2312" w:hint="eastAsia"/>
          <w:sz w:val="28"/>
          <w:szCs w:val="28"/>
        </w:rPr>
        <w:t>本期</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科目贷方发生额</w:t>
      </w:r>
      <w:r>
        <w:rPr>
          <w:rFonts w:ascii="Times New Roman" w:eastAsia="仿宋_GB2312" w:hAnsi="Times New Roman"/>
          <w:sz w:val="28"/>
          <w:szCs w:val="28"/>
        </w:rPr>
        <w:t>×</w:t>
      </w:r>
      <w:r>
        <w:rPr>
          <w:rFonts w:ascii="仿宋_GB2312" w:eastAsia="仿宋_GB2312" w:hAnsi="Times New Roman" w:cs="仿宋_GB2312" w:hint="eastAsia"/>
          <w:sz w:val="28"/>
          <w:szCs w:val="28"/>
        </w:rPr>
        <w:t>商品进销差价率</w:t>
      </w:r>
    </w:p>
    <w:p w14:paraId="37880DEB"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企业的商品进销差价率各期之间比较均衡的，也可以采用上期商品进销差价率计算分摊本期的商品进销差价。年度终了，应对商品进销差价进行核实调整。</w:t>
      </w:r>
    </w:p>
    <w:p w14:paraId="798ABEF8" w14:textId="77777777" w:rsidR="00D630C4" w:rsidRDefault="00D630C4" w:rsidP="00D630C4">
      <w:pPr>
        <w:pStyle w:val="CM35"/>
        <w:ind w:left="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四、本科目的期末贷方余额，反映企业库存商品的商品进销差价。</w:t>
      </w:r>
    </w:p>
    <w:p w14:paraId="5ACD1EB0" w14:textId="77777777" w:rsidR="00D630C4" w:rsidRDefault="00D630C4" w:rsidP="00D630C4">
      <w:pPr>
        <w:pStyle w:val="CM43"/>
        <w:ind w:right="40"/>
        <w:rPr>
          <w:rFonts w:ascii="Times New Roman" w:eastAsia="仿宋_GB2312" w:hAnsi="Times New Roman"/>
          <w:b/>
          <w:bCs/>
          <w:sz w:val="28"/>
          <w:szCs w:val="28"/>
        </w:rPr>
      </w:pPr>
    </w:p>
    <w:p w14:paraId="0A1F23AD" w14:textId="77777777" w:rsidR="00D630C4" w:rsidRDefault="00D630C4" w:rsidP="00D630C4">
      <w:pPr>
        <w:pStyle w:val="CM43"/>
        <w:ind w:right="40"/>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1408 </w:t>
      </w:r>
      <w:r>
        <w:rPr>
          <w:rFonts w:ascii="仿宋_GB2312" w:eastAsia="仿宋_GB2312" w:hAnsi="Times New Roman" w:cs="仿宋_GB2312" w:hint="eastAsia"/>
          <w:sz w:val="28"/>
          <w:szCs w:val="28"/>
        </w:rPr>
        <w:t>委托加工物资</w:t>
      </w:r>
    </w:p>
    <w:p w14:paraId="67A8603D" w14:textId="77777777" w:rsidR="00D630C4" w:rsidRDefault="00D630C4" w:rsidP="00D630C4">
      <w:pPr>
        <w:pStyle w:val="CM43"/>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一、本科目核算企业委托外单位加工的各种材料、商品等物资的实际成本。二、本科目可按加工合同、受托加工单位以及加工物资的品种等进行明细核算。</w:t>
      </w:r>
    </w:p>
    <w:p w14:paraId="4180ED6F"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三、委托加工物资的主要账务处理。</w:t>
      </w:r>
    </w:p>
    <w:p w14:paraId="0A219D09"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（一）企业发给外单位加工的物资，按实际成本，借记本科目，贷记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等科目；按计划成本或售价核算的，还应同时结转材料成本差异或商品进销差价。</w:t>
      </w:r>
    </w:p>
    <w:p w14:paraId="4692105A"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（二）支付加工费、运杂费等，借记本科目，贷记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等科目；需要交纳消费税的委托加工物资，由受托方代收代交的消费税，借记本科目（收回后用于直接销售的）或</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应交消费税</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科目（收回后用于继续加工的），贷记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C8A1B5E"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（三）加工完成验收入库的物资和剩余的物资，按加工收回物资的实际成本和剩余物资的实际成本，借记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0948DAB7"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采用计划成本或售价核算的，按计划成本或售价，借记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科目，按实际成本，贷记本科目，按实际成本与计划成本或售价之间的差额，借记或贷记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材料成本差异</w:t>
      </w:r>
      <w:r>
        <w:rPr>
          <w:rFonts w:ascii="Times New Roman" w:eastAsia="仿宋_GB2312" w:hAnsi="Times New Roman"/>
          <w:sz w:val="28"/>
          <w:szCs w:val="28"/>
        </w:rPr>
        <w:t>”</w:t>
      </w:r>
      <w:r>
        <w:rPr>
          <w:rFonts w:ascii="仿宋_GB2312" w:eastAsia="仿宋_GB2312" w:hAnsi="Times New Roman" w:cs="仿宋_GB2312" w:hint="eastAsia"/>
          <w:sz w:val="28"/>
          <w:szCs w:val="28"/>
        </w:rPr>
        <w:t>或贷记</w:t>
      </w:r>
      <w:r>
        <w:rPr>
          <w:rFonts w:ascii="Times New Roman" w:eastAsia="仿宋_GB2312" w:hAnsi="Times New Roman"/>
          <w:sz w:val="28"/>
          <w:szCs w:val="28"/>
        </w:rPr>
        <w:t>“</w:t>
      </w:r>
      <w:r>
        <w:rPr>
          <w:rFonts w:ascii="仿宋_GB2312" w:eastAsia="仿宋_GB2312" w:hAnsi="Times New Roman" w:cs="仿宋_GB2312" w:hint="eastAsia"/>
          <w:sz w:val="28"/>
          <w:szCs w:val="28"/>
        </w:rPr>
        <w:t>商品进销差价</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AFB51CE"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采用计划成本或售价核算的，也可以采用上期材料成本差异率或商品进销差价率计算分摊本期应分摊的材料成本差异或商品进销</w:t>
      </w:r>
      <w:r>
        <w:rPr>
          <w:rFonts w:ascii="仿宋_GB2312" w:eastAsia="仿宋_GB2312" w:hAnsi="Times New Roman" w:cs="仿宋_GB2312" w:hint="eastAsia"/>
          <w:sz w:val="28"/>
          <w:szCs w:val="28"/>
        </w:rPr>
        <w:lastRenderedPageBreak/>
        <w:t>差价。</w:t>
      </w:r>
    </w:p>
    <w:p w14:paraId="267E35F0" w14:textId="77777777" w:rsidR="00D630C4" w:rsidRDefault="00D630C4" w:rsidP="00D630C4">
      <w:pPr>
        <w:pStyle w:val="CM78"/>
        <w:spacing w:line="546" w:lineRule="atLeast"/>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四、本科目期末借方余额，反映企业委托外单位加工尚未完成物资的实际成本。</w:t>
      </w:r>
    </w:p>
    <w:p w14:paraId="52E7F374" w14:textId="77777777" w:rsidR="00D630C4" w:rsidRDefault="00D630C4" w:rsidP="00D630C4">
      <w:pPr>
        <w:pStyle w:val="CM1"/>
        <w:rPr>
          <w:rFonts w:ascii="仿宋_GB2312" w:eastAsia="仿宋_GB2312" w:hAnsi="Times New Roman" w:cs="仿宋_GB2312"/>
          <w:sz w:val="28"/>
          <w:szCs w:val="28"/>
        </w:rPr>
      </w:pPr>
      <w:r>
        <w:rPr>
          <w:rFonts w:ascii="Times New Roman" w:eastAsia="仿宋_GB2312" w:hAnsi="Times New Roman"/>
          <w:b/>
          <w:bCs/>
          <w:sz w:val="28"/>
          <w:szCs w:val="28"/>
        </w:rPr>
        <w:t xml:space="preserve">1411  </w:t>
      </w:r>
      <w:r>
        <w:rPr>
          <w:rFonts w:ascii="仿宋_GB2312" w:eastAsia="仿宋_GB2312" w:hAnsi="Times New Roman" w:cs="仿宋_GB2312" w:hint="eastAsia"/>
          <w:sz w:val="28"/>
          <w:szCs w:val="28"/>
        </w:rPr>
        <w:t>周转材料</w:t>
      </w:r>
    </w:p>
    <w:p w14:paraId="27739CF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一、本科目核算企业周转材料的计划成本或实际成本，包括包装物、低值易耗品，以及企业（建造承包商）的钢模板、木模板、脚手架等。</w:t>
      </w:r>
    </w:p>
    <w:p w14:paraId="195A1BF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企业的包装物、低值易耗品，也可以单独设置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包装物</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低值易耗品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30F03B02"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二、本科目可按周转材料的种类，分别</w:t>
      </w:r>
      <w:r>
        <w:rPr>
          <w:rFonts w:ascii="Times New Roman" w:eastAsia="仿宋_GB2312" w:hAnsi="Times New Roman"/>
          <w:sz w:val="28"/>
          <w:szCs w:val="28"/>
        </w:rPr>
        <w:t>“</w:t>
      </w:r>
      <w:r>
        <w:rPr>
          <w:rFonts w:ascii="仿宋_GB2312" w:eastAsia="仿宋_GB2312" w:hAnsi="Times New Roman" w:cs="仿宋_GB2312" w:hint="eastAsia"/>
          <w:sz w:val="28"/>
          <w:szCs w:val="28"/>
        </w:rPr>
        <w:t>在库</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在用</w:t>
      </w:r>
      <w:r>
        <w:rPr>
          <w:rFonts w:ascii="Times New Roman" w:eastAsia="仿宋_GB2312" w:hAnsi="Times New Roman"/>
          <w:sz w:val="28"/>
          <w:szCs w:val="28"/>
        </w:rPr>
        <w:t>”</w:t>
      </w:r>
      <w:r>
        <w:rPr>
          <w:rFonts w:ascii="仿宋_GB2312" w:eastAsia="仿宋_GB2312" w:hAnsi="Times New Roman" w:cs="仿宋_GB2312" w:hint="eastAsia"/>
          <w:sz w:val="28"/>
          <w:szCs w:val="28"/>
        </w:rPr>
        <w:t>和</w:t>
      </w:r>
      <w:r>
        <w:rPr>
          <w:rFonts w:ascii="Times New Roman" w:eastAsia="仿宋_GB2312" w:hAnsi="Times New Roman"/>
          <w:sz w:val="28"/>
          <w:szCs w:val="28"/>
        </w:rPr>
        <w:t>“</w:t>
      </w:r>
      <w:r>
        <w:rPr>
          <w:rFonts w:ascii="仿宋_GB2312" w:eastAsia="仿宋_GB2312" w:hAnsi="Times New Roman" w:cs="仿宋_GB2312" w:hint="eastAsia"/>
          <w:sz w:val="28"/>
          <w:szCs w:val="28"/>
        </w:rPr>
        <w:t>摊销</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进行明细核算。</w:t>
      </w:r>
    </w:p>
    <w:p w14:paraId="0B1498D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三、周转材料的主要账务处理。</w:t>
      </w:r>
    </w:p>
    <w:p w14:paraId="303927A9"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（一）企业购入、自制、委托外单位加工完成并已验收入库的周转材料等，比照</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科目的相关规定进行处理。</w:t>
      </w:r>
    </w:p>
    <w:p w14:paraId="1BB33BE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（二）采用一次转销法的，领用时应按其账面价值，借记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管理费用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460E385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周转材料报废时，应按报废周转材料的残料价值，借记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管理费用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2A94C55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（三）采用其他摊销法的，领用时应按其账面价值，借记本科目（在用），贷记本科目（在库）；摊销时应按摊销额，借记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管理费</w:t>
      </w:r>
      <w:r>
        <w:rPr>
          <w:rFonts w:ascii="仿宋_GB2312" w:eastAsia="仿宋_GB2312" w:hAnsi="Times New Roman" w:cs="仿宋_GB2312" w:hint="eastAsia"/>
          <w:sz w:val="28"/>
          <w:szCs w:val="28"/>
        </w:rPr>
        <w:lastRenderedPageBreak/>
        <w:t>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等科目，贷记本科目（摊销）。</w:t>
      </w:r>
    </w:p>
    <w:p w14:paraId="2862682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周转材料报废时应补提摊销额，借记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管理费用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等科目，贷记本科目（摊销）；同时，按报废周转材料的残料价值，借记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管理费用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等科目；并转销全部已提摊销额，借记本科目（摊销），贷记本科目（在用）。</w:t>
      </w:r>
    </w:p>
    <w:p w14:paraId="62417A33"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（四）周转材料采用计划成本进行日常核算的，领用等发出周转材料时，还应同时结转应分摊的成本差异。</w:t>
      </w:r>
    </w:p>
    <w:p w14:paraId="04F9E9EC"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四、本科目期末借方余额，反映企业在库周转材料的计划成本或实际成本以及在用周转材料的摊余价值。</w:t>
      </w:r>
    </w:p>
    <w:p w14:paraId="028FABB9"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1421 </w:t>
      </w:r>
      <w:r>
        <w:rPr>
          <w:rFonts w:ascii="仿宋_GB2312" w:eastAsia="仿宋_GB2312" w:hAnsi="Times New Roman" w:cs="仿宋_GB2312" w:hint="eastAsia"/>
          <w:color w:val="auto"/>
          <w:sz w:val="28"/>
          <w:szCs w:val="28"/>
        </w:rPr>
        <w:t>消耗性生物资产</w:t>
      </w:r>
    </w:p>
    <w:p w14:paraId="5CBB9965"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一、本科目核算企业（农业）持有的消耗性生物资产的实际成本。消耗性生物资产发生减值的，可以单独设置</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消耗性生物资产跌</w:t>
      </w:r>
      <w:r>
        <w:rPr>
          <w:rFonts w:ascii="仿宋_GB2312" w:eastAsia="仿宋_GB2312" w:hAnsi="Times New Roman" w:cs="仿宋_GB2312" w:hint="eastAsia"/>
          <w:sz w:val="28"/>
          <w:szCs w:val="28"/>
        </w:rPr>
        <w:t>价准备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存货跌价准备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科目进行处理。</w:t>
      </w:r>
    </w:p>
    <w:p w14:paraId="23F89295"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二、本科目可按消耗性生物资产的种类、群别等进行明细核算。</w:t>
      </w:r>
    </w:p>
    <w:p w14:paraId="121C3546"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三、消耗性生物资产的主要账务处理。</w:t>
      </w:r>
    </w:p>
    <w:p w14:paraId="5F347B6B"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（一）外购的消耗性生物资产，按应计入消耗性生物资产成本的</w:t>
      </w:r>
    </w:p>
    <w:p w14:paraId="7B6FB287" w14:textId="77777777" w:rsidR="00D630C4" w:rsidRDefault="00D630C4" w:rsidP="00D630C4">
      <w:pPr>
        <w:pStyle w:val="Default"/>
        <w:spacing w:line="546" w:lineRule="atLeast"/>
        <w:ind w:left="560" w:right="40" w:hangingChars="200" w:hanging="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应付账款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应付票据</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0720CC26"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（二）自行栽培的大田作物和蔬菜，应按收获前发生的必要支出，借记本科目，贷记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等科目。自行营造的林木类消耗性生物</w:t>
      </w:r>
      <w:r>
        <w:rPr>
          <w:rFonts w:ascii="仿宋_GB2312" w:eastAsia="仿宋_GB2312" w:hAnsi="Times New Roman" w:cs="仿宋_GB2312" w:hint="eastAsia"/>
          <w:color w:val="auto"/>
          <w:sz w:val="28"/>
          <w:szCs w:val="28"/>
        </w:rPr>
        <w:lastRenderedPageBreak/>
        <w:t>资产，应按郁闭前发生的必要支出，借记本科目，贷记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等科目。自行繁殖的育肥畜、水产养殖的动植物，应按出售前发生的必要支出，借记本科目，贷记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10447EE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（三）取得天然起源的消耗性生物资产，应按名义金额，借记本科目，贷记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营业外收入</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2EC47CF8"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（四）产畜或役畜淘汰转为育肥畜的，按转群时的账面价值，借记本科目，按已计提的累计折旧，借记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生产性生物资产累计折旧</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科目，按其账面余额，贷记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42FAF9E7" w14:textId="77777777" w:rsidR="00D630C4" w:rsidRDefault="00D630C4" w:rsidP="00D630C4">
      <w:pPr>
        <w:pStyle w:val="Default"/>
        <w:spacing w:line="546" w:lineRule="atLeast"/>
        <w:ind w:right="585"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育肥畜转为产畜或役畜的，应按其账面余额，借记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生产性生物资产</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科目，贷记本科目。已计提跌价准备的，还应同时结转跌价准备。</w:t>
      </w:r>
    </w:p>
    <w:p w14:paraId="3151FB85" w14:textId="77777777" w:rsidR="00D630C4" w:rsidRDefault="00D630C4" w:rsidP="00D630C4">
      <w:pPr>
        <w:pStyle w:val="Default"/>
        <w:spacing w:line="546" w:lineRule="atLeast"/>
        <w:ind w:right="585"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（五）择伐、间伐或抚育更新性质采伐而补植林木类消耗性生物资产发生的后续支出，借记本科目，贷记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等科目。林木类消耗性生物资产达到郁闭后发生的管护费用等后续支出，借记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管理费用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312AE6AC" w14:textId="77777777" w:rsidR="00D630C4" w:rsidRDefault="00D630C4" w:rsidP="00D630C4">
      <w:pPr>
        <w:pStyle w:val="Default"/>
        <w:spacing w:line="546" w:lineRule="atLeast"/>
        <w:ind w:right="585"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（六）农业生产过程中发生的应归属于消耗性生物资产的费用，按应分配的金额，借记本科目，贷记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农业生产成本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55E027A7"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（七）消耗性生物资产收获为农产品时，应按其账面余额，借记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农产品</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科目，贷记本科目。已计提跌价准备的，还应同时结转跌价准备。</w:t>
      </w:r>
    </w:p>
    <w:p w14:paraId="135E2356"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（八）出售消耗性生物资产，应按实际收到的金额，借记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w:t>
      </w:r>
      <w:r>
        <w:rPr>
          <w:rFonts w:ascii="仿宋_GB2312" w:eastAsia="仿宋_GB2312" w:hAnsi="Times New Roman" w:cs="仿宋_GB2312" w:hint="eastAsia"/>
          <w:sz w:val="28"/>
          <w:szCs w:val="28"/>
        </w:rPr>
        <w:lastRenderedPageBreak/>
        <w:t>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等科目。按其账面余额，借记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等科目，贷记本科目。已计提跌价准备的，还应同时结转跌价准备。</w:t>
      </w:r>
    </w:p>
    <w:p w14:paraId="1D7E62C6" w14:textId="77777777" w:rsidR="00D630C4" w:rsidRDefault="00D630C4" w:rsidP="00D630C4">
      <w:pPr>
        <w:pStyle w:val="CM75"/>
        <w:spacing w:line="546" w:lineRule="atLeast"/>
        <w:ind w:left="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四、本科目期末借方余额，反映企业消耗性生物资产的实际成本。</w:t>
      </w:r>
    </w:p>
    <w:p w14:paraId="14A0192E"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1431 </w:t>
      </w:r>
      <w:r>
        <w:rPr>
          <w:rFonts w:ascii="仿宋_GB2312" w:eastAsia="仿宋_GB2312" w:hAnsi="Times New Roman" w:cs="仿宋_GB2312" w:hint="eastAsia"/>
          <w:color w:val="auto"/>
          <w:sz w:val="28"/>
          <w:szCs w:val="28"/>
        </w:rPr>
        <w:t>贵金属</w:t>
      </w:r>
    </w:p>
    <w:p w14:paraId="5CF2A59E"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一、本科目核算企业（金融）持有的黄金、白银等贵金属存货的成本。企业（金融）为上市交易而持有的贵金属，比照</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交易性金融资产</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科目进行处理。</w:t>
      </w:r>
    </w:p>
    <w:p w14:paraId="63C8892B"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二、本科目可按贵金属的类别进行明细核算。</w:t>
      </w:r>
    </w:p>
    <w:p w14:paraId="1F43309B"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三、贵金属的主要账务处理。</w:t>
      </w:r>
    </w:p>
    <w:p w14:paraId="6FAC790E"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（一）企业购买的贵金属，借记本科目，贷记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46AD0A9E"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（二）出售的贵金属，应按实际收到的金额，借记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科目。按其账面余额，借记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w:t>
      </w:r>
    </w:p>
    <w:p w14:paraId="777D250A" w14:textId="77777777" w:rsidR="00D630C4" w:rsidRDefault="00D630C4" w:rsidP="00D630C4">
      <w:pPr>
        <w:pStyle w:val="CM73"/>
        <w:spacing w:line="546" w:lineRule="atLeas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四、本科目期末借方余额，反映企业持有贵金属存货的成本。</w:t>
      </w:r>
    </w:p>
    <w:p w14:paraId="1702E214"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1441 </w:t>
      </w:r>
      <w:r>
        <w:rPr>
          <w:rFonts w:ascii="仿宋_GB2312" w:eastAsia="仿宋_GB2312" w:hAnsi="Times New Roman" w:cs="仿宋_GB2312" w:hint="eastAsia"/>
          <w:color w:val="auto"/>
          <w:sz w:val="28"/>
          <w:szCs w:val="28"/>
        </w:rPr>
        <w:t>抵债资产</w:t>
      </w:r>
    </w:p>
    <w:p w14:paraId="64A7CD0A"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一、本科目核算企业（金融）依法取得并准备按有关规定进行处置的实物抵债资产的成本。企业（金融）依法取得并准备按有关规定进行处置的非实物抵债</w:t>
      </w:r>
      <w:r>
        <w:rPr>
          <w:rFonts w:ascii="仿宋_GB2312" w:eastAsia="仿宋_GB2312" w:hAnsi="Times New Roman" w:cs="仿宋_GB2312" w:hint="eastAsia"/>
          <w:sz w:val="28"/>
          <w:szCs w:val="28"/>
        </w:rPr>
        <w:t>资产（不含股权投资），也通过本科目核算。</w:t>
      </w:r>
    </w:p>
    <w:p w14:paraId="1471E62E"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二、本科目可按抵债资产类别及借款人进行明细核算。抵债资产</w:t>
      </w:r>
      <w:r>
        <w:rPr>
          <w:rFonts w:ascii="仿宋_GB2312" w:eastAsia="仿宋_GB2312" w:hAnsi="Times New Roman" w:cs="仿宋_GB2312" w:hint="eastAsia"/>
          <w:sz w:val="28"/>
          <w:szCs w:val="28"/>
        </w:rPr>
        <w:lastRenderedPageBreak/>
        <w:t>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抵债资产跌价准备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存货跌价准备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科目进行处理。</w:t>
      </w:r>
    </w:p>
    <w:p w14:paraId="70983B9D"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三、抵债资产的主要账务处理。</w:t>
      </w:r>
    </w:p>
    <w:p w14:paraId="1B33EC2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（一）企业取得的抵债资产，按抵债资产的公允价值，借记本科目，按相关资产已计提的减值准备，借记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贷款损失准备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坏账准备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等科目，按相关资产的账面余额，贷记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贷款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应收手续费及佣金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等科目，按应支付的相关税费，贷记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科目。如为贷方差额，应贷记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资产减值损失</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31F6454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（二）抵债资产保管期间取得的收入，借记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库存现金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等科目。保管期间发生的直接费用，借记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库存现金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4FCD148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（三）处置抵债资产时，应按实际收到的金额，借记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等科目，按应支付的相关税费，贷记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科目，按其账面余额，贷记本科目，按其差额，贷记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科目或借记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科目。已计提抵债资产跌价准备的，还应同时结转跌价准备。</w:t>
      </w:r>
    </w:p>
    <w:p w14:paraId="0999676C"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（四）取得抵债资产后转为自用的，应在相关手续办妥时，按转换日抵债资产的账面余额，借记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等科目，贷记本科目。已计提抵债资产跌价准备的，还应同时结转跌价准备。</w:t>
      </w:r>
    </w:p>
    <w:p w14:paraId="5D214EAF"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四、本科目期末借方余额，反映企业取得的尚未处置的实物抵债资产的成本。</w:t>
      </w:r>
    </w:p>
    <w:p w14:paraId="61D46F1B"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1451 </w:t>
      </w:r>
      <w:r>
        <w:rPr>
          <w:rFonts w:ascii="仿宋_GB2312" w:eastAsia="仿宋_GB2312" w:hAnsi="Times New Roman" w:cs="仿宋_GB2312" w:hint="eastAsia"/>
          <w:sz w:val="28"/>
          <w:szCs w:val="28"/>
        </w:rPr>
        <w:t>损余物资</w:t>
      </w:r>
    </w:p>
    <w:p w14:paraId="2DB74F5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一、本科目核算企业（保险）按照原保险合同约定承担赔偿保险金责任后取得的损余物资成本。</w:t>
      </w:r>
    </w:p>
    <w:p w14:paraId="6C6C02CA"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二、本科目可按损余物资种类进行明细核算。</w:t>
      </w:r>
    </w:p>
    <w:p w14:paraId="06B3EA16"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损余物资发生减值的，可以单独设置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损余物资跌价准备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存货跌价准备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科目进行处理。</w:t>
      </w:r>
    </w:p>
    <w:p w14:paraId="3F27F448"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三、损余物资的主要账务处理。</w:t>
      </w:r>
    </w:p>
    <w:p w14:paraId="7AD34106"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（一）企业承担赔偿保险金责任后取得的损余物资，按同类或类似资产的市场价格计算确定的金额，借记本科目，贷记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赔付支出</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15727F57"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（二）处置损余物资时，按实际收到的金额，借记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等科目，按其账面余额，贷记本科目，按其差额，借记或贷记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科目。已计提跌价准备的，还应同时结转跌价准备。</w:t>
      </w:r>
    </w:p>
    <w:p w14:paraId="648BDF54"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四、本科目期末借方余额，反映企业承担赔偿保险金责任后取得的损余物资成本。</w:t>
      </w:r>
    </w:p>
    <w:p w14:paraId="65039898" w14:textId="77777777" w:rsidR="00D630C4" w:rsidRDefault="00D630C4" w:rsidP="00D630C4">
      <w:pPr>
        <w:pStyle w:val="CM75"/>
        <w:spacing w:line="546" w:lineRule="atLeast"/>
        <w:rPr>
          <w:rFonts w:ascii="仿宋_GB2312" w:eastAsia="仿宋_GB2312" w:hAnsi="Times New Roman" w:cs="仿宋_GB2312"/>
          <w:sz w:val="28"/>
          <w:szCs w:val="28"/>
        </w:rPr>
      </w:pPr>
      <w:r>
        <w:rPr>
          <w:rFonts w:ascii="Times New Roman" w:eastAsia="仿宋_GB2312" w:hAnsi="Times New Roman"/>
          <w:b/>
          <w:bCs/>
          <w:sz w:val="28"/>
          <w:szCs w:val="28"/>
        </w:rPr>
        <w:t xml:space="preserve">1461 </w:t>
      </w:r>
      <w:r>
        <w:rPr>
          <w:rFonts w:ascii="仿宋_GB2312" w:eastAsia="仿宋_GB2312" w:hAnsi="Times New Roman" w:cs="仿宋_GB2312" w:hint="eastAsia"/>
          <w:sz w:val="28"/>
          <w:szCs w:val="28"/>
        </w:rPr>
        <w:t>融资租赁资产</w:t>
      </w:r>
    </w:p>
    <w:p w14:paraId="5601DB74"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一、本科目核算企业（租赁）为开展融资租赁业务取得资产的成</w:t>
      </w:r>
    </w:p>
    <w:p w14:paraId="204CE1FC" w14:textId="77777777" w:rsidR="00D630C4" w:rsidRDefault="00D630C4" w:rsidP="00D630C4">
      <w:pPr>
        <w:pStyle w:val="CM33"/>
        <w:ind w:left="548" w:right="340" w:hanging="547"/>
        <w:rPr>
          <w:rFonts w:ascii="仿宋_GB2312" w:eastAsia="仿宋_GB2312" w:hAnsi="Times New Roman" w:cs="仿宋_GB2312"/>
          <w:sz w:val="28"/>
          <w:szCs w:val="28"/>
        </w:rPr>
      </w:pPr>
      <w:r>
        <w:rPr>
          <w:rFonts w:ascii="仿宋_GB2312" w:eastAsia="仿宋_GB2312" w:hAnsi="Times New Roman" w:cs="仿宋_GB2312" w:hint="eastAsia"/>
          <w:sz w:val="28"/>
          <w:szCs w:val="28"/>
        </w:rPr>
        <w:t>本。</w:t>
      </w:r>
    </w:p>
    <w:p w14:paraId="40864927" w14:textId="77777777" w:rsidR="00D630C4" w:rsidRDefault="00D630C4" w:rsidP="00D630C4">
      <w:pPr>
        <w:pStyle w:val="CM33"/>
        <w:ind w:leftChars="300" w:left="630" w:right="34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二、本科目可按承租人、租赁资产类别和项目进行明细核算。</w:t>
      </w:r>
    </w:p>
    <w:p w14:paraId="7AB13761" w14:textId="77777777" w:rsidR="00D630C4" w:rsidRDefault="00D630C4" w:rsidP="00D630C4">
      <w:pPr>
        <w:pStyle w:val="CM33"/>
        <w:ind w:leftChars="300" w:left="630" w:right="340"/>
        <w:rPr>
          <w:rFonts w:ascii="仿宋_GB2312" w:eastAsia="仿宋_GB2312" w:hAnsi="Times New Roman" w:cs="仿宋_GB2312"/>
          <w:sz w:val="28"/>
          <w:szCs w:val="28"/>
        </w:rPr>
      </w:pPr>
      <w:r>
        <w:rPr>
          <w:rFonts w:ascii="仿宋_GB2312" w:eastAsia="仿宋_GB2312" w:hAnsi="Times New Roman" w:cs="仿宋_GB2312" w:hint="eastAsia"/>
          <w:sz w:val="28"/>
          <w:szCs w:val="28"/>
        </w:rPr>
        <w:t>三、融资租赁资产的主要账务处理。</w:t>
      </w:r>
    </w:p>
    <w:p w14:paraId="7BA678C0" w14:textId="77777777" w:rsidR="00D630C4" w:rsidRDefault="00D630C4" w:rsidP="00D630C4">
      <w:pPr>
        <w:pStyle w:val="CM25"/>
        <w:ind w:firstLine="3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（一）企业购入和以其他方式取得的融资租赁资产，借记本科目，</w:t>
      </w:r>
      <w:r>
        <w:rPr>
          <w:rFonts w:ascii="仿宋_GB2312" w:eastAsia="仿宋_GB2312" w:hAnsi="Times New Roman" w:cs="仿宋_GB2312" w:hint="eastAsia"/>
          <w:sz w:val="28"/>
          <w:szCs w:val="28"/>
        </w:rPr>
        <w:lastRenderedPageBreak/>
        <w:t>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3C7348F9" w14:textId="77777777" w:rsidR="00D630C4" w:rsidRDefault="00D630C4" w:rsidP="00D630C4">
      <w:pPr>
        <w:pStyle w:val="CM44"/>
        <w:ind w:right="140" w:firstLine="358"/>
        <w:rPr>
          <w:rFonts w:ascii="仿宋_GB2312" w:eastAsia="仿宋_GB2312" w:hAnsi="Times New Roman" w:cs="仿宋_GB2312"/>
          <w:sz w:val="28"/>
          <w:szCs w:val="28"/>
        </w:rPr>
      </w:pPr>
      <w:r>
        <w:rPr>
          <w:rFonts w:ascii="仿宋_GB2312" w:eastAsia="仿宋_GB2312" w:hAnsi="Times New Roman" w:cs="仿宋_GB2312" w:hint="eastAsia"/>
          <w:sz w:val="28"/>
          <w:szCs w:val="28"/>
        </w:rPr>
        <w:t>（二）在租赁期开始日，按租赁开始日最低租赁收款额与初始直接费用之和，借记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科目，按未担保余值，借记</w:t>
      </w:r>
      <w:r>
        <w:rPr>
          <w:rFonts w:ascii="Times New Roman" w:eastAsia="仿宋_GB2312" w:hAnsi="Times New Roman"/>
          <w:sz w:val="28"/>
          <w:szCs w:val="28"/>
        </w:rPr>
        <w:t>“</w:t>
      </w:r>
      <w:r>
        <w:rPr>
          <w:rFonts w:ascii="仿宋_GB2312" w:eastAsia="仿宋_GB2312" w:hAnsi="Times New Roman" w:cs="仿宋_GB2312" w:hint="eastAsia"/>
          <w:sz w:val="28"/>
          <w:szCs w:val="28"/>
        </w:rPr>
        <w:t>未担保余值</w:t>
      </w:r>
      <w:r>
        <w:rPr>
          <w:rFonts w:ascii="Times New Roman" w:eastAsia="仿宋_GB2312" w:hAnsi="Times New Roman"/>
          <w:sz w:val="28"/>
          <w:szCs w:val="28"/>
        </w:rPr>
        <w:t>”</w:t>
      </w:r>
      <w:r>
        <w:rPr>
          <w:rFonts w:ascii="仿宋_GB2312" w:eastAsia="仿宋_GB2312" w:hAnsi="Times New Roman" w:cs="仿宋_GB2312" w:hint="eastAsia"/>
          <w:sz w:val="28"/>
          <w:szCs w:val="28"/>
        </w:rPr>
        <w:t>科目，按融资租赁资产的公允价值（最低租赁收款额与未担保余值的现值之和），贷记本科目，按发生的初始直接费用，贷记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未实现融资收益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科目。融资租赁资产的公允价值与其账面价值有差额的，还应借记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科目或贷记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DC34F9A"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四、本科目期末借方余额，反映企业融资租赁资产的成本。</w:t>
      </w:r>
    </w:p>
    <w:p w14:paraId="38D183F0" w14:textId="77777777" w:rsidR="00D630C4" w:rsidRDefault="00D630C4" w:rsidP="00D630C4">
      <w:pPr>
        <w:pStyle w:val="CM45"/>
        <w:rPr>
          <w:rFonts w:ascii="仿宋_GB2312" w:eastAsia="仿宋_GB2312" w:hAnsi="Times New Roman" w:cs="仿宋_GB2312"/>
          <w:sz w:val="28"/>
          <w:szCs w:val="28"/>
        </w:rPr>
      </w:pPr>
      <w:r>
        <w:rPr>
          <w:rFonts w:ascii="Times New Roman" w:eastAsia="仿宋_GB2312" w:hAnsi="Times New Roman"/>
          <w:b/>
          <w:bCs/>
          <w:sz w:val="28"/>
          <w:szCs w:val="28"/>
        </w:rPr>
        <w:t xml:space="preserve">1471 </w:t>
      </w:r>
      <w:r>
        <w:rPr>
          <w:rFonts w:ascii="仿宋_GB2312" w:eastAsia="仿宋_GB2312" w:hAnsi="Times New Roman" w:cs="仿宋_GB2312" w:hint="eastAsia"/>
          <w:sz w:val="28"/>
          <w:szCs w:val="28"/>
        </w:rPr>
        <w:t>存货跌价准备</w:t>
      </w:r>
    </w:p>
    <w:p w14:paraId="58BF627B" w14:textId="77777777" w:rsidR="00D630C4" w:rsidRDefault="00D630C4" w:rsidP="00D630C4">
      <w:pPr>
        <w:pStyle w:val="CM4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一、本科目核算企业存货的跌价准备。</w:t>
      </w:r>
    </w:p>
    <w:p w14:paraId="4131EFC9" w14:textId="77777777" w:rsidR="00D630C4" w:rsidRDefault="00D630C4" w:rsidP="00D630C4">
      <w:pPr>
        <w:pStyle w:val="CM4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二、本科目可按存货项目或类别进行明细核算。</w:t>
      </w:r>
    </w:p>
    <w:p w14:paraId="33C8C976" w14:textId="77777777" w:rsidR="00D630C4" w:rsidRDefault="00D630C4" w:rsidP="00D630C4">
      <w:pPr>
        <w:pStyle w:val="CM4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三、存货跌价准备的主要账务处理。</w:t>
      </w:r>
    </w:p>
    <w:p w14:paraId="38E58CBC" w14:textId="77777777" w:rsidR="00D630C4" w:rsidRDefault="00D630C4" w:rsidP="00D630C4">
      <w:pPr>
        <w:pStyle w:val="Default"/>
        <w:spacing w:line="546" w:lineRule="atLeast"/>
        <w:ind w:right="140" w:firstLine="2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（一）资产负债表日，存货发生减值的，按存货可变现净值低于成本的差额，借记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资产减值损失</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w:t>
      </w:r>
    </w:p>
    <w:p w14:paraId="5954CC1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已计提跌价准备的存货价值以后又得以恢复，应在原已计提的存货跌价准备金额内，按恢复增加的金额，借记本科目，贷记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5271069" w14:textId="77777777" w:rsidR="00D630C4" w:rsidRDefault="00D630C4" w:rsidP="00D630C4">
      <w:pPr>
        <w:pStyle w:val="CM31"/>
        <w:ind w:right="138" w:firstLine="628"/>
        <w:rPr>
          <w:rFonts w:ascii="仿宋_GB2312" w:eastAsia="仿宋_GB2312" w:hAnsi="Times New Roman" w:cs="仿宋_GB2312"/>
          <w:sz w:val="28"/>
          <w:szCs w:val="28"/>
        </w:rPr>
      </w:pPr>
      <w:r>
        <w:rPr>
          <w:rFonts w:ascii="仿宋_GB2312" w:eastAsia="仿宋_GB2312" w:hAnsi="Times New Roman" w:cs="仿宋_GB2312" w:hint="eastAsia"/>
          <w:sz w:val="28"/>
          <w:szCs w:val="28"/>
        </w:rPr>
        <w:t>发出存货结转存货跌价准备的，借记本科目，贷记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6AD557F"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（二）企业（建造承包商）建造合同执行中预计总成本超过合</w:t>
      </w:r>
      <w:r>
        <w:rPr>
          <w:rFonts w:ascii="仿宋_GB2312" w:eastAsia="仿宋_GB2312" w:hAnsi="Times New Roman" w:cs="仿宋_GB2312" w:hint="eastAsia"/>
          <w:sz w:val="28"/>
          <w:szCs w:val="28"/>
        </w:rPr>
        <w:lastRenderedPageBreak/>
        <w:t>同总收入的，应按其差额，借记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科目，贷记本科目。合同完工时，借记本科目，贷记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2B5E2AC"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四、本科目期末贷方余额，反映企业已计提但尚未转销的存货跌价准备。</w:t>
      </w:r>
    </w:p>
    <w:p w14:paraId="36C5ABCA"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1501 </w:t>
      </w:r>
      <w:r>
        <w:rPr>
          <w:rFonts w:ascii="仿宋_GB2312" w:eastAsia="仿宋_GB2312" w:hAnsi="Times New Roman" w:cs="仿宋_GB2312" w:hint="eastAsia"/>
          <w:sz w:val="28"/>
          <w:szCs w:val="28"/>
        </w:rPr>
        <w:t>持有至到期投资</w:t>
      </w:r>
    </w:p>
    <w:p w14:paraId="585C2CE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一、本科目核算企业持有至到期投资的摊余成本。</w:t>
      </w:r>
    </w:p>
    <w:p w14:paraId="6333E04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二、本科目可按持有至到期投资的类别和品种，分别</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应计利息</w:t>
      </w:r>
      <w:r>
        <w:rPr>
          <w:rFonts w:ascii="Times New Roman" w:eastAsia="仿宋_GB2312" w:hAnsi="Times New Roman"/>
          <w:sz w:val="28"/>
          <w:szCs w:val="28"/>
        </w:rPr>
        <w:t>”</w:t>
      </w:r>
      <w:r>
        <w:rPr>
          <w:rFonts w:ascii="仿宋_GB2312" w:eastAsia="仿宋_GB2312" w:hAnsi="Times New Roman" w:cs="仿宋_GB2312" w:hint="eastAsia"/>
          <w:sz w:val="28"/>
          <w:szCs w:val="28"/>
        </w:rPr>
        <w:t>等进行明细核算。</w:t>
      </w:r>
    </w:p>
    <w:p w14:paraId="582EEFE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三、持有至到期投资的主要账务处理。</w:t>
      </w:r>
    </w:p>
    <w:p w14:paraId="1BB59BE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（一）企业取得的持有至到期投资，应按该投资的面值，借记本科目（成本），按支付的价款中包含的已到付息期但尚未领取的利息，借记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等科目，按其差额，借记或贷记本科目（利息调整）。</w:t>
      </w:r>
    </w:p>
    <w:p w14:paraId="2129B3F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（二）资产负债表日，持有至到期投资为分期付息、一次还本债券投资的，应按票面利率计算确定的应收未收利息，借记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科目，按持有至到期投资摊余成本和实际利率计算确定的利息收入，贷记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科目，按其差额，借记或贷记本科目（利息调整）。</w:t>
      </w:r>
    </w:p>
    <w:p w14:paraId="57EB0C63"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持有至到期投资为一次还本付息债券投资的，应于资产负债表日按票面利率计算确定的应收未收利息，借记本科目（应计利息），按持有至到期投资摊余成本和实际利率计算确定的利息收入，贷记</w:t>
      </w:r>
      <w:r>
        <w:rPr>
          <w:rFonts w:ascii="Times New Roman" w:eastAsia="仿宋_GB2312" w:hAnsi="Times New Roman"/>
          <w:sz w:val="28"/>
          <w:szCs w:val="28"/>
        </w:rPr>
        <w:lastRenderedPageBreak/>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科目，按其差额，借记或贷记本科目（利息调整）。</w:t>
      </w:r>
    </w:p>
    <w:p w14:paraId="6F470821"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持有至到期投资发生减值后利息的处理，比照</w:t>
      </w:r>
      <w:r>
        <w:rPr>
          <w:rFonts w:ascii="Times New Roman" w:eastAsia="仿宋_GB2312" w:hAnsi="Times New Roman"/>
          <w:sz w:val="28"/>
          <w:szCs w:val="28"/>
        </w:rPr>
        <w:t>“</w:t>
      </w:r>
      <w:r>
        <w:rPr>
          <w:rFonts w:ascii="仿宋_GB2312" w:eastAsia="仿宋_GB2312" w:hAnsi="Times New Roman" w:cs="仿宋_GB2312" w:hint="eastAsia"/>
          <w:sz w:val="28"/>
          <w:szCs w:val="28"/>
        </w:rPr>
        <w:t>贷款</w:t>
      </w:r>
      <w:r>
        <w:rPr>
          <w:rFonts w:ascii="Times New Roman" w:eastAsia="仿宋_GB2312" w:hAnsi="Times New Roman"/>
          <w:sz w:val="28"/>
          <w:szCs w:val="28"/>
        </w:rPr>
        <w:t>”</w:t>
      </w:r>
      <w:r>
        <w:rPr>
          <w:rFonts w:ascii="仿宋_GB2312" w:eastAsia="仿宋_GB2312" w:hAnsi="Times New Roman" w:cs="仿宋_GB2312" w:hint="eastAsia"/>
          <w:sz w:val="28"/>
          <w:szCs w:val="28"/>
        </w:rPr>
        <w:t>科目相关规定。</w:t>
      </w:r>
    </w:p>
    <w:p w14:paraId="130FD5D9"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（三）将持有至到期投资重分类为可供出售金融资产的，应在重分类日按其公允价值，借记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可供出售金融资产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科目，按其账面余额，贷记本科目（成本、利息调整、应计利息），按其差额，贷记或借记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618BA30C"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（四）出售持有至到期投资，应按实际收到的金额，借记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结算备付金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等科目，按其账面余额，贷记本科目（成本、利息调整、应计利息），按其差额，贷记或借记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44FAEC8F"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四、本科目期末借方余额，反映企业持有至到期投资的摊余成本。</w:t>
      </w:r>
    </w:p>
    <w:p w14:paraId="695204AF" w14:textId="77777777" w:rsidR="00D630C4" w:rsidRDefault="00D630C4" w:rsidP="00D630C4">
      <w:pPr>
        <w:pStyle w:val="Default"/>
        <w:spacing w:line="546" w:lineRule="atLeast"/>
        <w:ind w:right="1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1502 </w:t>
      </w:r>
      <w:r>
        <w:rPr>
          <w:rFonts w:ascii="仿宋_GB2312" w:eastAsia="仿宋_GB2312" w:hAnsi="Times New Roman" w:cs="仿宋_GB2312" w:hint="eastAsia"/>
          <w:color w:val="auto"/>
          <w:sz w:val="28"/>
          <w:szCs w:val="28"/>
        </w:rPr>
        <w:t>持有至到期投资减值准备</w:t>
      </w:r>
    </w:p>
    <w:p w14:paraId="0A8AAC82"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一、本科目核算企业持有至到期投资的减值准备。</w:t>
      </w:r>
    </w:p>
    <w:p w14:paraId="05089F2B"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二、本科目可按持有至到期投资类别和品种进行明细核算。</w:t>
      </w:r>
    </w:p>
    <w:p w14:paraId="36CEE0FB"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三、资产负债表日，持有至到期投资发生减值的，按应减记的金</w:t>
      </w:r>
      <w:r>
        <w:rPr>
          <w:rFonts w:ascii="仿宋_GB2312" w:eastAsia="仿宋_GB2312" w:hAnsi="Times New Roman" w:cs="仿宋_GB2312" w:hint="eastAsia"/>
          <w:sz w:val="28"/>
          <w:szCs w:val="28"/>
        </w:rPr>
        <w:t>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3999C50A"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已计提减值准备的持有至到期投资价值以后又得以恢复，应在原已计提的减值准备金额内，按恢复增加的金额，借记本科目，贷记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B28F1E3"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四、本科目期末贷方余额，反映企业已计提但尚未转销的持有至到期投资减值准备。</w:t>
      </w:r>
    </w:p>
    <w:p w14:paraId="4CD488D3"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1503 </w:t>
      </w:r>
      <w:r>
        <w:rPr>
          <w:rFonts w:ascii="仿宋_GB2312" w:eastAsia="仿宋_GB2312" w:hAnsi="Times New Roman" w:cs="仿宋_GB2312" w:hint="eastAsia"/>
          <w:color w:val="auto"/>
          <w:sz w:val="28"/>
          <w:szCs w:val="28"/>
        </w:rPr>
        <w:t>可供出售金融资产</w:t>
      </w:r>
    </w:p>
    <w:p w14:paraId="1091EE0E"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一、本科目核算企业持有的可供出售金融资产的公允价值，包括划分为可供出售的股票投资、债券投资等金融资产。</w:t>
      </w:r>
    </w:p>
    <w:p w14:paraId="49665C09"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二、本科目按可供出售金融资产的类别和品种，分别</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利</w:t>
      </w:r>
      <w:r>
        <w:rPr>
          <w:rFonts w:ascii="仿宋_GB2312" w:eastAsia="仿宋_GB2312" w:hAnsi="Times New Roman" w:cs="仿宋_GB2312" w:hint="eastAsia"/>
          <w:sz w:val="28"/>
          <w:szCs w:val="28"/>
        </w:rPr>
        <w:t>息调整</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应计利息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公允价值变动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等进行明细核算。</w:t>
      </w:r>
    </w:p>
    <w:p w14:paraId="76E5B403"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可供出售金融资产发生减值的，可以单独设置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可供出售金融资产减值准备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537C2C3"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三、可供出售金融资产的主要账务处理。</w:t>
      </w:r>
    </w:p>
    <w:p w14:paraId="27378D6E"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（一）企业取得可供出售的金融资产，应按其公允价值与交易费用之和，借记本科目（成本），按支付的价款中包含的已宣告但尚未发放的现金股利，借记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19397F98"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企业取得的可供出售金融资产为债券投资的，应按债券的面值，借记本科目（成本），按支付的价款中包含的已到付息期但尚未领取的利息，借记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应收利息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等科目，按差额，借记或贷记本科目（利息调整）。</w:t>
      </w:r>
    </w:p>
    <w:p w14:paraId="4DE09A66"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（二）资产负债表日，可供出售债券为分期付息、一次还本债券投资的，应按票面利率计算确定的应收未收利息，借记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w:t>
      </w:r>
      <w:r>
        <w:rPr>
          <w:rFonts w:ascii="仿宋_GB2312" w:eastAsia="仿宋_GB2312" w:hAnsi="Times New Roman" w:cs="仿宋_GB2312" w:hint="eastAsia"/>
          <w:sz w:val="28"/>
          <w:szCs w:val="28"/>
        </w:rPr>
        <w:lastRenderedPageBreak/>
        <w:t>目，按可供出售债券的摊余成本和实际利率计算确定的利息收入，贷记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科目，按其差额，借记或贷记本科目（利息调整）。</w:t>
      </w:r>
    </w:p>
    <w:p w14:paraId="3C900D07"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可供出售债券为一次还本付息债券投资的，应于资产负债表日按票面利率计算确定的应收未收利息，借记本科目（应计利息），按可供出售债券的摊余成本和实际利率计算确定的利息收入，贷记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科目，按其差额，借记或贷记本科目（利息调整）。</w:t>
      </w:r>
    </w:p>
    <w:p w14:paraId="7D509470"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可供出售债券投资发生减值后利息的处理，比照</w:t>
      </w:r>
      <w:r>
        <w:rPr>
          <w:rFonts w:ascii="Times New Roman" w:eastAsia="仿宋_GB2312" w:hAnsi="Times New Roman"/>
          <w:sz w:val="28"/>
          <w:szCs w:val="28"/>
        </w:rPr>
        <w:t>“</w:t>
      </w:r>
      <w:r>
        <w:rPr>
          <w:rFonts w:ascii="仿宋_GB2312" w:eastAsia="仿宋_GB2312" w:hAnsi="Times New Roman" w:cs="仿宋_GB2312" w:hint="eastAsia"/>
          <w:sz w:val="28"/>
          <w:szCs w:val="28"/>
        </w:rPr>
        <w:t>贷款</w:t>
      </w:r>
      <w:r>
        <w:rPr>
          <w:rFonts w:ascii="Times New Roman" w:eastAsia="仿宋_GB2312" w:hAnsi="Times New Roman"/>
          <w:sz w:val="28"/>
          <w:szCs w:val="28"/>
        </w:rPr>
        <w:t>”</w:t>
      </w:r>
      <w:r>
        <w:rPr>
          <w:rFonts w:ascii="仿宋_GB2312" w:eastAsia="仿宋_GB2312" w:hAnsi="Times New Roman" w:cs="仿宋_GB2312" w:hint="eastAsia"/>
          <w:sz w:val="28"/>
          <w:szCs w:val="28"/>
        </w:rPr>
        <w:t>科目相关规定。</w:t>
      </w:r>
    </w:p>
    <w:p w14:paraId="175B972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（三）资产负债表日，可供出售金融资产的公允价值高于其账面余额的差额，借记本科目（公允价值变动），贷记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科目；公允价值低于其账面余额的差额做相反的会计分录。</w:t>
      </w:r>
    </w:p>
    <w:p w14:paraId="2FC2A6C9"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确定可供出售金融资产发生减值的，按应减记的金额，借记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科目，按应从所有者权益中转出原计入资本公积的累计损失金额，贷记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科目，按其差额，贷记本科目（公允价值变动）。</w:t>
      </w:r>
    </w:p>
    <w:p w14:paraId="59852AE9"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对于已确认减值损失的可供出售金融资产，在随后会计期间内公允价值已上升且客观上与确认原减值损失事项有关的，应按原确认的减值损失，借记本科目（公允价值变动），贷记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资产减值损失</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科目；但可供出售金融资产为股票等权益工具投资的（不含在活跃市场上没有报价、公允价值不能可靠计量的权益工具投资），借记本科目（公允价值变动），贷记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64CC07D5"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（四）将持有至到期投资重分类为可供出售金融资产的，应在重分类日按其公允价值，借记本科目，按其账面余额，贷记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科目。已计提减值准备的，还应同时结转减值准备。</w:t>
      </w:r>
    </w:p>
    <w:p w14:paraId="02555265"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（五）出售可供出售的金融资产，应按实际收到的金额，借记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等科目，按其账面余额，贷记本科目（成本、公允价值变动、利息调整、应计利息），按应从所有者权益中转出的公允价值累计变动额，借记或贷记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E46A244"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四、本科目期末借方余额，反映企业可供出售金融资产的公允价值。</w:t>
      </w:r>
    </w:p>
    <w:p w14:paraId="16CBDFAD" w14:textId="77777777" w:rsidR="00D630C4" w:rsidRDefault="00D630C4" w:rsidP="00D630C4">
      <w:pPr>
        <w:pStyle w:val="CM46"/>
        <w:ind w:left="278" w:right="1588"/>
        <w:rPr>
          <w:rFonts w:ascii="仿宋_GB2312" w:eastAsia="仿宋_GB2312" w:hAnsi="Times New Roman" w:cs="仿宋_GB2312"/>
          <w:sz w:val="28"/>
          <w:szCs w:val="28"/>
        </w:rPr>
      </w:pPr>
      <w:r>
        <w:rPr>
          <w:rFonts w:ascii="Times New Roman" w:eastAsia="仿宋_GB2312" w:hAnsi="Times New Roman"/>
          <w:b/>
          <w:bCs/>
          <w:sz w:val="28"/>
          <w:szCs w:val="28"/>
        </w:rPr>
        <w:t xml:space="preserve">1511  </w:t>
      </w:r>
      <w:r>
        <w:rPr>
          <w:rFonts w:ascii="仿宋_GB2312" w:eastAsia="仿宋_GB2312" w:hAnsi="Times New Roman" w:cs="仿宋_GB2312" w:hint="eastAsia"/>
          <w:sz w:val="28"/>
          <w:szCs w:val="28"/>
        </w:rPr>
        <w:t>长期股权投资</w:t>
      </w:r>
    </w:p>
    <w:p w14:paraId="2650B994" w14:textId="77777777" w:rsidR="00D630C4" w:rsidRDefault="00D630C4" w:rsidP="00D630C4">
      <w:pPr>
        <w:pStyle w:val="CM46"/>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一、本科目核算企业持有的采用成本法和权益法核算的长期股权投资。</w:t>
      </w:r>
    </w:p>
    <w:p w14:paraId="01EC326B" w14:textId="77777777" w:rsidR="00D630C4" w:rsidRDefault="00D630C4" w:rsidP="00D630C4">
      <w:pPr>
        <w:pStyle w:val="CM2"/>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二、本科目可按被投资单位进行明细核算。</w:t>
      </w:r>
    </w:p>
    <w:p w14:paraId="5D56E991" w14:textId="77777777" w:rsidR="00D630C4" w:rsidRDefault="00D630C4" w:rsidP="00D630C4">
      <w:pPr>
        <w:pStyle w:val="CM2"/>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长期股权投资采用权益法核算的，还应当分别</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损益调整</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其他权益变动</w:t>
      </w:r>
      <w:r>
        <w:rPr>
          <w:rFonts w:ascii="Times New Roman" w:eastAsia="仿宋_GB2312" w:hAnsi="Times New Roman"/>
          <w:sz w:val="28"/>
          <w:szCs w:val="28"/>
        </w:rPr>
        <w:t>”</w:t>
      </w:r>
      <w:r>
        <w:rPr>
          <w:rFonts w:ascii="仿宋_GB2312" w:eastAsia="仿宋_GB2312" w:hAnsi="Times New Roman" w:cs="仿宋_GB2312" w:hint="eastAsia"/>
          <w:sz w:val="28"/>
          <w:szCs w:val="28"/>
        </w:rPr>
        <w:t>进行明细核算。</w:t>
      </w:r>
    </w:p>
    <w:p w14:paraId="6A4B507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三、长期股权投资的主要账务处理。</w:t>
      </w:r>
    </w:p>
    <w:p w14:paraId="6659FE0D"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（一）初始取得长期股权投资</w:t>
      </w:r>
    </w:p>
    <w:p w14:paraId="2574345B"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同一控制下企业合并形成的长期股权投资，应在合并日按取得被合并方所有者权益账面价值的份额，借记本科目，按享有被投资单位</w:t>
      </w:r>
      <w:r>
        <w:rPr>
          <w:rFonts w:ascii="仿宋_GB2312" w:eastAsia="仿宋_GB2312" w:hAnsi="Times New Roman" w:cs="仿宋_GB2312" w:hint="eastAsia"/>
          <w:sz w:val="28"/>
          <w:szCs w:val="28"/>
        </w:rPr>
        <w:lastRenderedPageBreak/>
        <w:t>已宣告但尚未发放的现金股利或利润，借记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科目，按支付的合并对价的账面价值，贷记有关资产或借记有关负债科目，按其差额，贷记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资本溢价或股本溢价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科目；为借方差额的，借记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资本溢价或股本溢价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科目，资本公积（资本溢价或股本溢价）不足冲减的，借记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60955A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非同一控制下企业合并形成的长期股权投资，应在购买日按企业合并成本（不含应自被投资单位收取的现金股利或利润），借记本科目，按享有被投资单位已宣告但尚未发放的现金股利或利润，借记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科目，按支付合并对价的账面价值，贷记有关资产或借记有关负债科目，按发生的直接相关费用，贷记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或借记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等科目。非同一控制下企业合并涉及以库存商品等作为合并对价的，应按库存商品的公允价值，贷记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科目，并同时结转相关的成本。涉及增值税的，还应进行相应的处理。</w:t>
      </w:r>
    </w:p>
    <w:p w14:paraId="5F27FCA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以支付现金、非现金资产等其他方式（非企业合并）形成的长期股权投资，比照非同一控制下企业合并形成的长期股权投资的相关规定进行处理。</w:t>
      </w:r>
    </w:p>
    <w:p w14:paraId="1C1363DD" w14:textId="77777777" w:rsidR="00D630C4" w:rsidRDefault="00D630C4" w:rsidP="00D630C4">
      <w:pPr>
        <w:pStyle w:val="CM47"/>
        <w:ind w:right="4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投资者投入的长期股权投资，应按确定的长期股权投资成本，借记本科目，贷记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实收资本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或</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股本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科目。（二）采用成本法核算的长期股权投资长期股权投资采用成本法核算的，应按被投资单位宣告发放的现金股利或利润中属于本企业的部分，借记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r>
        <w:rPr>
          <w:rFonts w:ascii="仿宋_GB2312" w:eastAsia="仿宋_GB2312" w:hAnsi="Times New Roman" w:cs="仿宋_GB2312" w:hint="eastAsia"/>
          <w:sz w:val="28"/>
          <w:szCs w:val="28"/>
        </w:rPr>
        <w:lastRenderedPageBreak/>
        <w:t>贷记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科目；属于被投资单位在取得本企业投资前实现净利润的分配额，应作为投资成本的收回，借记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EEAD1AE"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（三）采用权益法核算的长期股权投资</w:t>
      </w:r>
    </w:p>
    <w:p w14:paraId="017AC320"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sz w:val="28"/>
          <w:szCs w:val="28"/>
        </w:rPr>
        <w:t>1</w:t>
      </w:r>
      <w:r>
        <w:rPr>
          <w:rFonts w:ascii="仿宋_GB2312" w:eastAsia="仿宋_GB2312" w:hAnsi="Times New Roman" w:cs="仿宋_GB2312" w:hint="eastAsia"/>
          <w:sz w:val="28"/>
          <w:szCs w:val="28"/>
        </w:rPr>
        <w:t>．长期股权投资的初始投资成本大于投资时应享有被投资单位可辨认净资产公允价值份额的，不调整已确认的初始投资成本。长期股权投资的初始投资成本小于投资时应享有被投资单位可辨认净资产公允价值份额的，应按其差额，借记本科目（成本），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5D9C5DF7"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sz w:val="28"/>
          <w:szCs w:val="28"/>
        </w:rPr>
        <w:t>2</w:t>
      </w:r>
      <w:r>
        <w:rPr>
          <w:rFonts w:ascii="仿宋_GB2312" w:eastAsia="仿宋_GB2312" w:hAnsi="Times New Roman" w:cs="仿宋_GB2312" w:hint="eastAsia"/>
          <w:sz w:val="28"/>
          <w:szCs w:val="28"/>
        </w:rPr>
        <w:t>．根据被投资单位实现的净利润或经调整的净利润计算应享有的份额，借记本科目（损益调整），贷记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科目。被投资单位发生净亏损做相反的会计分录，但以本科目的账面价值减记至零为限；还需承担的投资损失，应将其他实质上构成对被投资单位净投资的</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长期应收款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等的账面价值减记至零为限；除按照以上步骤已确认的损失外，按照投资合同或协议约定将承担的损失，确认为预计负债。发生亏损的被投资单位以后实现净利润的，应按与上述相反的顺序进行处理。</w:t>
      </w:r>
    </w:p>
    <w:p w14:paraId="52CDC78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被投资单位以后宣告发放现金股利或利润时，企业计算应分得的部分，借记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科目，贷记本科目（损益调整）。收到被投资单位宣告发放的股票股利，不进行账务处理，但应在备查簿中登记。</w:t>
      </w:r>
    </w:p>
    <w:p w14:paraId="3B6CD346" w14:textId="77777777" w:rsidR="00D630C4" w:rsidRDefault="00D630C4" w:rsidP="00D630C4">
      <w:pPr>
        <w:pStyle w:val="CM11"/>
        <w:ind w:firstLine="558"/>
        <w:jc w:val="both"/>
        <w:rPr>
          <w:rFonts w:ascii="仿宋_GB2312" w:eastAsia="仿宋_GB2312" w:hAnsi="Times New Roman" w:cs="仿宋_GB2312"/>
          <w:sz w:val="28"/>
          <w:szCs w:val="28"/>
        </w:rPr>
      </w:pPr>
      <w:r>
        <w:rPr>
          <w:rFonts w:ascii="Times New Roman" w:eastAsia="仿宋_GB2312" w:hAnsi="Times New Roman"/>
          <w:sz w:val="28"/>
          <w:szCs w:val="28"/>
        </w:rPr>
        <w:t>3</w:t>
      </w:r>
      <w:r>
        <w:rPr>
          <w:rFonts w:ascii="仿宋_GB2312" w:eastAsia="仿宋_GB2312" w:hAnsi="Times New Roman" w:cs="仿宋_GB2312" w:hint="eastAsia"/>
          <w:sz w:val="28"/>
          <w:szCs w:val="28"/>
        </w:rPr>
        <w:t>．在持股比例不变的情况下，被投资单位除净损益以外所有者</w:t>
      </w:r>
    </w:p>
    <w:p w14:paraId="58F1EB9C" w14:textId="77777777" w:rsidR="00D630C4" w:rsidRDefault="00D630C4" w:rsidP="00D630C4">
      <w:pPr>
        <w:pStyle w:val="CM20"/>
        <w:ind w:right="138"/>
        <w:rPr>
          <w:rFonts w:ascii="仿宋_GB2312" w:eastAsia="仿宋_GB2312" w:hAnsi="Times New Roman" w:cs="仿宋_GB2312"/>
          <w:sz w:val="28"/>
          <w:szCs w:val="28"/>
        </w:rPr>
      </w:pPr>
      <w:r>
        <w:rPr>
          <w:rFonts w:ascii="仿宋_GB2312" w:eastAsia="仿宋_GB2312" w:hAnsi="Times New Roman" w:cs="仿宋_GB2312" w:hint="eastAsia"/>
          <w:sz w:val="28"/>
          <w:szCs w:val="28"/>
        </w:rPr>
        <w:t>权益的其他变动，企业按持股比例计算应享有的份额，借记或贷记</w:t>
      </w:r>
      <w:r>
        <w:rPr>
          <w:rFonts w:ascii="仿宋_GB2312" w:eastAsia="仿宋_GB2312" w:hAnsi="Times New Roman" w:cs="仿宋_GB2312" w:hint="eastAsia"/>
          <w:sz w:val="28"/>
          <w:szCs w:val="28"/>
        </w:rPr>
        <w:lastRenderedPageBreak/>
        <w:t>本科目（其他权益变动），贷记或借记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3E8AEF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（四）长期股权投资核算方法的转换</w:t>
      </w:r>
    </w:p>
    <w:p w14:paraId="208C2347"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将长期股权投资自成本法转按权益法核算的，应按转换时该项长期股权投资的账面价值作为权益法核算的初始投资成本，初始投资成本小于转换时占被投资单位可辨认净资产公允价值份额的差额，借记本科目（成本），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B321876"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长期股权投资自权益法转按成本法核算的，除构成企业合并的以外，应按中止采用权益法时长期股权投资的账面价值作为成本法核算的初始投资成本。</w:t>
      </w:r>
    </w:p>
    <w:p w14:paraId="0BE12D2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（五）处置长期股权投资</w:t>
      </w:r>
    </w:p>
    <w:p w14:paraId="588DF32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处置长期股权投资时，应按实际收到的金额，借记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等科目，按其账面余额，贷记本科目，按尚未领取的现金股利或利润，贷记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58B70686"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采用权益法核算长期股权投资的处置，除上述规定外，还应结转原记入资本公积的相关金额，借记或贷记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0822238"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四、本科目期末借方余额，反映企业长期股权投资的价值。</w:t>
      </w:r>
    </w:p>
    <w:p w14:paraId="1B676229"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1512 </w:t>
      </w:r>
      <w:r>
        <w:rPr>
          <w:rFonts w:ascii="仿宋_GB2312" w:eastAsia="仿宋_GB2312" w:hAnsi="Times New Roman" w:cs="仿宋_GB2312" w:hint="eastAsia"/>
          <w:sz w:val="28"/>
          <w:szCs w:val="28"/>
        </w:rPr>
        <w:t>长期股权投资减值准备</w:t>
      </w:r>
    </w:p>
    <w:p w14:paraId="682D91FD" w14:textId="77777777" w:rsidR="00D630C4" w:rsidRDefault="00D630C4" w:rsidP="00D630C4">
      <w:pPr>
        <w:pStyle w:val="CM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一、本科目核算企业长期股权投资的减值准备。</w:t>
      </w:r>
    </w:p>
    <w:p w14:paraId="37468D1C" w14:textId="77777777" w:rsidR="00D630C4" w:rsidRDefault="00D630C4" w:rsidP="00D630C4">
      <w:pPr>
        <w:pStyle w:val="CM2"/>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二、本科目可按被投资单位进行明细核算。</w:t>
      </w:r>
    </w:p>
    <w:p w14:paraId="28A04670" w14:textId="77777777" w:rsidR="00D630C4" w:rsidRDefault="00D630C4" w:rsidP="00D630C4">
      <w:pPr>
        <w:pStyle w:val="CM31"/>
        <w:ind w:right="138"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三、资产负债表日，长期股权投资发生减值的，按应减记的金额，借记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7BAF34E"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处置长期股权投资时，应同时结转已计提的长期股权投资减值准备。</w:t>
      </w:r>
    </w:p>
    <w:p w14:paraId="4A14CF27" w14:textId="77777777" w:rsidR="00D630C4" w:rsidRDefault="00D630C4" w:rsidP="00D630C4">
      <w:pPr>
        <w:pStyle w:val="CM73"/>
        <w:spacing w:line="546" w:lineRule="atLeast"/>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四、本科目期末贷方余额，反映企业已计提但尚未转销的长期股权投资减值准备。</w:t>
      </w:r>
    </w:p>
    <w:p w14:paraId="1B5BE084"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1521 </w:t>
      </w:r>
      <w:r>
        <w:rPr>
          <w:rFonts w:ascii="仿宋_GB2312" w:eastAsia="仿宋_GB2312" w:hAnsi="Times New Roman" w:cs="仿宋_GB2312" w:hint="eastAsia"/>
          <w:sz w:val="28"/>
          <w:szCs w:val="28"/>
        </w:rPr>
        <w:t>投资性房地产</w:t>
      </w:r>
    </w:p>
    <w:p w14:paraId="2EC0D729" w14:textId="77777777" w:rsidR="00D630C4" w:rsidRDefault="00D630C4" w:rsidP="00D630C4">
      <w:pPr>
        <w:pStyle w:val="CM14"/>
        <w:ind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一、本科目核算企业采用成本模式计量的投资性房地产的成本。企业采用公允价值模式计量投资性房地产的，也通过本科目核算。</w:t>
      </w:r>
    </w:p>
    <w:p w14:paraId="370B040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采用成本模式计量的投资性房地产的累计折旧或累计摊销，可以单独设置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投资性房地产累计折旧（摊销）</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累计折旧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等科目进行处理。</w:t>
      </w:r>
    </w:p>
    <w:p w14:paraId="3CA57879"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采用成本模式计量的投资性房地产发生减值的，可以单独设置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投资性房地产减值准备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固定资产减值准备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等科目进行处理。</w:t>
      </w:r>
    </w:p>
    <w:p w14:paraId="330B9931"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二、本科目可按投资性房地产类别和项目进行明细核算。</w:t>
      </w:r>
    </w:p>
    <w:p w14:paraId="5F00C178"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采用公允价值模式计量的投资性房地产，还应当分别</w:t>
      </w:r>
      <w:r>
        <w:rPr>
          <w:rFonts w:ascii="Times New Roman" w:eastAsia="仿宋_GB2312" w:hAnsi="Times New Roman"/>
          <w:sz w:val="28"/>
          <w:szCs w:val="28"/>
        </w:rPr>
        <w:t>“</w:t>
      </w: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和</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w:t>
      </w:r>
      <w:r>
        <w:rPr>
          <w:rFonts w:ascii="Times New Roman" w:eastAsia="仿宋_GB2312" w:hAnsi="Times New Roman"/>
          <w:sz w:val="28"/>
          <w:szCs w:val="28"/>
        </w:rPr>
        <w:t>”</w:t>
      </w:r>
      <w:r>
        <w:rPr>
          <w:rFonts w:ascii="仿宋_GB2312" w:eastAsia="仿宋_GB2312" w:hAnsi="Times New Roman" w:cs="仿宋_GB2312" w:hint="eastAsia"/>
          <w:sz w:val="28"/>
          <w:szCs w:val="28"/>
        </w:rPr>
        <w:t>进行明细核算。</w:t>
      </w:r>
    </w:p>
    <w:p w14:paraId="3B0AFC2D"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三、采用成本模式计量投资性房地产的主要账务处理。</w:t>
      </w:r>
    </w:p>
    <w:p w14:paraId="2F790D2F"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（一）企业外购、自行建造等取得的投资性房地产，按应计入投</w:t>
      </w:r>
      <w:r>
        <w:rPr>
          <w:rFonts w:ascii="仿宋_GB2312" w:eastAsia="仿宋_GB2312" w:hAnsi="Times New Roman" w:cs="仿宋_GB2312" w:hint="eastAsia"/>
          <w:sz w:val="28"/>
          <w:szCs w:val="28"/>
        </w:rPr>
        <w:lastRenderedPageBreak/>
        <w:t>资性房地产成本的金额，借记本科目，贷记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51FB9ED0"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（二）将作为存货的房地产转换为投资性房地产的，应按其在转换日的账面余额，借记本科目，贷记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开发产品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等科目。已计提跌价准备的，还应同时结转跌价准备。</w:t>
      </w:r>
    </w:p>
    <w:p w14:paraId="3D086A21"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将自用的建筑物等转换为投资性房地产的，应按其在转换日的原价、累计折旧、减值准备等，分别转入本科目、</w:t>
      </w:r>
      <w:r>
        <w:rPr>
          <w:rFonts w:ascii="Times New Roman" w:eastAsia="仿宋_GB2312" w:hAnsi="Times New Roman"/>
          <w:sz w:val="28"/>
          <w:szCs w:val="28"/>
        </w:rPr>
        <w:t>“</w:t>
      </w:r>
      <w:r>
        <w:rPr>
          <w:rFonts w:ascii="仿宋_GB2312" w:eastAsia="仿宋_GB2312" w:hAnsi="Times New Roman" w:cs="仿宋_GB2312" w:hint="eastAsia"/>
          <w:sz w:val="28"/>
          <w:szCs w:val="28"/>
        </w:rPr>
        <w:t>投资性房地产累计折旧（摊销）</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投资性房地产减值准备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6DC424B"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（三）按期（月）对投资性房地产计提折旧或进行摊销，借记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投资性房地产累计折旧（摊销）</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科目。取得的租金收入，借记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4AE7E39A"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（四）将投资性房地产转为自用时，应按其在转换日的账面余额、累计折旧、减值准备等，分别转入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3D13792A"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（五）处置投资性房地产时，应按实际收到的金额，借记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科目。按该项投资性房地产的累计折旧或累计摊销，借记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投资性房地产累计折旧（摊销）</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科目，按该项投资性房地产的账面余额，贷记本科目，按其差额，借记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科目。已计提减值准备的，还应同时结转减值准备。</w:t>
      </w:r>
    </w:p>
    <w:p w14:paraId="2F1C2184"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四、采用公允价值模式计量投资性房地产的主要账务处理。</w:t>
      </w:r>
    </w:p>
    <w:p w14:paraId="653E95F3"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（一）企业外购、自行建造等取得的投资性房地产，按应计入投资性房地产成本的金额，借记本科目（成本），贷记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w:t>
      </w:r>
      <w:r>
        <w:rPr>
          <w:rFonts w:ascii="仿宋_GB2312" w:eastAsia="仿宋_GB2312" w:hAnsi="Times New Roman" w:cs="仿宋_GB2312" w:hint="eastAsia"/>
          <w:sz w:val="28"/>
          <w:szCs w:val="28"/>
        </w:rPr>
        <w:lastRenderedPageBreak/>
        <w:t>建工程</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D0B72AE"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（二）将作为存货的房地产转换为投资性房地产的，应按其在转换日的公允价值，借记本科目（成本），按其账面余额，贷记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开发产品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公允价值变动损益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科目。已计提跌价准备的，还应同时结转跌价准备。</w:t>
      </w:r>
    </w:p>
    <w:p w14:paraId="2B3B4A2A"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将自用的建筑物等转换为投资性房地产的，按其在转换日的公允价值，借记本科目（成本），按已计提的累计折旧等，借记</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公允价值变动损益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科目。已计提减值准备的，还应同时结转减值准备。</w:t>
      </w:r>
    </w:p>
    <w:p w14:paraId="1C98F5A4"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（三）资产负债表日，投资性房地产的公允价值高于其账面余额的差额，借记本科目（公允价值变动），贷记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科目；公允价值低于其账面余额的差额做相反的会计分录。</w:t>
      </w:r>
    </w:p>
    <w:p w14:paraId="331459E3"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取得的租金收入，借记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EC933F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（四）将投资性房地产转为自用时，应按其在转换日的公允价值，借记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等科目，按其账面余额，贷记本科目（成本、公允价值变动），按其差额，贷记或借记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7DBE7D7"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（五）处置投资性房地产时，应按实际收到的金额，借记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科目。按该项投资性房地产的账面余额，借记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科目，贷记本科目（成本）、贷记或借记</w:t>
      </w:r>
      <w:r>
        <w:rPr>
          <w:rFonts w:ascii="仿宋_GB2312" w:eastAsia="仿宋_GB2312" w:hAnsi="Times New Roman" w:cs="仿宋_GB2312" w:hint="eastAsia"/>
          <w:sz w:val="28"/>
          <w:szCs w:val="28"/>
        </w:rPr>
        <w:lastRenderedPageBreak/>
        <w:t>本科目（公允价值变动）；同时，按该项投资性房地产的公允价值变动，借记或贷记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公允价值变动损益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科目。按该项投资性房地产在转换日记入资本公积的金额，借记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其他业务收入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A5A242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五、投资性房地产作为企业主营业务的，应通过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主营业务收入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和</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主营业务成本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科目核算相关的损益。</w:t>
      </w:r>
    </w:p>
    <w:p w14:paraId="7F28FE18"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六、本科目期末借方余额，反映企业采用成本模式计量的投资性房地产成本。企业采用公允价值模式计量的投资性房地产，反映投资性房地产的公允价值。</w:t>
      </w:r>
    </w:p>
    <w:p w14:paraId="62A8E570" w14:textId="77777777" w:rsidR="00D630C4" w:rsidRDefault="00D630C4" w:rsidP="00D630C4">
      <w:pPr>
        <w:pStyle w:val="Default"/>
        <w:spacing w:line="546" w:lineRule="atLeast"/>
        <w:ind w:right="165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1531 </w:t>
      </w:r>
      <w:r>
        <w:rPr>
          <w:rFonts w:ascii="仿宋_GB2312" w:eastAsia="仿宋_GB2312" w:hAnsi="Times New Roman" w:cs="仿宋_GB2312" w:hint="eastAsia"/>
          <w:color w:val="auto"/>
          <w:sz w:val="28"/>
          <w:szCs w:val="28"/>
        </w:rPr>
        <w:t>长期应收款</w:t>
      </w:r>
    </w:p>
    <w:p w14:paraId="0476EA4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一、本科目核算企业的长期应收款项，包括融资租赁产生的应收款项、采用递延方式具有融资性质的销售商品和提供劳务等产生的应</w:t>
      </w:r>
      <w:r>
        <w:rPr>
          <w:rFonts w:ascii="仿宋_GB2312" w:eastAsia="仿宋_GB2312" w:hAnsi="Times New Roman" w:cs="仿宋_GB2312" w:hint="eastAsia"/>
          <w:sz w:val="28"/>
          <w:szCs w:val="28"/>
        </w:rPr>
        <w:t>收款项等。</w:t>
      </w:r>
    </w:p>
    <w:p w14:paraId="61078C66"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实质上构成对被投资单位净投资的长期权益，也通过本科目核算。</w:t>
      </w:r>
    </w:p>
    <w:p w14:paraId="79A20BA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二、本科目可按债务人进行明细核算。</w:t>
      </w:r>
    </w:p>
    <w:p w14:paraId="58A512E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三、长期应收款的主要账务处理。</w:t>
      </w:r>
    </w:p>
    <w:p w14:paraId="4FD21116"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（一）出租人融资租赁产生的应收租赁款，在租赁期开始日，应按租赁开始日最低租赁收款额与初始直接费用之和，借记本科目，按未担保余值，借记</w:t>
      </w:r>
      <w:r>
        <w:rPr>
          <w:rFonts w:ascii="Times New Roman" w:eastAsia="仿宋_GB2312" w:hAnsi="Times New Roman"/>
          <w:sz w:val="28"/>
          <w:szCs w:val="28"/>
        </w:rPr>
        <w:t>“</w:t>
      </w:r>
      <w:r>
        <w:rPr>
          <w:rFonts w:ascii="仿宋_GB2312" w:eastAsia="仿宋_GB2312" w:hAnsi="Times New Roman" w:cs="仿宋_GB2312" w:hint="eastAsia"/>
          <w:sz w:val="28"/>
          <w:szCs w:val="28"/>
        </w:rPr>
        <w:t>未担保余值</w:t>
      </w:r>
      <w:r>
        <w:rPr>
          <w:rFonts w:ascii="Times New Roman" w:eastAsia="仿宋_GB2312" w:hAnsi="Times New Roman"/>
          <w:sz w:val="28"/>
          <w:szCs w:val="28"/>
        </w:rPr>
        <w:t>”</w:t>
      </w:r>
      <w:r>
        <w:rPr>
          <w:rFonts w:ascii="仿宋_GB2312" w:eastAsia="仿宋_GB2312" w:hAnsi="Times New Roman" w:cs="仿宋_GB2312" w:hint="eastAsia"/>
          <w:sz w:val="28"/>
          <w:szCs w:val="28"/>
        </w:rPr>
        <w:t>科目，按融资租赁资产的公允价值（最低租赁收款额和未担保余值的现值之和），贷记</w:t>
      </w:r>
      <w:r>
        <w:rPr>
          <w:rFonts w:ascii="Times New Roman" w:eastAsia="仿宋_GB2312" w:hAnsi="Times New Roman"/>
          <w:sz w:val="28"/>
          <w:szCs w:val="28"/>
        </w:rPr>
        <w:t>“</w:t>
      </w:r>
      <w:r>
        <w:rPr>
          <w:rFonts w:ascii="仿宋_GB2312" w:eastAsia="仿宋_GB2312" w:hAnsi="Times New Roman" w:cs="仿宋_GB2312" w:hint="eastAsia"/>
          <w:sz w:val="28"/>
          <w:szCs w:val="28"/>
        </w:rPr>
        <w:t>融资租赁资产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r>
        <w:rPr>
          <w:rFonts w:ascii="仿宋_GB2312" w:eastAsia="仿宋_GB2312" w:hAnsi="Times New Roman" w:cs="仿宋_GB2312" w:hint="eastAsia"/>
          <w:sz w:val="28"/>
          <w:szCs w:val="28"/>
        </w:rPr>
        <w:lastRenderedPageBreak/>
        <w:t>按融资租赁资产的公允价值与账面价值的差额，借记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科目，按发生的初始直接费用，贷记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未实现融资收益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8E6608B"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（二）采用递延方式分期收款销售商品或提供劳务等经营活动产生的长期应收款，满足收入确认条件的，按应收的合同或协议价款，借记本科目，按应收合同或协议价款的公允价值（折现值），贷记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未实现融资收益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科目。涉及增值税的，还应进行相应的处理。</w:t>
      </w:r>
    </w:p>
    <w:p w14:paraId="49128F62"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（三）如有实质上构成对被投资单位净投资的长期权益，被投资单位发生的净亏损应由本企业承担的部分，在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长期股权投资</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的账面价值减记至零以后，还需承担的投资损失，应以本科目中实质上构成了对被投资单位净投资的长期权益部分账面价值减记至零为限，继续确认投资损失，借记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科目，贷记本科目。除上述已确认投资损失外，投资合同或协议中约定仍应承担的损失，确认为预计负债。</w:t>
      </w:r>
    </w:p>
    <w:p w14:paraId="6813891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四、本科目的期末借方余额，反映企业尚未收回的长期应收款。</w:t>
      </w:r>
    </w:p>
    <w:p w14:paraId="507F96DE" w14:textId="77777777" w:rsidR="00D630C4" w:rsidRDefault="00D630C4" w:rsidP="00D630C4">
      <w:pPr>
        <w:pStyle w:val="Default"/>
        <w:spacing w:line="546" w:lineRule="atLeast"/>
        <w:rPr>
          <w:rFonts w:ascii="Times New Roman" w:eastAsia="仿宋_GB2312" w:hAnsi="Times New Roman" w:cs="Times New Roman"/>
          <w:b/>
          <w:bCs/>
          <w:color w:val="auto"/>
          <w:sz w:val="28"/>
          <w:szCs w:val="28"/>
        </w:rPr>
      </w:pPr>
    </w:p>
    <w:p w14:paraId="49CB961E"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1532 </w:t>
      </w:r>
      <w:r>
        <w:rPr>
          <w:rFonts w:ascii="仿宋_GB2312" w:eastAsia="仿宋_GB2312" w:hAnsi="Times New Roman" w:cs="仿宋_GB2312" w:hint="eastAsia"/>
          <w:color w:val="auto"/>
          <w:sz w:val="28"/>
          <w:szCs w:val="28"/>
        </w:rPr>
        <w:t>未实现融资收益</w:t>
      </w:r>
    </w:p>
    <w:p w14:paraId="224AE414"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一、本科目核算企业分期计入租赁收入或利息收入的未实现融资收益。</w:t>
      </w:r>
    </w:p>
    <w:p w14:paraId="2E1C8B50"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二、本科目可按未实现融资收益项目进行明细核算。</w:t>
      </w:r>
    </w:p>
    <w:p w14:paraId="181950CF"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三、未实现融资收益的主要账务处理。</w:t>
      </w:r>
    </w:p>
    <w:p w14:paraId="1E3DD963"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（一）出租人融资租赁产生的应收租赁款，在租赁期开始日，应按租赁开始日最低租赁收款额与初始直接费用之和，借记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科目，按未担保余值，借记</w:t>
      </w:r>
      <w:r>
        <w:rPr>
          <w:rFonts w:ascii="Times New Roman" w:eastAsia="仿宋_GB2312" w:hAnsi="Times New Roman"/>
          <w:sz w:val="28"/>
          <w:szCs w:val="28"/>
        </w:rPr>
        <w:t>“</w:t>
      </w:r>
      <w:r>
        <w:rPr>
          <w:rFonts w:ascii="仿宋_GB2312" w:eastAsia="仿宋_GB2312" w:hAnsi="Times New Roman" w:cs="仿宋_GB2312" w:hint="eastAsia"/>
          <w:sz w:val="28"/>
          <w:szCs w:val="28"/>
        </w:rPr>
        <w:t>未担保余值</w:t>
      </w:r>
      <w:r>
        <w:rPr>
          <w:rFonts w:ascii="Times New Roman" w:eastAsia="仿宋_GB2312" w:hAnsi="Times New Roman"/>
          <w:sz w:val="28"/>
          <w:szCs w:val="28"/>
        </w:rPr>
        <w:t>”</w:t>
      </w:r>
      <w:r>
        <w:rPr>
          <w:rFonts w:ascii="仿宋_GB2312" w:eastAsia="仿宋_GB2312" w:hAnsi="Times New Roman" w:cs="仿宋_GB2312" w:hint="eastAsia"/>
          <w:sz w:val="28"/>
          <w:szCs w:val="28"/>
        </w:rPr>
        <w:t>科目，按融资租赁资产的公允价值（最低租赁收款额的现值和未担保余值的现值之和），贷记</w:t>
      </w:r>
      <w:r>
        <w:rPr>
          <w:rFonts w:ascii="Times New Roman" w:eastAsia="仿宋_GB2312" w:hAnsi="Times New Roman"/>
          <w:sz w:val="28"/>
          <w:szCs w:val="28"/>
        </w:rPr>
        <w:t>“</w:t>
      </w:r>
      <w:r>
        <w:rPr>
          <w:rFonts w:ascii="仿宋_GB2312" w:eastAsia="仿宋_GB2312" w:hAnsi="Times New Roman" w:cs="仿宋_GB2312" w:hint="eastAsia"/>
          <w:sz w:val="28"/>
          <w:szCs w:val="28"/>
        </w:rPr>
        <w:t>融资租赁资产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科目，按融资租赁资产的公允价值与账面价值的差额，借记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科目，按发生的初始直接费用，贷记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等科目，按其差额，贷记本科目。</w:t>
      </w:r>
    </w:p>
    <w:p w14:paraId="45C969A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采用实际利率法按期计算确定的融资收入，借记本科目，贷记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租赁收入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AE81353"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（二）采用递延方式分期收款、实质上具有融资性质的销售商品或提供劳务等经营活动产生的长期应收款，满足收入确认条件的，按应收的合同或协议价款，借记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科目，按应收的合同或协议价款的公允价值，贷记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等科目，按其差额，贷记本科目。涉及增值税的，还应进行相应的处理。</w:t>
      </w:r>
    </w:p>
    <w:p w14:paraId="143A2C33" w14:textId="77777777" w:rsidR="00D630C4" w:rsidRDefault="00D630C4" w:rsidP="00D630C4">
      <w:pPr>
        <w:pStyle w:val="CM73"/>
        <w:spacing w:line="546" w:lineRule="atLeast"/>
        <w:ind w:right="40" w:firstLine="57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采用实际利率法按期计算确定的利息收入，借记本科目，贷记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科目。四、本科目期末贷方余额，反映企业尚未转入当期收益的未实现融资收益。</w:t>
      </w:r>
    </w:p>
    <w:p w14:paraId="16BE5A3A" w14:textId="77777777" w:rsidR="00D630C4" w:rsidRDefault="00D630C4" w:rsidP="00D630C4">
      <w:pPr>
        <w:pStyle w:val="Default"/>
        <w:spacing w:line="546" w:lineRule="atLeast"/>
        <w:ind w:right="188"/>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1541 </w:t>
      </w:r>
      <w:r>
        <w:rPr>
          <w:rFonts w:ascii="仿宋_GB2312" w:eastAsia="仿宋_GB2312" w:hAnsi="Times New Roman" w:cs="仿宋_GB2312" w:hint="eastAsia"/>
          <w:color w:val="auto"/>
          <w:sz w:val="28"/>
          <w:szCs w:val="28"/>
        </w:rPr>
        <w:t>存出资本保证金</w:t>
      </w:r>
    </w:p>
    <w:p w14:paraId="1F98114E" w14:textId="77777777" w:rsidR="00D630C4" w:rsidRDefault="00D630C4" w:rsidP="00D630C4">
      <w:pPr>
        <w:pStyle w:val="Default"/>
        <w:spacing w:line="546" w:lineRule="atLeast"/>
        <w:ind w:right="188"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一、本科目核算企业（保险）按规定比例缴存的资本保证金。</w:t>
      </w:r>
    </w:p>
    <w:p w14:paraId="27DC9396" w14:textId="77777777" w:rsidR="00D630C4" w:rsidRDefault="00D630C4" w:rsidP="00D630C4">
      <w:pPr>
        <w:pStyle w:val="CM73"/>
        <w:spacing w:line="546" w:lineRule="atLeast"/>
        <w:ind w:leftChars="200" w:left="420" w:right="4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二、企业存出的资本保证金，借记本科目，贷记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等科目。三、本科目期末借方余额，反映企业缴存的资本保证金。</w:t>
      </w:r>
    </w:p>
    <w:p w14:paraId="5416A873" w14:textId="77777777" w:rsidR="00D630C4" w:rsidRDefault="00D630C4" w:rsidP="00D630C4">
      <w:pPr>
        <w:pStyle w:val="CM3"/>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1601 </w:t>
      </w:r>
      <w:r>
        <w:rPr>
          <w:rFonts w:ascii="仿宋_GB2312" w:eastAsia="仿宋_GB2312" w:hAnsi="Times New Roman" w:cs="仿宋_GB2312" w:hint="eastAsia"/>
          <w:sz w:val="28"/>
          <w:szCs w:val="28"/>
        </w:rPr>
        <w:t>固定资产</w:t>
      </w:r>
    </w:p>
    <w:p w14:paraId="04491E25"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一、本科目核算企业持有的固定资产原价。建造承包商的临时设施，以及企业购置计算机硬件所附带的、未单独计价的软件，也通过本科目核算。</w:t>
      </w:r>
    </w:p>
    <w:p w14:paraId="0416272B"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二、本科目可按固定资产类别和项目进行明细核算。融资租入的固定资产，可在本科目设置</w:t>
      </w:r>
      <w:r>
        <w:rPr>
          <w:rFonts w:ascii="Times New Roman" w:eastAsia="仿宋_GB2312" w:hAnsi="Times New Roman"/>
          <w:sz w:val="28"/>
          <w:szCs w:val="28"/>
        </w:rPr>
        <w:t>“</w:t>
      </w:r>
      <w:r>
        <w:rPr>
          <w:rFonts w:ascii="仿宋_GB2312" w:eastAsia="仿宋_GB2312" w:hAnsi="Times New Roman" w:cs="仿宋_GB2312" w:hint="eastAsia"/>
          <w:sz w:val="28"/>
          <w:szCs w:val="28"/>
        </w:rPr>
        <w:t>融资租入固定资产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明细科目。</w:t>
      </w:r>
    </w:p>
    <w:p w14:paraId="60E95929"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三、固定资产的主要账务处理。</w:t>
      </w:r>
    </w:p>
    <w:p w14:paraId="730E711A"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（一）企业购入不需要安装的固定资产，按应计入固定资产成本的金额，借记本科目，贷记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等科目。购入需要安装的固定资产，先记入</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科目，达到预定可使用状态时再转入本科目。</w:t>
      </w:r>
    </w:p>
    <w:p w14:paraId="0C15F24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购入固定资产超过正常信用条件延期支付价款、实质上具有融资性质的，按应付购买价款的现值，借记本科目或</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在建工程</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科目，按应支付的金额，贷记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长期应付款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科目，按其差额，借记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未确认融资费用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r>
        <w:rPr>
          <w:rFonts w:ascii="仿宋_GB2312" w:eastAsia="仿宋_GB2312" w:hAnsi="Times New Roman" w:cs="仿宋_GB2312"/>
          <w:sz w:val="28"/>
          <w:szCs w:val="28"/>
        </w:rPr>
        <w:t xml:space="preserve"> </w:t>
      </w:r>
    </w:p>
    <w:p w14:paraId="40FC3CC6" w14:textId="77777777" w:rsidR="00D630C4" w:rsidRDefault="00D630C4" w:rsidP="00D630C4">
      <w:pPr>
        <w:pStyle w:val="Default"/>
        <w:spacing w:line="546" w:lineRule="atLeast"/>
        <w:ind w:right="40" w:firstLine="498"/>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（二）自行建造达到预定可使用状态的固定资产，借记本科目，贷记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在建工程</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已达到预定可使用状态、但尚未办理竣工决算手续的固定资产，应按估计价值入账，待确定实际成本后再进行调整。（三）融资租入的固定资产，在租赁期开始日，按应计入固定资产成本的金额（租赁开始日租赁资产公允价值与最低租赁付款额现值</w:t>
      </w:r>
      <w:r>
        <w:rPr>
          <w:rFonts w:ascii="仿宋_GB2312" w:eastAsia="仿宋_GB2312" w:hAnsi="Times New Roman" w:cs="仿宋_GB2312" w:hint="eastAsia"/>
          <w:sz w:val="28"/>
          <w:szCs w:val="28"/>
        </w:rPr>
        <w:t>两者中较低者，加上初始直接费用），借记本科目或</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科目，按最低租赁付款额，贷记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科目，按发生的初始直接费用，贷记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未确认融资费用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7B44D8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租赁期届满，企业取得该项固定资产所有权的，应将该项固定资产从</w:t>
      </w:r>
      <w:r>
        <w:rPr>
          <w:rFonts w:ascii="Times New Roman" w:eastAsia="仿宋_GB2312" w:hAnsi="Times New Roman"/>
          <w:sz w:val="28"/>
          <w:szCs w:val="28"/>
        </w:rPr>
        <w:t>“</w:t>
      </w:r>
      <w:r>
        <w:rPr>
          <w:rFonts w:ascii="仿宋_GB2312" w:eastAsia="仿宋_GB2312" w:hAnsi="Times New Roman" w:cs="仿宋_GB2312" w:hint="eastAsia"/>
          <w:sz w:val="28"/>
          <w:szCs w:val="28"/>
        </w:rPr>
        <w:t>融资租入固定资产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明细科目转入有关明细科目。</w:t>
      </w:r>
    </w:p>
    <w:p w14:paraId="4B0DEB9C"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（四）固定资产存在弃置义务的，应在取得固定资产时，按预计弃置费用的现值，借记本科目，贷记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预计负债</w:t>
      </w:r>
      <w:r>
        <w:rPr>
          <w:rFonts w:ascii="Times New Roman" w:eastAsia="仿宋_GB2312" w:hAnsi="Times New Roman"/>
          <w:sz w:val="28"/>
          <w:szCs w:val="28"/>
        </w:rPr>
        <w:t>”</w:t>
      </w:r>
      <w:r>
        <w:rPr>
          <w:rFonts w:ascii="仿宋_GB2312" w:eastAsia="仿宋_GB2312" w:hAnsi="Times New Roman" w:cs="仿宋_GB2312" w:hint="eastAsia"/>
          <w:sz w:val="28"/>
          <w:szCs w:val="28"/>
        </w:rPr>
        <w:t>科目。在该项固定资产的使用寿命内，计算确定各期应负担的利息费用，借记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预计负债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0149DC7"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（五）处置固定资产时，按该项固定资产账面价值，借记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固定资产清理</w:t>
      </w:r>
      <w:r>
        <w:rPr>
          <w:rFonts w:ascii="Times New Roman" w:eastAsia="仿宋_GB2312" w:hAnsi="Times New Roman"/>
          <w:sz w:val="28"/>
          <w:szCs w:val="28"/>
        </w:rPr>
        <w:t>”</w:t>
      </w:r>
      <w:r>
        <w:rPr>
          <w:rFonts w:ascii="仿宋_GB2312" w:eastAsia="仿宋_GB2312" w:hAnsi="Times New Roman" w:cs="仿宋_GB2312" w:hint="eastAsia"/>
          <w:sz w:val="28"/>
          <w:szCs w:val="28"/>
        </w:rPr>
        <w:t>科目，按已提的累计折旧，借记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科目，按其账面原价，贷记本科目。已计提减值准备的，还应同时结转已计提的减值准备。</w:t>
      </w:r>
    </w:p>
    <w:p w14:paraId="61F5E0E3"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四、本科目期末借方余额，反映企业固定资产的原价。</w:t>
      </w:r>
    </w:p>
    <w:p w14:paraId="30C15F93" w14:textId="77777777" w:rsidR="00D630C4" w:rsidRDefault="00D630C4" w:rsidP="00D630C4">
      <w:pPr>
        <w:pStyle w:val="CM18"/>
        <w:ind w:right="143"/>
        <w:rPr>
          <w:rFonts w:ascii="仿宋_GB2312" w:eastAsia="仿宋_GB2312" w:hAnsi="Times New Roman" w:cs="仿宋_GB2312"/>
          <w:sz w:val="28"/>
          <w:szCs w:val="28"/>
        </w:rPr>
      </w:pPr>
      <w:r>
        <w:rPr>
          <w:rFonts w:ascii="Times New Roman" w:eastAsia="仿宋_GB2312" w:hAnsi="Times New Roman"/>
          <w:b/>
          <w:bCs/>
          <w:sz w:val="28"/>
          <w:szCs w:val="28"/>
        </w:rPr>
        <w:t xml:space="preserve">1602 </w:t>
      </w:r>
      <w:r>
        <w:rPr>
          <w:rFonts w:ascii="仿宋_GB2312" w:eastAsia="仿宋_GB2312" w:hAnsi="Times New Roman" w:cs="仿宋_GB2312" w:hint="eastAsia"/>
          <w:sz w:val="28"/>
          <w:szCs w:val="28"/>
        </w:rPr>
        <w:t>累计折旧</w:t>
      </w:r>
    </w:p>
    <w:p w14:paraId="057C4E97"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一、本科目核算企业固定资产的累计折旧。</w:t>
      </w:r>
    </w:p>
    <w:p w14:paraId="0CDFB593"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二、本科目可按固定资产的类别或项目进行明细核算。</w:t>
      </w:r>
    </w:p>
    <w:p w14:paraId="7D457D26" w14:textId="77777777" w:rsidR="00D630C4" w:rsidRDefault="00D630C4" w:rsidP="00D630C4">
      <w:pPr>
        <w:pStyle w:val="CM1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三、按期（月）计提固定资产的折旧，借记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制造费用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w:t>
      </w:r>
    </w:p>
    <w:p w14:paraId="6DDF1636" w14:textId="77777777" w:rsidR="00D630C4" w:rsidRDefault="00D630C4" w:rsidP="00D630C4">
      <w:pPr>
        <w:pStyle w:val="CM73"/>
        <w:spacing w:line="546" w:lineRule="atLeast"/>
        <w:ind w:left="295" w:right="40"/>
        <w:rPr>
          <w:rFonts w:ascii="仿宋_GB2312" w:eastAsia="仿宋_GB2312" w:hAnsi="Times New Roman" w:cs="仿宋_GB2312"/>
          <w:sz w:val="28"/>
          <w:szCs w:val="28"/>
        </w:rPr>
      </w:pPr>
      <w:r>
        <w:rPr>
          <w:rFonts w:ascii="仿宋_GB2312" w:eastAsia="仿宋_GB2312" w:hAnsi="Times New Roman" w:cs="仿宋_GB2312" w:hint="eastAsia"/>
          <w:sz w:val="28"/>
          <w:szCs w:val="28"/>
        </w:rPr>
        <w:t>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研发支出</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等科目，贷记本科目。处置固定资产还应同时结转累计折旧。四、本科目期末贷方余额，反映企业固定资产的累计折旧额。</w:t>
      </w:r>
    </w:p>
    <w:p w14:paraId="2263F5C1" w14:textId="77777777" w:rsidR="00D630C4" w:rsidRDefault="00D630C4" w:rsidP="00D630C4">
      <w:pPr>
        <w:pStyle w:val="Default"/>
        <w:spacing w:line="543" w:lineRule="atLeast"/>
        <w:ind w:right="266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1603 </w:t>
      </w:r>
      <w:r>
        <w:rPr>
          <w:rFonts w:ascii="仿宋_GB2312" w:eastAsia="仿宋_GB2312" w:hAnsi="Times New Roman" w:cs="仿宋_GB2312" w:hint="eastAsia"/>
          <w:color w:val="auto"/>
          <w:sz w:val="28"/>
          <w:szCs w:val="28"/>
        </w:rPr>
        <w:t>固定资产减值准备</w:t>
      </w:r>
    </w:p>
    <w:p w14:paraId="6FD7A262" w14:textId="77777777" w:rsidR="00D630C4" w:rsidRDefault="00D630C4" w:rsidP="00D630C4">
      <w:pPr>
        <w:pStyle w:val="Default"/>
        <w:spacing w:line="543"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一、本科目核算企业固定资产的减值准备。</w:t>
      </w:r>
    </w:p>
    <w:p w14:paraId="3E7D8F6D" w14:textId="77777777" w:rsidR="00D630C4" w:rsidRDefault="00D630C4" w:rsidP="00D630C4">
      <w:pPr>
        <w:pStyle w:val="Default"/>
        <w:spacing w:line="543"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二、资产负债表日，固定资产发生减值的，按应减记的金额，借</w:t>
      </w:r>
      <w:r>
        <w:rPr>
          <w:rFonts w:ascii="仿宋_GB2312" w:eastAsia="仿宋_GB2312" w:hAnsi="Times New Roman" w:cs="仿宋_GB2312" w:hint="eastAsia"/>
          <w:sz w:val="28"/>
          <w:szCs w:val="28"/>
        </w:rPr>
        <w:lastRenderedPageBreak/>
        <w:t>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科目，贷记本科目。处置固定资产还应同时结转减值准备。</w:t>
      </w:r>
    </w:p>
    <w:p w14:paraId="71F40BF5" w14:textId="77777777" w:rsidR="00D630C4" w:rsidRDefault="00D630C4" w:rsidP="00D630C4">
      <w:pPr>
        <w:pStyle w:val="Default"/>
        <w:spacing w:line="543"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三、本科目期末贷方余额，反映企业已计提但尚未转销的固定资产减值准备。</w:t>
      </w:r>
    </w:p>
    <w:p w14:paraId="3A7B9B28" w14:textId="77777777" w:rsidR="00D630C4" w:rsidRDefault="00D630C4" w:rsidP="00D630C4">
      <w:pPr>
        <w:pStyle w:val="CM3"/>
        <w:rPr>
          <w:rFonts w:ascii="Times New Roman" w:eastAsia="仿宋_GB2312" w:hAnsi="Times New Roman"/>
          <w:b/>
          <w:bCs/>
          <w:sz w:val="28"/>
          <w:szCs w:val="28"/>
        </w:rPr>
      </w:pPr>
    </w:p>
    <w:p w14:paraId="32FC2FC3" w14:textId="77777777" w:rsidR="00D630C4" w:rsidRDefault="00D630C4" w:rsidP="00D630C4">
      <w:pPr>
        <w:pStyle w:val="CM3"/>
        <w:rPr>
          <w:rFonts w:ascii="仿宋_GB2312" w:eastAsia="仿宋_GB2312" w:hAnsi="Times New Roman" w:cs="仿宋_GB2312"/>
          <w:sz w:val="28"/>
          <w:szCs w:val="28"/>
        </w:rPr>
      </w:pPr>
      <w:r>
        <w:rPr>
          <w:rFonts w:ascii="Times New Roman" w:eastAsia="仿宋_GB2312" w:hAnsi="Times New Roman"/>
          <w:b/>
          <w:bCs/>
          <w:sz w:val="28"/>
          <w:szCs w:val="28"/>
        </w:rPr>
        <w:t xml:space="preserve">1604 </w:t>
      </w:r>
      <w:r>
        <w:rPr>
          <w:rFonts w:ascii="仿宋_GB2312" w:eastAsia="仿宋_GB2312" w:hAnsi="Times New Roman" w:cs="仿宋_GB2312" w:hint="eastAsia"/>
          <w:sz w:val="28"/>
          <w:szCs w:val="28"/>
        </w:rPr>
        <w:t>在建工程</w:t>
      </w:r>
    </w:p>
    <w:p w14:paraId="0FC12AB4"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一、本科目核算企业基建、更新改造等在建工程发生的支出。在建工程发生减值的，可以单独设置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固定资产减值准备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科目进行处理。企业（石油天然气开采）发生的油气勘探支出和油气开发支出，可以单独设置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油气勘探支出</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油气开发支出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08FED39"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w:t>
      </w:r>
      <w:r>
        <w:rPr>
          <w:rFonts w:ascii="Times New Roman" w:eastAsia="仿宋_GB2312" w:hAnsi="Times New Roman"/>
          <w:sz w:val="28"/>
          <w:szCs w:val="28"/>
        </w:rPr>
        <w:t>“</w:t>
      </w:r>
      <w:r>
        <w:rPr>
          <w:rFonts w:ascii="仿宋_GB2312" w:eastAsia="仿宋_GB2312" w:hAnsi="Times New Roman" w:cs="仿宋_GB2312" w:hint="eastAsia"/>
          <w:sz w:val="28"/>
          <w:szCs w:val="28"/>
        </w:rPr>
        <w:t>建筑工程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安装工程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在安装设备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待摊支出</w:t>
      </w:r>
      <w:r>
        <w:rPr>
          <w:rFonts w:ascii="Times New Roman" w:eastAsia="仿宋_GB2312" w:hAnsi="Times New Roman"/>
          <w:sz w:val="28"/>
          <w:szCs w:val="28"/>
        </w:rPr>
        <w:t>”</w:t>
      </w:r>
      <w:r>
        <w:rPr>
          <w:rFonts w:ascii="仿宋_GB2312" w:eastAsia="仿宋_GB2312" w:hAnsi="Times New Roman" w:cs="仿宋_GB2312" w:hint="eastAsia"/>
          <w:sz w:val="28"/>
          <w:szCs w:val="28"/>
        </w:rPr>
        <w:t>以及单项工程等进行明细核算。</w:t>
      </w:r>
    </w:p>
    <w:p w14:paraId="2C8C4F2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三、企业在建工程发生的管理费、征地费、可行性研究费、临时设施费、公证费、监理费及应负担的税费等，借记本科目（待摊支出），</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1DC5E596"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四、企业发包的在建工程，应按合理估计的发包工程进度和合同规定结算的进度款，借记本科目，贷记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预付账款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等科目。将设备交付建造承包商建造安装时，借记本科目（在安装设备），</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工程物资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C057CF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工程完成时，按合同规定补付的工程款，借记本科目，贷记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9985DF9" w14:textId="77777777" w:rsidR="00D630C4" w:rsidRDefault="00D630C4" w:rsidP="00D630C4">
      <w:pPr>
        <w:pStyle w:val="CM9"/>
        <w:ind w:leftChars="100" w:left="21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五、企业自营在建工程的主要账务处理。</w:t>
      </w:r>
    </w:p>
    <w:p w14:paraId="3559DED7" w14:textId="77777777" w:rsidR="00D630C4" w:rsidRDefault="00D630C4" w:rsidP="00D630C4">
      <w:pPr>
        <w:pStyle w:val="CM9"/>
        <w:ind w:leftChars="100" w:left="21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（一）自营的在建工程领用工程物资、原材料或库存商品的，借记本科目，贷记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工程物资</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等科目。采用计划成本核算的，应同时结转应分摊的成本差异。涉及增值税的，还应进行相应的处理。</w:t>
      </w:r>
    </w:p>
    <w:p w14:paraId="53C6BF96" w14:textId="77777777" w:rsidR="00D630C4" w:rsidRDefault="00D630C4" w:rsidP="00D630C4">
      <w:pPr>
        <w:pStyle w:val="CM8"/>
        <w:ind w:right="138" w:firstLineChars="300" w:firstLine="84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在建工程应负担的职工薪酬，借记本科目，贷记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科目。辅助生产部门为工程提供的水、电、设备安装、修理、运输等劳务，借记本科目，贷记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辅助生产成本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AB0C366"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在建工程发生的借款费用满足借款费用资本化条件的，借记本科目，贷记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长期借款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应付利息</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3A44D4BB"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（二）在建工程进行负荷联合试车发生的费用，借记本科目（待摊支出），贷记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等科目；试车形成的产品或副产品对外销售或转为库存商品的，借记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等科目，贷记本科目（待摊支出）。</w:t>
      </w:r>
    </w:p>
    <w:p w14:paraId="7DA1D801" w14:textId="77777777" w:rsidR="00D630C4" w:rsidRDefault="00D630C4" w:rsidP="00D630C4">
      <w:pPr>
        <w:pStyle w:val="CM2"/>
        <w:ind w:firstLine="560"/>
        <w:rPr>
          <w:rFonts w:ascii="仿宋_GB2312" w:eastAsia="仿宋_GB2312" w:hAnsi="Courier New" w:cs="仿宋_GB2312"/>
          <w:sz w:val="28"/>
          <w:szCs w:val="28"/>
        </w:rPr>
      </w:pPr>
      <w:r>
        <w:rPr>
          <w:rFonts w:ascii="仿宋_GB2312" w:eastAsia="仿宋_GB2312" w:hAnsi="Times New Roman" w:cs="仿宋_GB2312" w:hint="eastAsia"/>
          <w:sz w:val="28"/>
          <w:szCs w:val="28"/>
        </w:rPr>
        <w:t>（三）在建工程达到预定可使用状态时，应计算分配待摊支出，借记本科目（</w:t>
      </w:r>
      <w:r>
        <w:rPr>
          <w:rFonts w:ascii="Courier New" w:eastAsia="仿宋_GB2312" w:hAnsi="Courier New" w:cs="Courier New"/>
          <w:sz w:val="28"/>
          <w:szCs w:val="28"/>
        </w:rPr>
        <w:t>××</w:t>
      </w:r>
      <w:r>
        <w:rPr>
          <w:rFonts w:ascii="仿宋_GB2312" w:eastAsia="仿宋_GB2312" w:hAnsi="Courier New" w:cs="仿宋_GB2312" w:hint="eastAsia"/>
          <w:sz w:val="28"/>
          <w:szCs w:val="28"/>
        </w:rPr>
        <w:t>工程），贷记本科目（待摊支出）；结转在建工程成本，借记</w:t>
      </w:r>
      <w:r>
        <w:rPr>
          <w:rFonts w:ascii="仿宋_GB2312" w:eastAsia="仿宋_GB2312" w:hAnsi="Courier New" w:cs="仿宋_GB2312"/>
          <w:sz w:val="28"/>
          <w:szCs w:val="28"/>
        </w:rPr>
        <w:t>“</w:t>
      </w:r>
      <w:r>
        <w:rPr>
          <w:rFonts w:ascii="仿宋_GB2312" w:eastAsia="仿宋_GB2312" w:hAnsi="Courier New" w:cs="仿宋_GB2312" w:hint="eastAsia"/>
          <w:sz w:val="28"/>
          <w:szCs w:val="28"/>
        </w:rPr>
        <w:t>固定资产</w:t>
      </w:r>
      <w:r>
        <w:rPr>
          <w:rFonts w:ascii="仿宋_GB2312" w:eastAsia="仿宋_GB2312" w:hAnsi="Courier New" w:cs="仿宋_GB2312"/>
          <w:sz w:val="28"/>
          <w:szCs w:val="28"/>
        </w:rPr>
        <w:t>”</w:t>
      </w:r>
      <w:r>
        <w:rPr>
          <w:rFonts w:ascii="仿宋_GB2312" w:eastAsia="仿宋_GB2312" w:hAnsi="Courier New" w:cs="仿宋_GB2312" w:hint="eastAsia"/>
          <w:sz w:val="28"/>
          <w:szCs w:val="28"/>
        </w:rPr>
        <w:t>等科目，贷记本科目（</w:t>
      </w:r>
      <w:r>
        <w:rPr>
          <w:rFonts w:ascii="Courier New" w:eastAsia="仿宋_GB2312" w:hAnsi="Courier New" w:cs="Courier New"/>
          <w:sz w:val="28"/>
          <w:szCs w:val="28"/>
        </w:rPr>
        <w:t>××</w:t>
      </w:r>
      <w:r>
        <w:rPr>
          <w:rFonts w:ascii="仿宋_GB2312" w:eastAsia="仿宋_GB2312" w:hAnsi="Courier New" w:cs="仿宋_GB2312" w:hint="eastAsia"/>
          <w:sz w:val="28"/>
          <w:szCs w:val="28"/>
        </w:rPr>
        <w:t>工程）。</w:t>
      </w:r>
    </w:p>
    <w:p w14:paraId="44E8A8E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Courier New" w:cs="仿宋_GB2312" w:hint="eastAsia"/>
          <w:sz w:val="28"/>
          <w:szCs w:val="28"/>
        </w:rPr>
        <w:t>在建工程完工已领出的剩余物资应办理退库手续，借记</w:t>
      </w:r>
      <w:r>
        <w:rPr>
          <w:rFonts w:ascii="Times New Roman" w:eastAsia="仿宋_GB2312" w:hAnsi="Times New Roman"/>
          <w:sz w:val="28"/>
          <w:szCs w:val="28"/>
        </w:rPr>
        <w:t>“</w:t>
      </w:r>
      <w:r>
        <w:rPr>
          <w:rFonts w:ascii="仿宋_GB2312" w:eastAsia="仿宋_GB2312" w:hAnsi="Times New Roman" w:cs="仿宋_GB2312" w:hint="eastAsia"/>
          <w:sz w:val="28"/>
          <w:szCs w:val="28"/>
        </w:rPr>
        <w:t>工程物资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CA4A09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（四）建设期间发生的工程物资盘亏、报废及毁损净损失，借记本科目，贷记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工程物资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科目；盘盈的工程物资或处置净收益做相反</w:t>
      </w:r>
      <w:r>
        <w:rPr>
          <w:rFonts w:ascii="仿宋_GB2312" w:eastAsia="仿宋_GB2312" w:hAnsi="Times New Roman" w:cs="仿宋_GB2312" w:hint="eastAsia"/>
          <w:sz w:val="28"/>
          <w:szCs w:val="28"/>
        </w:rPr>
        <w:lastRenderedPageBreak/>
        <w:t>的会计分录。</w:t>
      </w:r>
    </w:p>
    <w:p w14:paraId="42B10E81"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由于自然灾害等原因造成的在建工程报废或毁损，减去残料价值和过失人或保险公司等赔款后的净损失，借记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非常损失</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科目，贷记本科目（建筑工程、安装工程等）。</w:t>
      </w:r>
    </w:p>
    <w:p w14:paraId="1D86424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六、企业（石油天然气开采）在油气勘探过程中发生的各项钻井勘探支出，借记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油气勘探支出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等科目。属于发现探明经济可采储量的钻井勘探支出，借记</w:t>
      </w:r>
      <w:r>
        <w:rPr>
          <w:rFonts w:ascii="Times New Roman" w:hAnsi="Times New Roman"/>
          <w:sz w:val="28"/>
          <w:szCs w:val="28"/>
        </w:rPr>
        <w:t>“</w:t>
      </w:r>
      <w:r>
        <w:rPr>
          <w:rFonts w:ascii="仿宋_GB2312" w:eastAsia="仿宋_GB2312" w:hAnsi="Times New Roman" w:cs="仿宋_GB2312" w:hint="eastAsia"/>
          <w:sz w:val="28"/>
          <w:szCs w:val="28"/>
        </w:rPr>
        <w:t>油气资产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油气勘探支出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科目；属于未发现探明经济可采储量的钻井勘探支出，借记</w:t>
      </w:r>
      <w:r>
        <w:rPr>
          <w:rFonts w:ascii="Times New Roman" w:eastAsia="仿宋_GB2312" w:hAnsi="Times New Roman"/>
          <w:sz w:val="28"/>
          <w:szCs w:val="28"/>
        </w:rPr>
        <w:t>“</w:t>
      </w:r>
      <w:r>
        <w:rPr>
          <w:rFonts w:ascii="仿宋_GB2312" w:eastAsia="仿宋_GB2312" w:hAnsi="Times New Roman" w:cs="仿宋_GB2312" w:hint="eastAsia"/>
          <w:sz w:val="28"/>
          <w:szCs w:val="28"/>
        </w:rPr>
        <w:t>勘探费用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油气勘探支出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42AA8333"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企业（石油天然气开采）在油气开发过程中发生的各项相关支出，借记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油气开发支出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应付职工薪酬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等科目。开发工程项目达到预定可使用状态时，借记</w:t>
      </w:r>
      <w:r>
        <w:rPr>
          <w:rFonts w:ascii="Times New Roman" w:eastAsia="仿宋_GB2312" w:hAnsi="Times New Roman"/>
          <w:sz w:val="28"/>
          <w:szCs w:val="28"/>
        </w:rPr>
        <w:t>“</w:t>
      </w:r>
      <w:r>
        <w:rPr>
          <w:rFonts w:ascii="仿宋_GB2312" w:eastAsia="仿宋_GB2312" w:hAnsi="Times New Roman" w:cs="仿宋_GB2312" w:hint="eastAsia"/>
          <w:sz w:val="28"/>
          <w:szCs w:val="28"/>
        </w:rPr>
        <w:t>油气资产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油气开发支出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27825B4"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七、本科目的期末借方余额，反映企业尚未达到预定可使用状态的在建工程的成本。</w:t>
      </w:r>
    </w:p>
    <w:p w14:paraId="764B2CA0" w14:textId="77777777" w:rsidR="00D630C4" w:rsidRDefault="00D630C4" w:rsidP="00D630C4">
      <w:pPr>
        <w:pStyle w:val="Default"/>
        <w:spacing w:line="546" w:lineRule="atLeast"/>
        <w:ind w:right="2218"/>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1605 </w:t>
      </w:r>
      <w:r>
        <w:rPr>
          <w:rFonts w:ascii="仿宋_GB2312" w:eastAsia="仿宋_GB2312" w:hAnsi="Times New Roman" w:cs="仿宋_GB2312" w:hint="eastAsia"/>
          <w:color w:val="auto"/>
          <w:sz w:val="28"/>
          <w:szCs w:val="28"/>
        </w:rPr>
        <w:t>工程物资</w:t>
      </w:r>
    </w:p>
    <w:p w14:paraId="3CFBE5D8" w14:textId="77777777" w:rsidR="00D630C4" w:rsidRDefault="00D630C4" w:rsidP="00D630C4">
      <w:pPr>
        <w:pStyle w:val="Default"/>
        <w:tabs>
          <w:tab w:val="left" w:pos="6379"/>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一、本科目核算企业为在建工程准备的各种物资的成本，包括工程用材料、尚未安装的设备以及为生产准备的工器具等。</w:t>
      </w:r>
    </w:p>
    <w:p w14:paraId="26AD62B7" w14:textId="77777777" w:rsidR="00D630C4" w:rsidRDefault="00D630C4" w:rsidP="00D630C4">
      <w:pPr>
        <w:pStyle w:val="Default"/>
        <w:tabs>
          <w:tab w:val="left" w:pos="6379"/>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专用材料</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专用设备</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工器具</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等进行明细核算。工程物资发生减值的，可以单独设置</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工程物资减值准备</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r>
        <w:rPr>
          <w:rFonts w:ascii="仿宋_GB2312" w:eastAsia="仿宋_GB2312" w:hAnsi="Times New Roman" w:cs="仿宋_GB2312" w:hint="eastAsia"/>
          <w:color w:val="auto"/>
          <w:sz w:val="28"/>
          <w:szCs w:val="28"/>
        </w:rPr>
        <w:lastRenderedPageBreak/>
        <w:t>比照</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固定资产减值准备</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科目进行处理。</w:t>
      </w:r>
    </w:p>
    <w:p w14:paraId="64B0D8C0" w14:textId="77777777" w:rsidR="00D630C4" w:rsidRDefault="00D630C4" w:rsidP="00D630C4">
      <w:pPr>
        <w:pStyle w:val="Default"/>
        <w:tabs>
          <w:tab w:val="left" w:pos="6379"/>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三、工程物资的主要账务处理。</w:t>
      </w:r>
    </w:p>
    <w:p w14:paraId="6F782885" w14:textId="77777777" w:rsidR="00D630C4" w:rsidRDefault="00D630C4" w:rsidP="00D630C4">
      <w:pPr>
        <w:pStyle w:val="Default"/>
        <w:tabs>
          <w:tab w:val="left" w:pos="6379"/>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（一）购入为工程准备的物资，借记本科目，贷记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其他应付款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6FB7704C"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（二）领用工程物资，借记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科目，贷记本科目。工程完工后将领出的剩余物资退库时做相反的会计分录。已计提减值准备的，还应同时结转减值准备。</w:t>
      </w:r>
    </w:p>
    <w:p w14:paraId="6B5C08B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（三）工程完工后剩余的工程物资转作本企业存货的，借记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44C77773" w14:textId="77777777" w:rsidR="00D630C4" w:rsidRDefault="00D630C4" w:rsidP="00D630C4">
      <w:pPr>
        <w:pStyle w:val="CM78"/>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四、本科目期末借方余额，反映企业为在建工程准备的各种物资的成本。</w:t>
      </w:r>
    </w:p>
    <w:p w14:paraId="333E5351" w14:textId="77777777" w:rsidR="00D630C4" w:rsidRDefault="00D630C4" w:rsidP="00D630C4">
      <w:pPr>
        <w:pStyle w:val="CM1"/>
        <w:rPr>
          <w:rFonts w:ascii="仿宋_GB2312" w:eastAsia="仿宋_GB2312" w:hAnsi="Times New Roman" w:cs="仿宋_GB2312"/>
          <w:sz w:val="28"/>
          <w:szCs w:val="28"/>
        </w:rPr>
      </w:pPr>
      <w:r>
        <w:rPr>
          <w:rFonts w:ascii="Times New Roman" w:eastAsia="仿宋_GB2312" w:hAnsi="Times New Roman"/>
          <w:b/>
          <w:bCs/>
          <w:sz w:val="28"/>
          <w:szCs w:val="28"/>
        </w:rPr>
        <w:t xml:space="preserve">1606 </w:t>
      </w:r>
      <w:r>
        <w:rPr>
          <w:rFonts w:ascii="仿宋_GB2312" w:eastAsia="仿宋_GB2312" w:hAnsi="Times New Roman" w:cs="仿宋_GB2312" w:hint="eastAsia"/>
          <w:sz w:val="28"/>
          <w:szCs w:val="28"/>
        </w:rPr>
        <w:t>固定资产清理</w:t>
      </w:r>
    </w:p>
    <w:p w14:paraId="790F0A69"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一、本科目核算企业因出售、报废、毁损、对外投资、非货币性资产交换、债务重组等原因转出的固定资产价值以及在清理过程中发生的费用等。</w:t>
      </w:r>
    </w:p>
    <w:p w14:paraId="510F62F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二、本科目可按被清理的固定资产项目进行明细核算。</w:t>
      </w:r>
    </w:p>
    <w:p w14:paraId="5655860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三、固定资产清理的主要账务处理。</w:t>
      </w:r>
    </w:p>
    <w:p w14:paraId="2A04DAD9"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（一）企业因出售、报废、毁损、对外投资、非货币性资产交换、债务重组等转出的固定资产，按该项固定资产的账面价值，借记本科目，按已计提的累计折旧，借记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科目，按其账面原价，贷记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174C71CE"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（二）清理过程中应支付的相关税费及其他费用，借记本科目，贷记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应交营业税</w:t>
      </w:r>
      <w:r>
        <w:rPr>
          <w:rFonts w:ascii="Times New Roman" w:eastAsia="仿宋_GB2312" w:hAnsi="Times New Roman"/>
          <w:sz w:val="28"/>
          <w:szCs w:val="28"/>
        </w:rPr>
        <w:t>”</w:t>
      </w:r>
      <w:r>
        <w:rPr>
          <w:rFonts w:ascii="仿宋_GB2312" w:eastAsia="仿宋_GB2312" w:hAnsi="Times New Roman" w:cs="仿宋_GB2312" w:hint="eastAsia"/>
          <w:sz w:val="28"/>
          <w:szCs w:val="28"/>
        </w:rPr>
        <w:t>等科目。收回出售固定资产的价款、残料价值和变价收入等，借记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等科目，贷记本科目。应由保险公司或过失人赔偿的损失，借记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6AB69D7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（三）固定资产清理完成后，属于生产经营期间正常的处理损失，借记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处置非流动资产损失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科目，贷记本科目；属于自然灾害等非正常原因造成的损失，借记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非常损失</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科目，贷记本科目。如为贷方余额，借记本科目，贷记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7AC2B4F7"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四、本科目期末借方余额，反映企业尚未清理完毕的固定资产清理净损失。</w:t>
      </w:r>
    </w:p>
    <w:p w14:paraId="1AA55B6C" w14:textId="77777777" w:rsidR="00D630C4" w:rsidRDefault="00D630C4" w:rsidP="00D630C4">
      <w:pPr>
        <w:pStyle w:val="CM75"/>
        <w:spacing w:line="546" w:lineRule="atLeast"/>
        <w:rPr>
          <w:rFonts w:ascii="仿宋_GB2312" w:eastAsia="仿宋_GB2312" w:hAnsi="Times New Roman" w:cs="仿宋_GB2312"/>
          <w:sz w:val="28"/>
          <w:szCs w:val="28"/>
        </w:rPr>
      </w:pPr>
      <w:r>
        <w:rPr>
          <w:rFonts w:ascii="Times New Roman" w:eastAsia="仿宋_GB2312" w:hAnsi="Times New Roman"/>
          <w:b/>
          <w:bCs/>
          <w:sz w:val="28"/>
          <w:szCs w:val="28"/>
        </w:rPr>
        <w:t xml:space="preserve">1611  </w:t>
      </w:r>
      <w:r>
        <w:rPr>
          <w:rFonts w:ascii="仿宋_GB2312" w:eastAsia="仿宋_GB2312" w:hAnsi="Times New Roman" w:cs="仿宋_GB2312" w:hint="eastAsia"/>
          <w:sz w:val="28"/>
          <w:szCs w:val="28"/>
        </w:rPr>
        <w:t>未担保余值</w:t>
      </w:r>
    </w:p>
    <w:p w14:paraId="54B1031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一、本科目核算企业（租赁）采用融资租赁方式租出资产的未担保余值。</w:t>
      </w:r>
    </w:p>
    <w:p w14:paraId="25D086C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二、本科目可按承租人、租赁资产类别和项目进行明细核算。</w:t>
      </w:r>
    </w:p>
    <w:p w14:paraId="4BCFA96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未担保余值发生减值的，可以单独设置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未担保余值减值准备</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78A2D33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三、未担保余值的主要账务处理。</w:t>
      </w:r>
    </w:p>
    <w:p w14:paraId="198D0BE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（一）出租人融资租赁产生的应收租赁款，在租赁期开始日，应按租赁开始日最低租赁收款额与初始直接费用之和，借记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w:t>
      </w:r>
      <w:r>
        <w:rPr>
          <w:rFonts w:ascii="仿宋_GB2312" w:eastAsia="仿宋_GB2312" w:hAnsi="Times New Roman" w:cs="仿宋_GB2312" w:hint="eastAsia"/>
          <w:sz w:val="28"/>
          <w:szCs w:val="28"/>
        </w:rPr>
        <w:lastRenderedPageBreak/>
        <w:t>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科目，按未担保余值，借记本科目，按融资租赁资产的公允价值（最低租赁收款额和未担保余值的现值之和），贷记</w:t>
      </w:r>
      <w:r>
        <w:rPr>
          <w:rFonts w:ascii="Times New Roman" w:eastAsia="仿宋_GB2312" w:hAnsi="Times New Roman"/>
          <w:sz w:val="28"/>
          <w:szCs w:val="28"/>
        </w:rPr>
        <w:t>“</w:t>
      </w:r>
      <w:r>
        <w:rPr>
          <w:rFonts w:ascii="仿宋_GB2312" w:eastAsia="仿宋_GB2312" w:hAnsi="Times New Roman" w:cs="仿宋_GB2312" w:hint="eastAsia"/>
          <w:sz w:val="28"/>
          <w:szCs w:val="28"/>
        </w:rPr>
        <w:t>融资租赁资产</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科目，按发生的初始直接费用，贷记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未实现融资收益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30E04DD"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（二）租赁期限届满，承租人行使了优惠购买选择权的，企业（租赁）按收到承租人支付的购买价款，借记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科目。存在未担保余值的，按未担保余值，借记</w:t>
      </w:r>
      <w:r>
        <w:rPr>
          <w:rFonts w:ascii="Times New Roman" w:eastAsia="仿宋_GB2312" w:hAnsi="Times New Roman"/>
          <w:sz w:val="28"/>
          <w:szCs w:val="28"/>
        </w:rPr>
        <w:t>“</w:t>
      </w:r>
      <w:r>
        <w:rPr>
          <w:rFonts w:ascii="仿宋_GB2312" w:eastAsia="仿宋_GB2312" w:hAnsi="Times New Roman" w:cs="仿宋_GB2312" w:hint="eastAsia"/>
          <w:sz w:val="28"/>
          <w:szCs w:val="28"/>
        </w:rPr>
        <w:t>租赁收入</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科目，贷记本科目。</w:t>
      </w:r>
    </w:p>
    <w:p w14:paraId="5BDD86B9"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承租人未行使优惠购买选择权，企业（租赁）收到承租人交还租赁资产，存在未担保余值的，按未担保余值，借记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融资租赁资产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科目，贷记本科目；存在担保余值的，按担保余值，借记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融资租赁资产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长期应收款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5C864B62" w14:textId="77777777" w:rsidR="00D630C4" w:rsidRDefault="00D630C4" w:rsidP="00D630C4">
      <w:pPr>
        <w:pStyle w:val="CM78"/>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（三）资产负债表日，确定未担保余值发生减值的，按应减记的金额，借记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未担保余值减值准备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科目。未担保余值价值以后又得以恢复的，应在原已计提的未担保余值减值准备金额内，按恢复增加的金额，借记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未担保余值减值准备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资产减值损失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科目。四、本科目期末借方余额，反映企业融资租出资产的未担保余值。</w:t>
      </w:r>
    </w:p>
    <w:p w14:paraId="2706E930" w14:textId="77777777" w:rsidR="00D630C4" w:rsidRDefault="00D630C4" w:rsidP="00D630C4">
      <w:pPr>
        <w:pStyle w:val="CM1"/>
        <w:rPr>
          <w:rFonts w:ascii="仿宋_GB2312" w:eastAsia="仿宋_GB2312" w:hAnsi="Times New Roman" w:cs="仿宋_GB2312"/>
          <w:sz w:val="28"/>
          <w:szCs w:val="28"/>
        </w:rPr>
      </w:pPr>
      <w:r>
        <w:rPr>
          <w:rFonts w:ascii="Times New Roman" w:eastAsia="仿宋_GB2312" w:hAnsi="Times New Roman"/>
          <w:b/>
          <w:bCs/>
          <w:sz w:val="28"/>
          <w:szCs w:val="28"/>
        </w:rPr>
        <w:t xml:space="preserve">1621 </w:t>
      </w:r>
      <w:r>
        <w:rPr>
          <w:rFonts w:ascii="仿宋_GB2312" w:eastAsia="仿宋_GB2312" w:hAnsi="Times New Roman" w:cs="仿宋_GB2312" w:hint="eastAsia"/>
          <w:sz w:val="28"/>
          <w:szCs w:val="28"/>
        </w:rPr>
        <w:t>生产性生物资产</w:t>
      </w:r>
    </w:p>
    <w:p w14:paraId="4F2C9035"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一、本科目核算企业（农业）持有的生产性生物资产原价。</w:t>
      </w:r>
    </w:p>
    <w:p w14:paraId="7BA51CD0"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w:t>
      </w:r>
      <w:r>
        <w:rPr>
          <w:rFonts w:ascii="Times New Roman" w:eastAsia="仿宋_GB2312" w:hAnsi="Times New Roman"/>
          <w:sz w:val="28"/>
          <w:szCs w:val="28"/>
        </w:rPr>
        <w:t>“</w:t>
      </w:r>
      <w:r>
        <w:rPr>
          <w:rFonts w:ascii="仿宋_GB2312" w:eastAsia="仿宋_GB2312" w:hAnsi="Times New Roman" w:cs="仿宋_GB2312" w:hint="eastAsia"/>
          <w:sz w:val="28"/>
          <w:szCs w:val="28"/>
        </w:rPr>
        <w:t>未成熟生产性生物资产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和</w:t>
      </w:r>
      <w:r>
        <w:rPr>
          <w:rFonts w:ascii="Times New Roman" w:eastAsia="仿宋_GB2312" w:hAnsi="Times New Roman"/>
          <w:sz w:val="28"/>
          <w:szCs w:val="28"/>
        </w:rPr>
        <w:t>“</w:t>
      </w:r>
      <w:r>
        <w:rPr>
          <w:rFonts w:ascii="仿宋_GB2312" w:eastAsia="仿宋_GB2312" w:hAnsi="Times New Roman" w:cs="仿宋_GB2312" w:hint="eastAsia"/>
          <w:sz w:val="28"/>
          <w:szCs w:val="28"/>
        </w:rPr>
        <w:t>成熟生产性生物资</w:t>
      </w:r>
      <w:r>
        <w:rPr>
          <w:rFonts w:ascii="仿宋_GB2312" w:eastAsia="仿宋_GB2312" w:hAnsi="Times New Roman" w:cs="仿宋_GB2312" w:hint="eastAsia"/>
          <w:sz w:val="28"/>
          <w:szCs w:val="28"/>
        </w:rPr>
        <w:lastRenderedPageBreak/>
        <w:t>产</w:t>
      </w:r>
      <w:r>
        <w:rPr>
          <w:rFonts w:ascii="Times New Roman" w:eastAsia="仿宋_GB2312" w:hAnsi="Times New Roman"/>
          <w:sz w:val="28"/>
          <w:szCs w:val="28"/>
        </w:rPr>
        <w:t>”</w:t>
      </w:r>
      <w:r>
        <w:rPr>
          <w:rFonts w:ascii="仿宋_GB2312" w:eastAsia="仿宋_GB2312" w:hAnsi="Times New Roman" w:cs="仿宋_GB2312" w:hint="eastAsia"/>
          <w:sz w:val="28"/>
          <w:szCs w:val="28"/>
        </w:rPr>
        <w:t>，分别生物资产的种类、群别、所属部门等进行明细核算。</w:t>
      </w:r>
    </w:p>
    <w:p w14:paraId="084F566B"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生产性生物资产发生减值的，可以单独设置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固定资产减值准备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科目进行处理。</w:t>
      </w:r>
    </w:p>
    <w:p w14:paraId="66B30E47"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三、生产性生物资产的主要账务处理。</w:t>
      </w:r>
    </w:p>
    <w:p w14:paraId="7E37979A"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（一）企业外购的生产性生物资产，按应计入生产性生物资产成本的金额，借记本科目，贷记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35BFD8AC"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（二）自行营造的林木类生产性生物资产、自行繁殖的产畜和役畜，应按达到预定生产经营目的前发生的必要支出，借记本科目（未成熟生产性生物资产），贷记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1BE7FD5A"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（三）天然起源的生产性生物资产，应按名义金额，借记本科目，贷记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DEF2862"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（四）育肥畜转为产畜或役畜，应按其账面余额，借记本科目，贷记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消耗性生物资产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科目。已计提跌价准备的，还应同时结转跌价准备。</w:t>
      </w:r>
    </w:p>
    <w:p w14:paraId="4AED0467"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产畜或役畜淘汰转为育肥畜，按转群时的账面价值，借记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消耗性生物资产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科目，按已计提的累计折旧，借记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科目，按其账面余额，贷记本科目。已计提减值准备的，还应同时结转减值准备。</w:t>
      </w:r>
    </w:p>
    <w:p w14:paraId="01CEC43B"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（五）未成熟生产性生物资产达到预定生产经营目的时，按其账面余额，借记本科目（成熟生产性生物资产），贷记本科目（未成熟生产性生物资产）。已计提减值准备的，还应同时结转减值准备。</w:t>
      </w:r>
    </w:p>
    <w:p w14:paraId="744AB29E" w14:textId="77777777" w:rsidR="00D630C4" w:rsidRDefault="00D630C4" w:rsidP="00D630C4">
      <w:pPr>
        <w:pStyle w:val="Default"/>
        <w:spacing w:line="546" w:lineRule="atLeast"/>
        <w:ind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lastRenderedPageBreak/>
        <w:t>（六）择伐、间伐或抚育更新等生产性采伐而补植林木类生产性生物资产发生的后续支出，借记本科目，贷记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等科目。生产性生物资产达到预定生产经营目的后发生的管护、饲养费用等后续支出，借记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管理费用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70B35787"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（七）处置生产性生物资产，应按实际收到的金额，借记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等科目，按已计提的累计折旧，借记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生产性生物资产累计折旧</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科目，按其账面余额，贷记本科目，按其差额，借记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处置非流动资产损失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科目或贷记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处置非流动资产利得</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2B31B7D3" w14:textId="77777777" w:rsidR="00D630C4" w:rsidRDefault="00D630C4" w:rsidP="00D630C4">
      <w:pPr>
        <w:pStyle w:val="CM73"/>
        <w:spacing w:line="546" w:lineRule="atLeast"/>
        <w:ind w:left="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四、本科目期末借方余额，反映企业生产性生物资产的原价。</w:t>
      </w:r>
    </w:p>
    <w:p w14:paraId="2D65F524" w14:textId="77777777" w:rsidR="00D630C4" w:rsidRDefault="00D630C4" w:rsidP="00D630C4">
      <w:pPr>
        <w:pStyle w:val="Default"/>
        <w:spacing w:line="546" w:lineRule="atLeast"/>
        <w:ind w:right="12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1622 </w:t>
      </w:r>
      <w:r>
        <w:rPr>
          <w:rFonts w:ascii="仿宋_GB2312" w:eastAsia="仿宋_GB2312" w:hAnsi="Times New Roman" w:cs="仿宋_GB2312" w:hint="eastAsia"/>
          <w:color w:val="auto"/>
          <w:sz w:val="28"/>
          <w:szCs w:val="28"/>
        </w:rPr>
        <w:t>生产性生物资产累计折旧</w:t>
      </w:r>
    </w:p>
    <w:p w14:paraId="3B7A379A" w14:textId="77777777" w:rsidR="00D630C4" w:rsidRDefault="00D630C4" w:rsidP="00D630C4">
      <w:pPr>
        <w:pStyle w:val="Default"/>
        <w:spacing w:line="546" w:lineRule="atLeast"/>
        <w:ind w:right="125"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一、本科目核算企业（农业）成熟生产性生物资产的累计折旧。</w:t>
      </w:r>
    </w:p>
    <w:p w14:paraId="5AB3DA66" w14:textId="77777777" w:rsidR="00D630C4" w:rsidRDefault="00D630C4" w:rsidP="00D630C4">
      <w:pPr>
        <w:pStyle w:val="Default"/>
        <w:spacing w:line="546" w:lineRule="atLeast"/>
        <w:ind w:right="125"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二、本科目可按生产性生物资产的种类、群别、所属部门等进行</w:t>
      </w:r>
      <w:r>
        <w:rPr>
          <w:rFonts w:ascii="仿宋_GB2312" w:eastAsia="仿宋_GB2312" w:hAnsi="Times New Roman" w:cs="仿宋_GB2312" w:hint="eastAsia"/>
          <w:sz w:val="28"/>
          <w:szCs w:val="28"/>
        </w:rPr>
        <w:t>明细核算。</w:t>
      </w:r>
    </w:p>
    <w:p w14:paraId="40CE5186"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三、企业按期（月）计提成熟生产性生物资产的折旧，借记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农业生产成本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等科目，贷记本科目。处置生产性生物资产还应同时结转生产性生物资产累计折旧。</w:t>
      </w:r>
    </w:p>
    <w:p w14:paraId="461A4CAF" w14:textId="77777777" w:rsidR="00D630C4" w:rsidRDefault="00D630C4" w:rsidP="00D630C4">
      <w:pPr>
        <w:pStyle w:val="CM73"/>
        <w:spacing w:line="546" w:lineRule="atLeast"/>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四、本科目期末贷方余额，反映企业成熟生产性生物资产的累计折旧额。</w:t>
      </w:r>
    </w:p>
    <w:p w14:paraId="79FCA897"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1623 </w:t>
      </w:r>
      <w:r>
        <w:rPr>
          <w:rFonts w:ascii="仿宋_GB2312" w:eastAsia="仿宋_GB2312" w:hAnsi="Times New Roman" w:cs="仿宋_GB2312" w:hint="eastAsia"/>
          <w:color w:val="auto"/>
          <w:sz w:val="28"/>
          <w:szCs w:val="28"/>
        </w:rPr>
        <w:t>公益性生物资产</w:t>
      </w:r>
    </w:p>
    <w:p w14:paraId="6CDCB2F2"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一、本科目核算企业（农业）持有的公益性生物资产的实际成本。</w:t>
      </w:r>
    </w:p>
    <w:p w14:paraId="69C9E51F"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lastRenderedPageBreak/>
        <w:t>二、本科目可按公益性生物资产的种类或项目进行明细核算。</w:t>
      </w:r>
    </w:p>
    <w:p w14:paraId="0167D62B"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三、公益性生物资产的主要账务处理。</w:t>
      </w:r>
    </w:p>
    <w:p w14:paraId="078FE56C"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（一）企业外购的公益性生物资产，按应计入公益性生物资产成</w:t>
      </w:r>
    </w:p>
    <w:p w14:paraId="366123BF" w14:textId="77777777" w:rsidR="00D630C4" w:rsidRDefault="00D630C4" w:rsidP="00D630C4">
      <w:pPr>
        <w:pStyle w:val="Default"/>
        <w:spacing w:line="546" w:lineRule="atLeast"/>
        <w:ind w:left="480" w:right="1508" w:hanging="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本的金额，借记本科目，贷记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47A52E9D" w14:textId="77777777" w:rsidR="00D630C4" w:rsidRDefault="00D630C4" w:rsidP="00D630C4">
      <w:pPr>
        <w:pStyle w:val="Default"/>
        <w:spacing w:line="546" w:lineRule="atLeast"/>
        <w:ind w:leftChars="100" w:left="210" w:right="40" w:firstLineChars="100" w:firstLine="2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（二）自行营造的公益性生物资产，应按郁闭前发生的必要支出，借记本科目，贷记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26FA257D" w14:textId="77777777" w:rsidR="00D630C4" w:rsidRDefault="00D630C4" w:rsidP="00D630C4">
      <w:pPr>
        <w:pStyle w:val="Default"/>
        <w:spacing w:line="546" w:lineRule="atLeast"/>
        <w:ind w:leftChars="100" w:left="210" w:right="40" w:firstLineChars="100" w:firstLine="2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（三）天然起源的公益性生物资产，应按名义金额，借记本科目，贷记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营业外收入</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657CE7D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（四）消耗性生物资产、生产性生物资产转为公益性生物资产的，应按其账面余额或账面价值，借记本科目，按已计提的生产性生物资产累计折旧，借记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消耗性生物资产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等科目。已计提跌价准备或减值准备的，还应同时结转跌价准备或减值准备。</w:t>
      </w:r>
    </w:p>
    <w:p w14:paraId="03D68B6F" w14:textId="77777777" w:rsidR="00D630C4" w:rsidRDefault="00D630C4" w:rsidP="00D630C4">
      <w:pPr>
        <w:pStyle w:val="CM73"/>
        <w:spacing w:line="546" w:lineRule="atLeast"/>
        <w:ind w:right="675"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（五）择伐、间伐或抚育更新等生产性采伐而补植林木类公益性生物资产发生的后续支出，借记本科目，贷记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等科目。林木类公益性生物资产郁闭后发生的管护费用等其他后续支出，借记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等科目。四、本科目期末借方余额，反映企业公益性生物资产的原价。</w:t>
      </w:r>
    </w:p>
    <w:p w14:paraId="58AFC583" w14:textId="77777777" w:rsidR="00D630C4" w:rsidRDefault="00D630C4" w:rsidP="00D630C4">
      <w:pPr>
        <w:pStyle w:val="Default"/>
        <w:tabs>
          <w:tab w:val="left" w:pos="8647"/>
        </w:tabs>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1631 </w:t>
      </w:r>
      <w:r>
        <w:rPr>
          <w:rFonts w:ascii="仿宋_GB2312" w:eastAsia="仿宋_GB2312" w:hAnsi="Times New Roman" w:cs="仿宋_GB2312" w:hint="eastAsia"/>
          <w:color w:val="auto"/>
          <w:sz w:val="28"/>
          <w:szCs w:val="28"/>
        </w:rPr>
        <w:t>油气资产</w:t>
      </w:r>
    </w:p>
    <w:p w14:paraId="6A392886"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一、本科目核算企业（石油天然气开采）持有的矿区权益和油气井及相关设施的原价。企业（石油天然气开采）可以单独设置</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油气</w:t>
      </w:r>
      <w:r>
        <w:rPr>
          <w:rFonts w:ascii="仿宋_GB2312" w:eastAsia="仿宋_GB2312" w:hAnsi="Times New Roman" w:cs="仿宋_GB2312" w:hint="eastAsia"/>
          <w:color w:val="auto"/>
          <w:sz w:val="28"/>
          <w:szCs w:val="28"/>
        </w:rPr>
        <w:lastRenderedPageBreak/>
        <w:t>资产清理</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科目，比照</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固定资产清理</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科目进行处理。企业（石油天然气开采）与油气开采活动相关的辅助设备及设施在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固定资产</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科目核算。</w:t>
      </w:r>
    </w:p>
    <w:p w14:paraId="2DD49923"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二、本科目可按油气资产的类别、不同矿区或油田等进行明细核算。</w:t>
      </w:r>
    </w:p>
    <w:p w14:paraId="5003A23D"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三、油气资产的主要账务处理。</w:t>
      </w:r>
    </w:p>
    <w:p w14:paraId="3673E5C9"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（一）企业购入油气资产（含申请取得矿区权益）的成本，借记本科目，贷记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应付票据</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174331E1"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（二）自行建造的油气资产，在油气勘探、开发工程达到预定可使用状态时，借记本科目，贷记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油气勘探支出</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油气开发支出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07DD40C2"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（三）油气资产存在弃置义务的，应在取得油气资产时，按预计弃置费用的现值，借记本科目，贷记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预计负债</w:t>
      </w:r>
      <w:r>
        <w:rPr>
          <w:rFonts w:ascii="Times New Roman" w:eastAsia="仿宋_GB2312" w:hAnsi="Times New Roman"/>
          <w:sz w:val="28"/>
          <w:szCs w:val="28"/>
        </w:rPr>
        <w:t>”</w:t>
      </w:r>
      <w:r>
        <w:rPr>
          <w:rFonts w:ascii="仿宋_GB2312" w:eastAsia="仿宋_GB2312" w:hAnsi="Times New Roman" w:cs="仿宋_GB2312" w:hint="eastAsia"/>
          <w:sz w:val="28"/>
          <w:szCs w:val="28"/>
        </w:rPr>
        <w:t>科目。在油气资产的使用寿命内，计算确定各期应负担的利息费用，借记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预计负债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E0A18E9"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（四）处置油气资产，应按该项油气资产的账面价值，借记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油气资产清理</w:t>
      </w:r>
      <w:r>
        <w:rPr>
          <w:rFonts w:ascii="Times New Roman" w:eastAsia="仿宋_GB2312" w:hAnsi="Times New Roman"/>
          <w:sz w:val="28"/>
          <w:szCs w:val="28"/>
        </w:rPr>
        <w:t>”</w:t>
      </w:r>
      <w:r>
        <w:rPr>
          <w:rFonts w:ascii="仿宋_GB2312" w:eastAsia="仿宋_GB2312" w:hAnsi="Times New Roman" w:cs="仿宋_GB2312" w:hint="eastAsia"/>
          <w:sz w:val="28"/>
          <w:szCs w:val="28"/>
        </w:rPr>
        <w:t>科目，按已计提的累计折耗，借记</w:t>
      </w:r>
      <w:r>
        <w:rPr>
          <w:rFonts w:ascii="Times New Roman" w:eastAsia="仿宋_GB2312" w:hAnsi="Times New Roman"/>
          <w:sz w:val="28"/>
          <w:szCs w:val="28"/>
        </w:rPr>
        <w:t>“</w:t>
      </w:r>
      <w:r>
        <w:rPr>
          <w:rFonts w:ascii="仿宋_GB2312" w:eastAsia="仿宋_GB2312" w:hAnsi="Times New Roman" w:cs="仿宋_GB2312" w:hint="eastAsia"/>
          <w:sz w:val="28"/>
          <w:szCs w:val="28"/>
        </w:rPr>
        <w:t>累计折耗</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科目，按其账面原价，贷记本科目。已计提减值准备的，还应同时结转减值准备。</w:t>
      </w:r>
    </w:p>
    <w:p w14:paraId="746A7297" w14:textId="77777777" w:rsidR="00D630C4" w:rsidRDefault="00D630C4" w:rsidP="00D630C4">
      <w:pPr>
        <w:pStyle w:val="CM73"/>
        <w:spacing w:line="546" w:lineRule="atLeast"/>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四、本科目期末借方余额，反映企业油气资产的原价。</w:t>
      </w:r>
    </w:p>
    <w:p w14:paraId="32BB03CA"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1632 </w:t>
      </w:r>
      <w:r>
        <w:rPr>
          <w:rFonts w:ascii="仿宋_GB2312" w:eastAsia="仿宋_GB2312" w:hAnsi="Times New Roman" w:cs="仿宋_GB2312" w:hint="eastAsia"/>
          <w:sz w:val="28"/>
          <w:szCs w:val="28"/>
        </w:rPr>
        <w:t>累计折耗</w:t>
      </w:r>
    </w:p>
    <w:p w14:paraId="4B8D3CD1" w14:textId="77777777" w:rsidR="00D630C4" w:rsidRDefault="00D630C4" w:rsidP="00D630C4">
      <w:pPr>
        <w:pStyle w:val="CM5"/>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一、本科目核算企业（石油天然气开采）油气资产的累计折耗。</w:t>
      </w:r>
    </w:p>
    <w:p w14:paraId="0462EF01"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二、本科目可按油气资产的类别、不同矿区或油田进行明细核算。</w:t>
      </w:r>
    </w:p>
    <w:p w14:paraId="62779B01"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三、企业按期（月）计提油气资产的折耗，借记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等科目，贷记本科目。处置油气资产时，还应同时结转油气资产累计折耗。</w:t>
      </w:r>
    </w:p>
    <w:p w14:paraId="2182648F" w14:textId="77777777" w:rsidR="00D630C4" w:rsidRDefault="00D630C4" w:rsidP="00D630C4">
      <w:pPr>
        <w:pStyle w:val="CM73"/>
        <w:spacing w:line="546" w:lineRule="atLeast"/>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四、本科目期末贷方余额，反映企业油气资产的累计折耗额。</w:t>
      </w:r>
    </w:p>
    <w:p w14:paraId="22588AB5" w14:textId="77777777" w:rsidR="00D630C4" w:rsidRDefault="00D630C4" w:rsidP="00D630C4">
      <w:pPr>
        <w:pStyle w:val="CM26"/>
        <w:rPr>
          <w:rFonts w:ascii="仿宋_GB2312" w:eastAsia="仿宋_GB2312" w:hAnsi="Times New Roman" w:cs="仿宋_GB2312"/>
          <w:sz w:val="28"/>
          <w:szCs w:val="28"/>
        </w:rPr>
      </w:pPr>
      <w:r>
        <w:rPr>
          <w:rFonts w:ascii="Times New Roman" w:eastAsia="仿宋_GB2312" w:hAnsi="Times New Roman"/>
          <w:b/>
          <w:bCs/>
          <w:sz w:val="28"/>
          <w:szCs w:val="28"/>
        </w:rPr>
        <w:t xml:space="preserve">1701 </w:t>
      </w:r>
      <w:r>
        <w:rPr>
          <w:rFonts w:ascii="仿宋_GB2312" w:eastAsia="仿宋_GB2312" w:hAnsi="Times New Roman" w:cs="仿宋_GB2312" w:hint="eastAsia"/>
          <w:sz w:val="28"/>
          <w:szCs w:val="28"/>
        </w:rPr>
        <w:t>无形资产</w:t>
      </w:r>
    </w:p>
    <w:p w14:paraId="39CE038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一、本科目核算企业持有的无形资产成本，包括专利权、非专利技术、商标权、著作权、土地使用权等。</w:t>
      </w:r>
    </w:p>
    <w:p w14:paraId="2F6AB16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二、本科目可按无形资产项目进行明细核算。</w:t>
      </w:r>
    </w:p>
    <w:p w14:paraId="2B24A851" w14:textId="77777777" w:rsidR="00D630C4" w:rsidRDefault="00D630C4" w:rsidP="00D630C4">
      <w:pPr>
        <w:pStyle w:val="CM5"/>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三、无形资产的主要账务处理。</w:t>
      </w:r>
    </w:p>
    <w:p w14:paraId="3859F47B"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（一）企业外购的无形资产，按应计入无形资产成本的金额，借记本科目，贷记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E04F057"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自行开发的无形资产，按应予资本化的支出，借记本科目，贷记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研发支出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E853BC1"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（二）无形资产预期不能为企业带来经济利益的，应按已计提的累计摊销，借记</w:t>
      </w:r>
      <w:r>
        <w:rPr>
          <w:rFonts w:ascii="Times New Roman" w:eastAsia="仿宋_GB2312" w:hAnsi="Times New Roman"/>
          <w:sz w:val="28"/>
          <w:szCs w:val="28"/>
        </w:rPr>
        <w:t>“</w:t>
      </w:r>
      <w:r>
        <w:rPr>
          <w:rFonts w:ascii="仿宋_GB2312" w:eastAsia="仿宋_GB2312" w:hAnsi="Times New Roman" w:cs="仿宋_GB2312" w:hint="eastAsia"/>
          <w:sz w:val="28"/>
          <w:szCs w:val="28"/>
        </w:rPr>
        <w:t>累计摊销</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科目，按其账面余额，贷记本科目，按其差额，借记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6852489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（三）处置无形资产，应按实际收到的金额等，借记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等科目，按已计提的累计摊销，借记</w:t>
      </w:r>
      <w:r>
        <w:rPr>
          <w:rFonts w:ascii="Times New Roman" w:eastAsia="仿宋_GB2312" w:hAnsi="Times New Roman"/>
          <w:sz w:val="28"/>
          <w:szCs w:val="28"/>
        </w:rPr>
        <w:t>“</w:t>
      </w:r>
      <w:r>
        <w:rPr>
          <w:rFonts w:ascii="仿宋_GB2312" w:eastAsia="仿宋_GB2312" w:hAnsi="Times New Roman" w:cs="仿宋_GB2312" w:hint="eastAsia"/>
          <w:sz w:val="28"/>
          <w:szCs w:val="28"/>
        </w:rPr>
        <w:t>累计摊销</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科目，按应支付的相关税费及其他费用，贷记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等科目，按其账面</w:t>
      </w:r>
      <w:r>
        <w:rPr>
          <w:rFonts w:ascii="仿宋_GB2312" w:eastAsia="仿宋_GB2312" w:hAnsi="Times New Roman" w:cs="仿宋_GB2312" w:hint="eastAsia"/>
          <w:sz w:val="28"/>
          <w:szCs w:val="28"/>
        </w:rPr>
        <w:lastRenderedPageBreak/>
        <w:t>余额，贷记本科目，按其差额，贷记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处置非流动资产利得</w:t>
      </w:r>
      <w:r>
        <w:rPr>
          <w:rFonts w:ascii="Times New Roman" w:eastAsia="仿宋_GB2312" w:hAnsi="Times New Roman"/>
          <w:sz w:val="28"/>
          <w:szCs w:val="28"/>
        </w:rPr>
        <w:t>”</w:t>
      </w:r>
      <w:r>
        <w:rPr>
          <w:rFonts w:ascii="仿宋_GB2312" w:eastAsia="仿宋_GB2312" w:hAnsi="Times New Roman" w:cs="仿宋_GB2312" w:hint="eastAsia"/>
          <w:sz w:val="28"/>
          <w:szCs w:val="28"/>
        </w:rPr>
        <w:t>科目或借记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处置非流动资产损失</w:t>
      </w:r>
      <w:r>
        <w:rPr>
          <w:rFonts w:ascii="Times New Roman" w:eastAsia="仿宋_GB2312" w:hAnsi="Times New Roman"/>
          <w:sz w:val="28"/>
          <w:szCs w:val="28"/>
        </w:rPr>
        <w:t>”</w:t>
      </w:r>
      <w:r>
        <w:rPr>
          <w:rFonts w:ascii="仿宋_GB2312" w:eastAsia="仿宋_GB2312" w:hAnsi="Times New Roman" w:cs="仿宋_GB2312" w:hint="eastAsia"/>
          <w:sz w:val="28"/>
          <w:szCs w:val="28"/>
        </w:rPr>
        <w:t>科目。已计提减值准备的，还应同时结转减值准备。</w:t>
      </w:r>
    </w:p>
    <w:p w14:paraId="37B7646E"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四、本科目期末借方余额，反映企业无形资产的成本。</w:t>
      </w:r>
    </w:p>
    <w:p w14:paraId="1194A3CF" w14:textId="77777777" w:rsidR="00D630C4" w:rsidRDefault="00D630C4" w:rsidP="00D630C4">
      <w:pPr>
        <w:pStyle w:val="Default"/>
        <w:spacing w:line="546" w:lineRule="atLeast"/>
        <w:jc w:val="both"/>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1702 </w:t>
      </w:r>
      <w:r>
        <w:rPr>
          <w:rFonts w:ascii="仿宋_GB2312" w:eastAsia="仿宋_GB2312" w:hAnsi="Times New Roman" w:cs="仿宋_GB2312" w:hint="eastAsia"/>
          <w:color w:val="auto"/>
          <w:sz w:val="28"/>
          <w:szCs w:val="28"/>
        </w:rPr>
        <w:t>累计摊销</w:t>
      </w:r>
    </w:p>
    <w:p w14:paraId="0E5CF97E"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一、本科目核算企业对使用寿命有限的无形资产计提的累计摊销。</w:t>
      </w:r>
    </w:p>
    <w:p w14:paraId="1FDC209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二、本科目可按无形资产项目进行明细核算。</w:t>
      </w:r>
    </w:p>
    <w:p w14:paraId="5ADAA462"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三、企业按期（月）计提无形资产的摊销，借记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等科目，贷记本科目。处置无形资产还应同时结转累计摊销。</w:t>
      </w:r>
    </w:p>
    <w:p w14:paraId="10E11C8B"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四、本科目期末贷方余额，反映企业无形资产的累计摊销额。</w:t>
      </w:r>
    </w:p>
    <w:p w14:paraId="2710CB47" w14:textId="77777777" w:rsidR="00D630C4" w:rsidRDefault="00D630C4" w:rsidP="00D630C4">
      <w:pPr>
        <w:pStyle w:val="CM75"/>
        <w:spacing w:line="546" w:lineRule="atLeast"/>
        <w:rPr>
          <w:rFonts w:ascii="仿宋_GB2312" w:eastAsia="仿宋_GB2312" w:hAnsi="Times New Roman" w:cs="仿宋_GB2312"/>
          <w:sz w:val="28"/>
          <w:szCs w:val="28"/>
        </w:rPr>
      </w:pPr>
      <w:r>
        <w:rPr>
          <w:rFonts w:ascii="Times New Roman" w:eastAsia="仿宋_GB2312" w:hAnsi="Times New Roman"/>
          <w:b/>
          <w:bCs/>
          <w:sz w:val="28"/>
          <w:szCs w:val="28"/>
        </w:rPr>
        <w:t xml:space="preserve">1703 </w:t>
      </w:r>
      <w:r>
        <w:rPr>
          <w:rFonts w:ascii="仿宋_GB2312" w:eastAsia="仿宋_GB2312" w:hAnsi="Times New Roman" w:cs="仿宋_GB2312" w:hint="eastAsia"/>
          <w:sz w:val="28"/>
          <w:szCs w:val="28"/>
        </w:rPr>
        <w:t>无形资产减值准备</w:t>
      </w:r>
    </w:p>
    <w:p w14:paraId="4A5320E9"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一、本科目核算企业无形资产的减值准备。</w:t>
      </w:r>
    </w:p>
    <w:p w14:paraId="7222545F"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二、本科目可按无形资产项目进行明细核算。</w:t>
      </w:r>
    </w:p>
    <w:p w14:paraId="2A0BB687"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三、资产负债表日，无形资产发生减值的，按应减记的金额，借记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资产减值损失</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 xml:space="preserve">科目，贷记本科目。处置无形资产还应同时结转减值准备。 </w:t>
      </w:r>
    </w:p>
    <w:p w14:paraId="1E660FD1"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四、本科目期末贷方余额，反映企业已计提但尚未转销的无形资产减值准备。</w:t>
      </w:r>
    </w:p>
    <w:p w14:paraId="4C79964C" w14:textId="77777777" w:rsidR="00D630C4" w:rsidRDefault="00D630C4" w:rsidP="00D630C4">
      <w:pPr>
        <w:pStyle w:val="CM52"/>
        <w:ind w:right="140"/>
        <w:rPr>
          <w:rFonts w:ascii="Times New Roman" w:eastAsia="仿宋_GB2312" w:hAnsi="Times New Roman"/>
          <w:b/>
          <w:bCs/>
          <w:sz w:val="28"/>
          <w:szCs w:val="28"/>
        </w:rPr>
      </w:pPr>
    </w:p>
    <w:p w14:paraId="6F87C57C" w14:textId="77777777" w:rsidR="00D630C4" w:rsidRDefault="00D630C4" w:rsidP="00D630C4">
      <w:pPr>
        <w:pStyle w:val="CM52"/>
        <w:ind w:right="140"/>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1711  </w:t>
      </w:r>
      <w:r>
        <w:rPr>
          <w:rFonts w:ascii="仿宋_GB2312" w:eastAsia="仿宋_GB2312" w:hAnsi="Times New Roman" w:cs="仿宋_GB2312" w:hint="eastAsia"/>
          <w:sz w:val="28"/>
          <w:szCs w:val="28"/>
        </w:rPr>
        <w:t>商誉</w:t>
      </w:r>
    </w:p>
    <w:p w14:paraId="46B02B1F"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一、本科目核算企业合并中形成的商誉价值。商誉发生减值的，可以单独设置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商誉减值准备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无形资产减值准备</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科目进行处理。</w:t>
      </w:r>
    </w:p>
    <w:p w14:paraId="6F730E83"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二、非同一控制下企业合并中确定的商誉价值，借记本科目，贷记有关科目。</w:t>
      </w:r>
    </w:p>
    <w:p w14:paraId="2C00B805"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三、本科目期末借方余额，反映企业商誉的价值。</w:t>
      </w:r>
    </w:p>
    <w:p w14:paraId="32A0582E" w14:textId="77777777" w:rsidR="00D630C4" w:rsidRDefault="00D630C4" w:rsidP="00D630C4">
      <w:pPr>
        <w:pStyle w:val="CM22"/>
        <w:rPr>
          <w:rFonts w:ascii="Times New Roman" w:eastAsia="仿宋_GB2312" w:hAnsi="Times New Roman"/>
          <w:b/>
          <w:bCs/>
          <w:sz w:val="28"/>
          <w:szCs w:val="28"/>
        </w:rPr>
      </w:pPr>
    </w:p>
    <w:p w14:paraId="4C63B7AC"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1801 </w:t>
      </w:r>
      <w:r>
        <w:rPr>
          <w:rFonts w:ascii="仿宋_GB2312" w:eastAsia="仿宋_GB2312" w:hAnsi="Times New Roman" w:cs="仿宋_GB2312" w:hint="eastAsia"/>
          <w:sz w:val="28"/>
          <w:szCs w:val="28"/>
        </w:rPr>
        <w:t>长期待摊费用</w:t>
      </w:r>
    </w:p>
    <w:p w14:paraId="288A2EF5"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一、本科目核算企业已经发生但应由本期和以后各期负担的分摊期限在</w:t>
      </w:r>
      <w:r>
        <w:rPr>
          <w:rFonts w:ascii="Times New Roman" w:eastAsia="仿宋_GB2312" w:hAnsi="Times New Roman"/>
          <w:sz w:val="28"/>
          <w:szCs w:val="28"/>
        </w:rPr>
        <w:t xml:space="preserve">1 </w:t>
      </w:r>
      <w:r>
        <w:rPr>
          <w:rFonts w:ascii="仿宋_GB2312" w:eastAsia="仿宋_GB2312" w:hAnsi="Times New Roman" w:cs="仿宋_GB2312" w:hint="eastAsia"/>
          <w:sz w:val="28"/>
          <w:szCs w:val="28"/>
        </w:rPr>
        <w:t>年以上的各项费用，如以经营租赁方式租入的固定资产发生的改良支出等。</w:t>
      </w:r>
    </w:p>
    <w:p w14:paraId="58382EF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二、本科目可按费用项目进行明细核算。</w:t>
      </w:r>
    </w:p>
    <w:p w14:paraId="7E6DA76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三、企业发生的长期待摊费用，借记本科目，贷记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原材料</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等科目。摊销长期待摊费用，借记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4FBBB15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四、本科目期末借方余额，反映企业尚未摊销完毕的长期待摊费用。</w:t>
      </w:r>
    </w:p>
    <w:p w14:paraId="6E8F6D49" w14:textId="77777777" w:rsidR="00D630C4" w:rsidRDefault="00D630C4" w:rsidP="00D630C4">
      <w:pPr>
        <w:pStyle w:val="CM53"/>
        <w:ind w:right="130"/>
        <w:rPr>
          <w:rFonts w:ascii="Times New Roman" w:eastAsia="仿宋_GB2312" w:hAnsi="Times New Roman"/>
          <w:b/>
          <w:bCs/>
          <w:sz w:val="28"/>
          <w:szCs w:val="28"/>
        </w:rPr>
      </w:pPr>
    </w:p>
    <w:p w14:paraId="0F606E14" w14:textId="77777777" w:rsidR="00D630C4" w:rsidRDefault="00D630C4" w:rsidP="00D630C4">
      <w:pPr>
        <w:pStyle w:val="CM53"/>
        <w:ind w:right="130"/>
        <w:rPr>
          <w:rFonts w:ascii="仿宋_GB2312" w:eastAsia="仿宋_GB2312" w:hAnsi="Times New Roman" w:cs="仿宋_GB2312"/>
          <w:sz w:val="28"/>
          <w:szCs w:val="28"/>
        </w:rPr>
      </w:pPr>
      <w:r>
        <w:rPr>
          <w:rFonts w:ascii="Times New Roman" w:eastAsia="仿宋_GB2312" w:hAnsi="Times New Roman"/>
          <w:b/>
          <w:bCs/>
          <w:sz w:val="28"/>
          <w:szCs w:val="28"/>
        </w:rPr>
        <w:t xml:space="preserve">1811  </w:t>
      </w:r>
      <w:r>
        <w:rPr>
          <w:rFonts w:ascii="仿宋_GB2312" w:eastAsia="仿宋_GB2312" w:hAnsi="Times New Roman" w:cs="仿宋_GB2312" w:hint="eastAsia"/>
          <w:sz w:val="28"/>
          <w:szCs w:val="28"/>
        </w:rPr>
        <w:t>递延所得税资产</w:t>
      </w:r>
    </w:p>
    <w:p w14:paraId="016B9FC1"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一、本科目核算企业确认的可抵扣暂时性差异产生的递延所得税资产。</w:t>
      </w:r>
    </w:p>
    <w:p w14:paraId="18DC6238"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二、本科目应按可抵扣暂时性差异等项目进行明细核算。根据税法规定可用以后年度税前利润弥补的亏损及税款抵减产生的所得税资产，也在本科目核算。</w:t>
      </w:r>
    </w:p>
    <w:p w14:paraId="59B0AD2D"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三、递延所得税资产的主要账务处理。</w:t>
      </w:r>
    </w:p>
    <w:p w14:paraId="69F06A7A"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（一）资产负债表日，企业确认的递延所得税资产，借记本科目，贷记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所得税费用</w:t>
      </w:r>
      <w:r>
        <w:rPr>
          <w:rFonts w:ascii="Times New Roman" w:eastAsia="仿宋_GB2312" w:hAnsi="Times New Roman"/>
          <w:sz w:val="28"/>
          <w:szCs w:val="28"/>
        </w:rPr>
        <w:t>——</w:t>
      </w:r>
      <w:r>
        <w:rPr>
          <w:rFonts w:ascii="仿宋_GB2312" w:eastAsia="仿宋_GB2312" w:hAnsi="Times New Roman" w:cs="仿宋_GB2312" w:hint="eastAsia"/>
          <w:sz w:val="28"/>
          <w:szCs w:val="28"/>
        </w:rPr>
        <w:t>递延所得税费用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科目。资产负债表日递延所得税资产的应有余额大于其账面余额的，应按其差额确认，借记本科目，贷记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所得税费用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递延所得税费用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等科目；资产负债表日递延所得税资产的应有余额小于其账面余额的差额做相反的会计分录。</w:t>
      </w:r>
    </w:p>
    <w:p w14:paraId="4731CBA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企业合并中取得资产、负债的入账价值与其计税基础不同形成可抵扣暂时性差异的，应于购买日确认递延所得税资产，借记本科目，贷记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商誉</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5C5E6669"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与直接计入所有者权益的交易或事项相关的递延所得税资产，借记本科目，贷记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C8BB272"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（二）资产负债表日，预计未来期间很可能无法获得足够的应纳税所得额用以抵扣可抵扣暂时性差异的，按原已确认的递延所得税资产中应减记的金额，借记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所得税费用</w:t>
      </w:r>
      <w:r>
        <w:rPr>
          <w:rFonts w:ascii="Times New Roman" w:eastAsia="仿宋_GB2312" w:hAnsi="Times New Roman"/>
          <w:sz w:val="28"/>
          <w:szCs w:val="28"/>
        </w:rPr>
        <w:t>——</w:t>
      </w:r>
      <w:r>
        <w:rPr>
          <w:rFonts w:ascii="仿宋_GB2312" w:eastAsia="仿宋_GB2312" w:hAnsi="Times New Roman" w:cs="仿宋_GB2312" w:hint="eastAsia"/>
          <w:sz w:val="28"/>
          <w:szCs w:val="28"/>
        </w:rPr>
        <w:t>递延所得税费用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06499343"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四、本科目期末借方余额，反映企业确认的递延所得税资产。</w:t>
      </w:r>
    </w:p>
    <w:p w14:paraId="4FA32EA1" w14:textId="77777777" w:rsidR="00D630C4" w:rsidRDefault="00D630C4" w:rsidP="00D630C4">
      <w:pPr>
        <w:pStyle w:val="CM18"/>
        <w:ind w:right="143"/>
        <w:rPr>
          <w:rFonts w:ascii="仿宋_GB2312" w:eastAsia="仿宋_GB2312" w:hAnsi="Times New Roman" w:cs="仿宋_GB2312"/>
          <w:sz w:val="28"/>
          <w:szCs w:val="28"/>
        </w:rPr>
      </w:pPr>
      <w:r>
        <w:rPr>
          <w:rFonts w:ascii="Times New Roman" w:eastAsia="仿宋_GB2312" w:hAnsi="Times New Roman"/>
          <w:b/>
          <w:bCs/>
          <w:sz w:val="28"/>
          <w:szCs w:val="28"/>
        </w:rPr>
        <w:t xml:space="preserve">1821 </w:t>
      </w:r>
      <w:r>
        <w:rPr>
          <w:rFonts w:ascii="仿宋_GB2312" w:eastAsia="仿宋_GB2312" w:hAnsi="Times New Roman" w:cs="仿宋_GB2312" w:hint="eastAsia"/>
          <w:sz w:val="28"/>
          <w:szCs w:val="28"/>
        </w:rPr>
        <w:t>独立账户资产</w:t>
      </w:r>
    </w:p>
    <w:p w14:paraId="4240C6A8"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一、本科目核算企业（保险）对分拆核算的投资连结产品不属于风险保障部分确认的独立账户资产价值。</w:t>
      </w:r>
    </w:p>
    <w:p w14:paraId="4A11F1A6"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二、本科目可按资产类别进行明细核算。</w:t>
      </w:r>
    </w:p>
    <w:p w14:paraId="2D70463F" w14:textId="77777777" w:rsidR="00D630C4" w:rsidRDefault="00D630C4" w:rsidP="00D630C4">
      <w:pPr>
        <w:pStyle w:val="CM18"/>
        <w:ind w:right="143"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三、独立账户资产的主要账务处理。</w:t>
      </w:r>
    </w:p>
    <w:p w14:paraId="4743A9AA" w14:textId="77777777" w:rsidR="00D630C4" w:rsidRDefault="00D630C4" w:rsidP="00D630C4">
      <w:pPr>
        <w:pStyle w:val="Default"/>
        <w:spacing w:line="546" w:lineRule="atLeast"/>
        <w:ind w:right="40" w:firstLine="498"/>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（一）向独立账户划入资金，借记本科目（银行存款及现金），</w:t>
      </w:r>
      <w:r>
        <w:rPr>
          <w:rFonts w:ascii="仿宋_GB2312" w:eastAsia="仿宋_GB2312" w:hAnsi="Times New Roman" w:cs="仿宋_GB2312"/>
          <w:color w:val="auto"/>
          <w:sz w:val="28"/>
          <w:szCs w:val="28"/>
        </w:rPr>
        <w:t xml:space="preserve"> </w:t>
      </w:r>
      <w:r>
        <w:rPr>
          <w:rFonts w:ascii="仿宋_GB2312" w:eastAsia="仿宋_GB2312" w:hAnsi="Times New Roman" w:cs="仿宋_GB2312" w:hint="eastAsia"/>
          <w:color w:val="auto"/>
          <w:sz w:val="28"/>
          <w:szCs w:val="28"/>
        </w:rPr>
        <w:t>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独立账户负债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09D0C33E" w14:textId="77777777" w:rsidR="00D630C4" w:rsidRDefault="00D630C4" w:rsidP="00D630C4">
      <w:pPr>
        <w:pStyle w:val="Default"/>
        <w:spacing w:line="546" w:lineRule="atLeast"/>
        <w:ind w:right="40" w:firstLine="498"/>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（二）独立账户进行投资，借记本科目（债券、股票等），贷记本科目（银行存款及现金）。对独立账户投资进行估值，按估值增值，借记本科目（估值），</w:t>
      </w:r>
      <w:r>
        <w:rPr>
          <w:rFonts w:ascii="仿宋_GB2312" w:eastAsia="仿宋_GB2312" w:hAnsi="Times New Roman" w:cs="仿宋_GB2312"/>
          <w:color w:val="auto"/>
          <w:sz w:val="28"/>
          <w:szCs w:val="28"/>
        </w:rPr>
        <w:t xml:space="preserve"> </w:t>
      </w:r>
      <w:r>
        <w:rPr>
          <w:rFonts w:ascii="仿宋_GB2312" w:eastAsia="仿宋_GB2312" w:hAnsi="Times New Roman" w:cs="仿宋_GB2312" w:hint="eastAsia"/>
          <w:color w:val="auto"/>
          <w:sz w:val="28"/>
          <w:szCs w:val="28"/>
        </w:rPr>
        <w:t>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独立账户负债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科目；估值减值的做相反的会计分录。</w:t>
      </w:r>
    </w:p>
    <w:p w14:paraId="28DEC4E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（三）按照独立账户计提的保险费，借记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保费收入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科目。同时，借记</w:t>
      </w:r>
      <w:r>
        <w:rPr>
          <w:rFonts w:ascii="Times New Roman" w:eastAsia="仿宋_GB2312" w:hAnsi="Times New Roman"/>
          <w:sz w:val="28"/>
          <w:szCs w:val="28"/>
        </w:rPr>
        <w:t>“</w:t>
      </w:r>
      <w:r>
        <w:rPr>
          <w:rFonts w:ascii="仿宋_GB2312" w:eastAsia="仿宋_GB2312" w:hAnsi="Times New Roman" w:cs="仿宋_GB2312" w:hint="eastAsia"/>
          <w:sz w:val="28"/>
          <w:szCs w:val="28"/>
        </w:rPr>
        <w:t>独立账户负债</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科目，贷记本科目（银行存款及现金）。</w:t>
      </w:r>
    </w:p>
    <w:p w14:paraId="05342E7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对独立账户计提账户管理费，借记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科目。同时，借记</w:t>
      </w:r>
      <w:r>
        <w:rPr>
          <w:rFonts w:ascii="Times New Roman" w:eastAsia="仿宋_GB2312" w:hAnsi="Times New Roman"/>
          <w:sz w:val="28"/>
          <w:szCs w:val="28"/>
        </w:rPr>
        <w:t>“</w:t>
      </w:r>
      <w:r>
        <w:rPr>
          <w:rFonts w:ascii="仿宋_GB2312" w:eastAsia="仿宋_GB2312" w:hAnsi="Times New Roman" w:cs="仿宋_GB2312" w:hint="eastAsia"/>
          <w:sz w:val="28"/>
          <w:szCs w:val="28"/>
        </w:rPr>
        <w:t>独立账户负债</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科目，贷记本科目（银行存款及现金）。</w:t>
      </w:r>
    </w:p>
    <w:p w14:paraId="3DE7DB6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（四）支付独立账户资产，借记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独立账户负债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科目，贷记本科目（银行存款及现金）。</w:t>
      </w:r>
    </w:p>
    <w:p w14:paraId="02D80902" w14:textId="77777777" w:rsidR="00D630C4" w:rsidRDefault="00D630C4" w:rsidP="00D630C4">
      <w:pPr>
        <w:pStyle w:val="CM2"/>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四、本科目期末借方余额，反映企业确认的独立账户资产价值。</w:t>
      </w:r>
    </w:p>
    <w:p w14:paraId="34DE535D" w14:textId="77777777" w:rsidR="00D630C4" w:rsidRDefault="00D630C4" w:rsidP="00D630C4">
      <w:pPr>
        <w:pStyle w:val="CM53"/>
        <w:ind w:right="130"/>
        <w:rPr>
          <w:rFonts w:ascii="Times New Roman" w:eastAsia="仿宋_GB2312" w:hAnsi="Times New Roman"/>
          <w:b/>
          <w:bCs/>
          <w:sz w:val="28"/>
          <w:szCs w:val="28"/>
        </w:rPr>
      </w:pPr>
    </w:p>
    <w:p w14:paraId="5030F51F" w14:textId="77777777" w:rsidR="00D630C4" w:rsidRDefault="00D630C4" w:rsidP="00D630C4">
      <w:pPr>
        <w:pStyle w:val="CM53"/>
        <w:ind w:right="130"/>
        <w:rPr>
          <w:rFonts w:ascii="仿宋_GB2312" w:eastAsia="仿宋_GB2312" w:hAnsi="Times New Roman" w:cs="仿宋_GB2312"/>
          <w:sz w:val="28"/>
          <w:szCs w:val="28"/>
        </w:rPr>
      </w:pPr>
      <w:r>
        <w:rPr>
          <w:rFonts w:ascii="Times New Roman" w:eastAsia="仿宋_GB2312" w:hAnsi="Times New Roman"/>
          <w:b/>
          <w:bCs/>
          <w:sz w:val="28"/>
          <w:szCs w:val="28"/>
        </w:rPr>
        <w:t xml:space="preserve">1901 </w:t>
      </w:r>
      <w:r>
        <w:rPr>
          <w:rFonts w:ascii="仿宋_GB2312" w:eastAsia="仿宋_GB2312" w:hAnsi="Times New Roman" w:cs="仿宋_GB2312" w:hint="eastAsia"/>
          <w:sz w:val="28"/>
          <w:szCs w:val="28"/>
        </w:rPr>
        <w:t>待处理财产损溢</w:t>
      </w:r>
    </w:p>
    <w:p w14:paraId="01388B0B"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一、本科目核算企业在清查财产过程中查明的各种财产盘盈、</w:t>
      </w:r>
      <w:r>
        <w:rPr>
          <w:rFonts w:ascii="仿宋_GB2312" w:eastAsia="仿宋_GB2312" w:hAnsi="Times New Roman" w:cs="仿宋_GB2312" w:hint="eastAsia"/>
          <w:sz w:val="28"/>
          <w:szCs w:val="28"/>
        </w:rPr>
        <w:lastRenderedPageBreak/>
        <w:t>盘亏和毁损的价值。物资在运输途中发生的非正常短缺与损耗，也通过本科目核算。企业如有盘盈固定资产的，应作为前期差错记入</w:t>
      </w:r>
      <w:r>
        <w:rPr>
          <w:rFonts w:ascii="Times New Roman" w:eastAsia="仿宋_GB2312" w:hAnsi="Times New Roman"/>
          <w:sz w:val="28"/>
          <w:szCs w:val="28"/>
        </w:rPr>
        <w:t>“</w:t>
      </w:r>
      <w:r>
        <w:rPr>
          <w:rFonts w:ascii="仿宋_GB2312" w:eastAsia="仿宋_GB2312" w:hAnsi="Times New Roman" w:cs="仿宋_GB2312" w:hint="eastAsia"/>
          <w:sz w:val="28"/>
          <w:szCs w:val="28"/>
        </w:rPr>
        <w:t>以前年度损益调整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13AE43C"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二、本科目可按盘盈、盘亏的资产种类和项目进行明细核算。</w:t>
      </w:r>
    </w:p>
    <w:p w14:paraId="7B52B75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三、待处理财产损溢的主要账务处理。</w:t>
      </w:r>
    </w:p>
    <w:p w14:paraId="2F4FD554"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（一）盘盈的各种材料、产成品、商品、生物资产等，借记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原材料</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库存商品</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消耗性生物资产</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等科目，贷记本科目。</w:t>
      </w:r>
    </w:p>
    <w:p w14:paraId="24B7B9D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盘亏、毁损的各种材料、产成品、商品、生物资产等，盘亏的固定资产，借记本科目，贷记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消耗性生物资产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等科目。材料、产成品、商品采用计划成本（或售价）核算的，还应同时结转成本差异（或商品进销差价）。涉及增值税的，还应进行相应处理。</w:t>
      </w:r>
    </w:p>
    <w:p w14:paraId="3760CA5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（二）盘亏、毁损的各项资产，按管理权限报经批准后处理时，按残料价值，借记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等科目，按可收回的保险赔偿或过失人赔偿，借记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科目，按本科目余额，贷记本科目，按其借方差额，借记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173F3AA8" w14:textId="77777777" w:rsidR="00D630C4" w:rsidRDefault="00D630C4" w:rsidP="00D630C4">
      <w:pPr>
        <w:pStyle w:val="CM78"/>
        <w:spacing w:line="546" w:lineRule="atLeast"/>
        <w:ind w:right="40" w:firstLine="563"/>
        <w:rPr>
          <w:rFonts w:ascii="仿宋_GB2312" w:eastAsia="仿宋_GB2312" w:hAnsi="Times New Roman" w:cs="仿宋_GB2312"/>
          <w:sz w:val="28"/>
          <w:szCs w:val="28"/>
        </w:rPr>
      </w:pPr>
      <w:r>
        <w:rPr>
          <w:rFonts w:ascii="仿宋_GB2312" w:eastAsia="仿宋_GB2312" w:hAnsi="Times New Roman" w:cs="仿宋_GB2312" w:hint="eastAsia"/>
          <w:sz w:val="28"/>
          <w:szCs w:val="28"/>
        </w:rPr>
        <w:t>盘盈的除固定资产以外的其他财产，借记本科目，贷记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等科目。四、企业的财产损溢，应查明原因，在期末结账前处理完毕，处理后本科目应无余额。</w:t>
      </w:r>
    </w:p>
    <w:p w14:paraId="6FBA0AB5" w14:textId="77777777" w:rsidR="00D630C4" w:rsidRDefault="00D630C4" w:rsidP="00D630C4">
      <w:pPr>
        <w:pStyle w:val="CM73"/>
        <w:jc w:val="center"/>
        <w:rPr>
          <w:rFonts w:ascii="宋体" w:eastAsia="宋体" w:hAnsi="Times New Roman" w:cs="宋体"/>
          <w:sz w:val="30"/>
          <w:szCs w:val="30"/>
        </w:rPr>
      </w:pPr>
      <w:r>
        <w:rPr>
          <w:rFonts w:ascii="宋体" w:eastAsia="宋体" w:hAnsi="Times New Roman" w:cs="宋体" w:hint="eastAsia"/>
          <w:sz w:val="30"/>
          <w:szCs w:val="30"/>
        </w:rPr>
        <w:t>负债类</w:t>
      </w:r>
      <w:r>
        <w:rPr>
          <w:rFonts w:ascii="宋体" w:eastAsia="宋体" w:hAnsi="Times New Roman" w:cs="宋体"/>
          <w:sz w:val="30"/>
          <w:szCs w:val="30"/>
        </w:rPr>
        <w:t xml:space="preserve"> </w:t>
      </w:r>
    </w:p>
    <w:p w14:paraId="4F39AD20" w14:textId="77777777" w:rsidR="00D630C4" w:rsidRDefault="00D630C4" w:rsidP="00D630C4">
      <w:pPr>
        <w:pStyle w:val="Default"/>
        <w:spacing w:line="546" w:lineRule="atLeast"/>
        <w:ind w:right="2273"/>
        <w:rPr>
          <w:rFonts w:ascii="仿宋_GB2312" w:eastAsia="仿宋_GB2312" w:hAnsi="Times New Roman" w:cs="仿宋_GB2312"/>
          <w:color w:val="auto"/>
          <w:sz w:val="28"/>
          <w:szCs w:val="28"/>
        </w:rPr>
      </w:pPr>
      <w:r>
        <w:rPr>
          <w:rFonts w:ascii="Times New Roman" w:eastAsia="宋体" w:hAnsi="Times New Roman" w:cs="Times New Roman"/>
          <w:b/>
          <w:bCs/>
          <w:color w:val="auto"/>
          <w:sz w:val="28"/>
          <w:szCs w:val="28"/>
        </w:rPr>
        <w:lastRenderedPageBreak/>
        <w:t xml:space="preserve">2001 </w:t>
      </w:r>
      <w:r>
        <w:rPr>
          <w:rFonts w:ascii="仿宋_GB2312" w:eastAsia="仿宋_GB2312" w:hAnsi="Times New Roman" w:cs="仿宋_GB2312" w:hint="eastAsia"/>
          <w:color w:val="auto"/>
          <w:sz w:val="28"/>
          <w:szCs w:val="28"/>
        </w:rPr>
        <w:t>短期借款</w:t>
      </w:r>
    </w:p>
    <w:p w14:paraId="72B389B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一、本科目核算企业向银行或其他金融机构等借入的期限在</w:t>
      </w:r>
      <w:r>
        <w:rPr>
          <w:rFonts w:ascii="Times New Roman" w:eastAsia="仿宋_GB2312" w:hAnsi="Times New Roman" w:cs="Times New Roman"/>
          <w:color w:val="auto"/>
          <w:sz w:val="28"/>
          <w:szCs w:val="28"/>
        </w:rPr>
        <w:t xml:space="preserve">1 </w:t>
      </w:r>
      <w:r>
        <w:rPr>
          <w:rFonts w:ascii="仿宋_GB2312" w:eastAsia="仿宋_GB2312" w:hAnsi="Times New Roman" w:cs="仿宋_GB2312" w:hint="eastAsia"/>
          <w:color w:val="auto"/>
          <w:sz w:val="28"/>
          <w:szCs w:val="28"/>
        </w:rPr>
        <w:t>年以下</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含</w:t>
      </w:r>
      <w:r>
        <w:rPr>
          <w:rFonts w:ascii="Times New Roman" w:eastAsia="仿宋_GB2312" w:hAnsi="Times New Roman" w:cs="Times New Roman"/>
          <w:color w:val="auto"/>
          <w:sz w:val="28"/>
          <w:szCs w:val="28"/>
        </w:rPr>
        <w:t xml:space="preserve">1 </w:t>
      </w:r>
      <w:r>
        <w:rPr>
          <w:rFonts w:ascii="仿宋_GB2312" w:eastAsia="仿宋_GB2312" w:hAnsi="Times New Roman" w:cs="仿宋_GB2312" w:hint="eastAsia"/>
          <w:color w:val="auto"/>
          <w:sz w:val="28"/>
          <w:szCs w:val="28"/>
        </w:rPr>
        <w:t>年</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的各种借款。</w:t>
      </w:r>
    </w:p>
    <w:p w14:paraId="6CB6998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二、本科目可按借款种类、贷款人和币种进行明细核算。</w:t>
      </w:r>
    </w:p>
    <w:p w14:paraId="342BBEE8"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三、企业借入的各种短期借款，借记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科目，贷记本科目；归还借款做相反的会计分录。资产负债表日，应按计算确定的短期借款利息费用，借记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财务费</w:t>
      </w:r>
      <w:r>
        <w:rPr>
          <w:rFonts w:ascii="仿宋_GB2312" w:eastAsia="仿宋_GB2312" w:hAnsi="Times New Roman" w:cs="仿宋_GB2312" w:hint="eastAsia"/>
          <w:sz w:val="28"/>
          <w:szCs w:val="28"/>
        </w:rPr>
        <w:t>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应付利息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0D47AA6B"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四、本科目期末贷方余额，反映企业尚未偿还的短期借款。</w:t>
      </w:r>
    </w:p>
    <w:p w14:paraId="11618013" w14:textId="77777777" w:rsidR="00D630C4" w:rsidRDefault="00D630C4" w:rsidP="00D630C4">
      <w:pPr>
        <w:pStyle w:val="Default"/>
        <w:spacing w:line="546" w:lineRule="atLeast"/>
        <w:ind w:right="1403"/>
        <w:rPr>
          <w:rFonts w:ascii="Times New Roman" w:eastAsia="仿宋_GB2312" w:hAnsi="Times New Roman" w:cs="Times New Roman"/>
          <w:b/>
          <w:bCs/>
          <w:color w:val="auto"/>
          <w:sz w:val="28"/>
          <w:szCs w:val="28"/>
        </w:rPr>
      </w:pPr>
    </w:p>
    <w:p w14:paraId="647B0B07" w14:textId="77777777" w:rsidR="00D630C4" w:rsidRDefault="00D630C4" w:rsidP="00D630C4">
      <w:pPr>
        <w:pStyle w:val="Default"/>
        <w:spacing w:line="546" w:lineRule="atLeast"/>
        <w:ind w:right="140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2002 </w:t>
      </w:r>
      <w:r>
        <w:rPr>
          <w:rFonts w:ascii="仿宋_GB2312" w:eastAsia="仿宋_GB2312" w:hAnsi="Times New Roman" w:cs="仿宋_GB2312" w:hint="eastAsia"/>
          <w:color w:val="auto"/>
          <w:sz w:val="28"/>
          <w:szCs w:val="28"/>
        </w:rPr>
        <w:t>存入保证金</w:t>
      </w:r>
    </w:p>
    <w:p w14:paraId="5F62F93D"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一、本科目核算企业（金融）收到客户存入的各种保证金，如信用证保证金、承兑汇票保证金、保函保证金、担保保证金等。</w:t>
      </w:r>
    </w:p>
    <w:p w14:paraId="7300700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二、本科目可按客户进行明细核算。</w:t>
      </w:r>
    </w:p>
    <w:p w14:paraId="72D59DD8" w14:textId="77777777" w:rsidR="00D630C4" w:rsidRDefault="00D630C4" w:rsidP="00D630C4">
      <w:pPr>
        <w:pStyle w:val="CM12"/>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三、企业收到客户存入的保证金，借记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应付分保账款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等科目，贷记本科目；向客户归还保证金做相反的会计分录。</w:t>
      </w:r>
    </w:p>
    <w:p w14:paraId="08154C6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资产负债表日，应按计算确定的存入保证金利息费用，借记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3420B24F"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四、本科目期末贷方余额，反映企业接受存入但尚未返还的保证金。</w:t>
      </w:r>
    </w:p>
    <w:p w14:paraId="65653E97" w14:textId="77777777" w:rsidR="00D630C4" w:rsidRDefault="00D630C4" w:rsidP="00D630C4">
      <w:pPr>
        <w:pStyle w:val="Default"/>
        <w:spacing w:line="546" w:lineRule="atLeast"/>
        <w:ind w:right="22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lastRenderedPageBreak/>
        <w:t xml:space="preserve">2003 </w:t>
      </w:r>
      <w:r>
        <w:rPr>
          <w:rFonts w:ascii="仿宋_GB2312" w:eastAsia="仿宋_GB2312" w:hAnsi="Times New Roman" w:cs="仿宋_GB2312" w:hint="eastAsia"/>
          <w:color w:val="auto"/>
          <w:sz w:val="28"/>
          <w:szCs w:val="28"/>
        </w:rPr>
        <w:t>拆入资金</w:t>
      </w:r>
    </w:p>
    <w:p w14:paraId="781F020A"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一、本科目核算企业（金融）从境内、境外金融机构拆入的款项。</w:t>
      </w:r>
    </w:p>
    <w:p w14:paraId="589E3C02"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二、本科目可按拆入资金的金融机构进行明细核算。</w:t>
      </w:r>
    </w:p>
    <w:p w14:paraId="4970F4AA"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三、企业应按实际收到的金额，借记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存放中央银行款项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等科目，贷记本科目；归还拆入资金做相反的会计分录。资产负债表日，应按计算确定的拆入资金的利息费用，借记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利息支出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应付利息</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0D66F2BB"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四、本科目期末贷方余额，反映企业尚未归还的拆入资金余额。</w:t>
      </w:r>
    </w:p>
    <w:p w14:paraId="417AA2A9" w14:textId="77777777" w:rsidR="00D630C4" w:rsidRDefault="00D630C4" w:rsidP="00D630C4">
      <w:pPr>
        <w:pStyle w:val="Default"/>
        <w:spacing w:line="546" w:lineRule="atLeast"/>
        <w:ind w:right="960"/>
        <w:rPr>
          <w:rFonts w:ascii="Times New Roman" w:eastAsia="仿宋_GB2312" w:hAnsi="Times New Roman" w:cs="Times New Roman"/>
          <w:b/>
          <w:bCs/>
          <w:color w:val="auto"/>
          <w:sz w:val="28"/>
          <w:szCs w:val="28"/>
        </w:rPr>
      </w:pPr>
    </w:p>
    <w:p w14:paraId="18BF061D" w14:textId="77777777" w:rsidR="00D630C4" w:rsidRDefault="00D630C4" w:rsidP="00D630C4">
      <w:pPr>
        <w:pStyle w:val="Default"/>
        <w:spacing w:line="546" w:lineRule="atLeast"/>
        <w:ind w:right="96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2004 </w:t>
      </w:r>
      <w:r>
        <w:rPr>
          <w:rFonts w:ascii="仿宋_GB2312" w:eastAsia="仿宋_GB2312" w:hAnsi="Times New Roman" w:cs="仿宋_GB2312" w:hint="eastAsia"/>
          <w:color w:val="auto"/>
          <w:sz w:val="28"/>
          <w:szCs w:val="28"/>
        </w:rPr>
        <w:t>向中央银行借款</w:t>
      </w:r>
    </w:p>
    <w:p w14:paraId="735A3C68"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一、本科目核算企业（银行）向中央银行借入的款项。</w:t>
      </w:r>
    </w:p>
    <w:p w14:paraId="67CC529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二、本科目可按借款性质进行明细核算。</w:t>
      </w:r>
    </w:p>
    <w:p w14:paraId="248A8CE2"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三、企业应按实际收到的金额，借记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存放中央银行款项</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科目，贷记本科目；归还借款做相反的会计分录。资产负债表日，应按计算确定的向中央银行借款的利息费用，借记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利息支出</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应付利息</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w:t>
      </w:r>
    </w:p>
    <w:p w14:paraId="724B7BE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四、本科目期末贷方余额，反映企业尚未归还中央银行借款的余额。</w:t>
      </w:r>
    </w:p>
    <w:p w14:paraId="54DC9FBC" w14:textId="77777777" w:rsidR="00D630C4" w:rsidRDefault="00D630C4" w:rsidP="00D630C4">
      <w:pPr>
        <w:pStyle w:val="CM22"/>
        <w:rPr>
          <w:rFonts w:ascii="Times New Roman" w:eastAsia="仿宋_GB2312" w:hAnsi="Times New Roman"/>
          <w:b/>
          <w:bCs/>
          <w:sz w:val="28"/>
          <w:szCs w:val="28"/>
        </w:rPr>
      </w:pPr>
    </w:p>
    <w:p w14:paraId="2EE8DB45"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2011  </w:t>
      </w:r>
      <w:r>
        <w:rPr>
          <w:rFonts w:ascii="仿宋_GB2312" w:eastAsia="仿宋_GB2312" w:hAnsi="Times New Roman" w:cs="仿宋_GB2312" w:hint="eastAsia"/>
          <w:sz w:val="28"/>
          <w:szCs w:val="28"/>
        </w:rPr>
        <w:t>吸收存款</w:t>
      </w:r>
    </w:p>
    <w:p w14:paraId="3630B61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一、本科目核算企业（银行）吸收的除同业存放款项以外的其他各种存款，包括单位存款（企业、事业单位、机关、社会团体等）、</w:t>
      </w:r>
      <w:r>
        <w:rPr>
          <w:rFonts w:ascii="仿宋_GB2312" w:eastAsia="仿宋_GB2312" w:hAnsi="Times New Roman" w:cs="仿宋_GB2312" w:hint="eastAsia"/>
          <w:sz w:val="28"/>
          <w:szCs w:val="28"/>
        </w:rPr>
        <w:lastRenderedPageBreak/>
        <w:t>个人存款、信用卡存款、特种存款、转贷款资金和财政性存款等。</w:t>
      </w:r>
    </w:p>
    <w:p w14:paraId="05C669E6"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二、本科目可按存款类别及存款单位，分别</w:t>
      </w:r>
      <w:r>
        <w:rPr>
          <w:rFonts w:ascii="Times New Roman" w:eastAsia="仿宋_GB2312" w:hAnsi="Times New Roman"/>
          <w:sz w:val="28"/>
          <w:szCs w:val="28"/>
        </w:rPr>
        <w:t>“</w:t>
      </w:r>
      <w:r>
        <w:rPr>
          <w:rFonts w:ascii="仿宋_GB2312" w:eastAsia="仿宋_GB2312" w:hAnsi="Times New Roman" w:cs="仿宋_GB2312" w:hint="eastAsia"/>
          <w:sz w:val="28"/>
          <w:szCs w:val="28"/>
        </w:rPr>
        <w:t>本金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等进行明细核算。</w:t>
      </w:r>
    </w:p>
    <w:p w14:paraId="27D9525B"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三、吸收存款的主要账务处理。</w:t>
      </w:r>
    </w:p>
    <w:p w14:paraId="57393091" w14:textId="77777777" w:rsidR="00D630C4" w:rsidRDefault="00D630C4" w:rsidP="00D630C4">
      <w:pPr>
        <w:pStyle w:val="CM56"/>
        <w:ind w:firstLine="633"/>
        <w:rPr>
          <w:rFonts w:ascii="Times New Roman" w:eastAsia="仿宋_GB2312" w:hAnsi="Times New Roman"/>
          <w:sz w:val="28"/>
          <w:szCs w:val="28"/>
        </w:rPr>
      </w:pPr>
      <w:r>
        <w:rPr>
          <w:rFonts w:ascii="仿宋_GB2312" w:eastAsia="仿宋_GB2312" w:hAnsi="Times New Roman" w:cs="仿宋_GB2312" w:hint="eastAsia"/>
          <w:sz w:val="28"/>
          <w:szCs w:val="28"/>
        </w:rPr>
        <w:t>（一）企业收到客户存入的款项，应按实际收到的金额，借记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等科目，贷记本科目（本金），如存在差额，借记或贷记本科目（利息调整）。</w:t>
      </w:r>
    </w:p>
    <w:p w14:paraId="48091DC4"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（二）资产负债表日，应按摊余成本和实际利率计算确定的存入资金的利息费用，借记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科目，按合同利率计算确定的应付未付利息，贷记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科目，按其差额，借记或贷记本科目（利息调整）。实际利率与合同利率差异较小的，也可以采用合同利率计算确定利息费用。</w:t>
      </w:r>
    </w:p>
    <w:p w14:paraId="20C7C20B" w14:textId="77777777" w:rsidR="00D630C4" w:rsidRDefault="00D630C4" w:rsidP="00D630C4">
      <w:pPr>
        <w:pStyle w:val="CM57"/>
        <w:ind w:firstLine="700"/>
        <w:rPr>
          <w:rFonts w:ascii="仿宋_GB2312" w:eastAsia="仿宋_GB2312" w:hAnsi="Times New Roman" w:cs="仿宋_GB2312"/>
          <w:sz w:val="28"/>
          <w:szCs w:val="28"/>
        </w:rPr>
      </w:pPr>
      <w:r>
        <w:rPr>
          <w:rFonts w:ascii="仿宋_GB2312" w:eastAsia="仿宋_GB2312" w:hAnsi="Times New Roman" w:cs="仿宋_GB2312" w:hint="eastAsia"/>
          <w:sz w:val="28"/>
          <w:szCs w:val="28"/>
        </w:rPr>
        <w:t>（三）支付的存入资金利息，借记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A6BF1A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支付的存款本金，借记本科目（本金），贷记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等科目，按应转销的利息调整金额，贷记本科目（利息调整），按其差额，借记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A230684" w14:textId="77777777" w:rsidR="00D630C4" w:rsidRDefault="00D630C4" w:rsidP="00D630C4">
      <w:pPr>
        <w:pStyle w:val="CM73"/>
        <w:spacing w:line="546" w:lineRule="atLeast"/>
        <w:ind w:right="138"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四、本科目期末贷方余额，反映企业吸收的除同业存放款项以外的其他各项存款。</w:t>
      </w:r>
    </w:p>
    <w:p w14:paraId="7CBD9DD0" w14:textId="77777777" w:rsidR="00D630C4" w:rsidRDefault="00D630C4" w:rsidP="00D630C4">
      <w:pPr>
        <w:pStyle w:val="CM3"/>
        <w:rPr>
          <w:rFonts w:ascii="仿宋_GB2312" w:eastAsia="仿宋_GB2312" w:hAnsi="Times New Roman" w:cs="仿宋_GB2312"/>
          <w:sz w:val="28"/>
          <w:szCs w:val="28"/>
        </w:rPr>
      </w:pPr>
      <w:r>
        <w:rPr>
          <w:rFonts w:ascii="Times New Roman" w:eastAsia="仿宋_GB2312" w:hAnsi="Times New Roman"/>
          <w:b/>
          <w:bCs/>
          <w:sz w:val="28"/>
          <w:szCs w:val="28"/>
        </w:rPr>
        <w:t xml:space="preserve">2012 </w:t>
      </w:r>
      <w:r>
        <w:rPr>
          <w:rFonts w:ascii="仿宋_GB2312" w:eastAsia="仿宋_GB2312" w:hAnsi="Times New Roman" w:cs="仿宋_GB2312" w:hint="eastAsia"/>
          <w:sz w:val="28"/>
          <w:szCs w:val="28"/>
        </w:rPr>
        <w:t>同业存放</w:t>
      </w:r>
    </w:p>
    <w:p w14:paraId="115C26AE"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一、本科目核算企业（银行）吸收的境内、境外金融机构的存款。</w:t>
      </w:r>
    </w:p>
    <w:p w14:paraId="1744AD44"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二、本科目可按存放金融机构进行明细核算。</w:t>
      </w:r>
    </w:p>
    <w:p w14:paraId="40B7CB31"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三、企业增加存款，应按实际收到的金额，借记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等科目，贷记本科目。减少存款做相反的会计分录。</w:t>
      </w:r>
    </w:p>
    <w:p w14:paraId="65FAE732"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四、本科目期末贷方余额，反映企业吸收的同业存放款项。</w:t>
      </w:r>
    </w:p>
    <w:p w14:paraId="6584658B" w14:textId="77777777" w:rsidR="00D630C4" w:rsidRDefault="00D630C4" w:rsidP="00D630C4">
      <w:pPr>
        <w:pStyle w:val="CM43"/>
        <w:ind w:right="3308"/>
        <w:rPr>
          <w:rFonts w:ascii="Times New Roman" w:eastAsia="仿宋_GB2312" w:hAnsi="Times New Roman"/>
          <w:b/>
          <w:bCs/>
          <w:sz w:val="28"/>
          <w:szCs w:val="28"/>
        </w:rPr>
      </w:pPr>
    </w:p>
    <w:p w14:paraId="2338736B" w14:textId="77777777" w:rsidR="00D630C4" w:rsidRDefault="00D630C4" w:rsidP="00D630C4">
      <w:pPr>
        <w:pStyle w:val="CM43"/>
        <w:ind w:right="3308"/>
        <w:rPr>
          <w:rFonts w:ascii="仿宋_GB2312" w:eastAsia="仿宋_GB2312" w:hAnsi="Times New Roman" w:cs="仿宋_GB2312"/>
          <w:sz w:val="28"/>
          <w:szCs w:val="28"/>
        </w:rPr>
      </w:pPr>
      <w:r>
        <w:rPr>
          <w:rFonts w:ascii="Times New Roman" w:eastAsia="仿宋_GB2312" w:hAnsi="Times New Roman"/>
          <w:b/>
          <w:bCs/>
          <w:sz w:val="28"/>
          <w:szCs w:val="28"/>
        </w:rPr>
        <w:t xml:space="preserve">2021 </w:t>
      </w:r>
      <w:r>
        <w:rPr>
          <w:rFonts w:ascii="仿宋_GB2312" w:eastAsia="仿宋_GB2312" w:hAnsi="Times New Roman" w:cs="仿宋_GB2312" w:hint="eastAsia"/>
          <w:sz w:val="28"/>
          <w:szCs w:val="28"/>
        </w:rPr>
        <w:t>贴现负债</w:t>
      </w:r>
    </w:p>
    <w:p w14:paraId="47B09541" w14:textId="77777777" w:rsidR="00D630C4" w:rsidRDefault="00D630C4" w:rsidP="00D630C4">
      <w:pPr>
        <w:pStyle w:val="CM43"/>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一、本科目核算企业（银行）办理商业票据的转贴现等业务所融入的资金。</w:t>
      </w:r>
    </w:p>
    <w:p w14:paraId="5C5AC018" w14:textId="77777777" w:rsidR="00D630C4" w:rsidRDefault="00D630C4" w:rsidP="00D630C4">
      <w:pPr>
        <w:pStyle w:val="CM43"/>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二、本科目可按贴现类别和贴现金融机构，分别</w:t>
      </w:r>
      <w:r>
        <w:rPr>
          <w:rFonts w:ascii="Times New Roman" w:eastAsia="仿宋_GB2312" w:hAnsi="Times New Roman"/>
          <w:sz w:val="28"/>
          <w:szCs w:val="28"/>
        </w:rPr>
        <w:t>“</w:t>
      </w:r>
      <w:r>
        <w:rPr>
          <w:rFonts w:ascii="仿宋_GB2312" w:eastAsia="仿宋_GB2312" w:hAnsi="Times New Roman" w:cs="仿宋_GB2312" w:hint="eastAsia"/>
          <w:sz w:val="28"/>
          <w:szCs w:val="28"/>
        </w:rPr>
        <w:t>面值</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进行明细核算。</w:t>
      </w:r>
    </w:p>
    <w:p w14:paraId="20883EA0" w14:textId="77777777" w:rsidR="00D630C4" w:rsidRDefault="00D630C4" w:rsidP="00D630C4">
      <w:pPr>
        <w:pStyle w:val="CM43"/>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三、贴现负债的主要账务处理。</w:t>
      </w:r>
    </w:p>
    <w:p w14:paraId="25D734CD"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（一）企业持贴现票据向其他金融机构转贴现，应按实际收到的金额，借记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等科目，按贴现票据的票面金额，贷记本科目（面值），按其差额，借记本科目（利息调整）。</w:t>
      </w:r>
    </w:p>
    <w:p w14:paraId="4C116A8C" w14:textId="77777777" w:rsidR="00D630C4" w:rsidRDefault="00D630C4" w:rsidP="00D630C4">
      <w:pPr>
        <w:pStyle w:val="CM59"/>
        <w:ind w:right="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（二）资产负债表日，按计算确定的利息费用，借记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科目，贷记本科目（利息调整）。</w:t>
      </w:r>
    </w:p>
    <w:p w14:paraId="5331610A" w14:textId="77777777" w:rsidR="00D630C4" w:rsidRDefault="00D630C4" w:rsidP="00D630C4">
      <w:pPr>
        <w:pStyle w:val="CM59"/>
        <w:ind w:right="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（三）贴现票据到期，应按贴现票据的票面金额，借记本科目（面值），按实际支付的金额，贷记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科目。存在利息调整的，也应同时结转。</w:t>
      </w:r>
    </w:p>
    <w:p w14:paraId="286490DB" w14:textId="77777777" w:rsidR="00D630C4" w:rsidRDefault="00D630C4" w:rsidP="00D630C4">
      <w:pPr>
        <w:pStyle w:val="CM59"/>
        <w:ind w:right="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四、本科目期末贷方余额，反映企业办理的转贴现等业务融入的资金。</w:t>
      </w:r>
    </w:p>
    <w:p w14:paraId="3515DB54" w14:textId="77777777" w:rsidR="00D630C4" w:rsidRDefault="00D630C4" w:rsidP="00D630C4">
      <w:pPr>
        <w:pStyle w:val="CM53"/>
        <w:ind w:right="130"/>
        <w:rPr>
          <w:rFonts w:ascii="Times New Roman" w:eastAsia="仿宋_GB2312" w:hAnsi="Times New Roman"/>
          <w:b/>
          <w:bCs/>
          <w:sz w:val="28"/>
          <w:szCs w:val="28"/>
        </w:rPr>
      </w:pPr>
    </w:p>
    <w:p w14:paraId="228C0115" w14:textId="77777777" w:rsidR="00D630C4" w:rsidRDefault="00D630C4" w:rsidP="00D630C4">
      <w:pPr>
        <w:pStyle w:val="CM53"/>
        <w:ind w:right="130"/>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2101 </w:t>
      </w:r>
      <w:r>
        <w:rPr>
          <w:rFonts w:ascii="仿宋_GB2312" w:eastAsia="仿宋_GB2312" w:hAnsi="Times New Roman" w:cs="仿宋_GB2312" w:hint="eastAsia"/>
          <w:sz w:val="28"/>
          <w:szCs w:val="28"/>
        </w:rPr>
        <w:t>交易性金融负债</w:t>
      </w:r>
    </w:p>
    <w:p w14:paraId="701234C1"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一、本科目核算企业承担的交易性金融负债的公允价值。企业持有的直接指定为以公允价值计量且其变动计入当期损益的金融负债，也在本科目核算。衍生金融负债在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衍生工具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科目核算。</w:t>
      </w:r>
    </w:p>
    <w:p w14:paraId="057EBDD0" w14:textId="77777777" w:rsidR="00D630C4" w:rsidRDefault="00D630C4" w:rsidP="00D630C4">
      <w:pPr>
        <w:pStyle w:val="CM53"/>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二、本科目可按交易性金融负债类别，分别</w:t>
      </w:r>
      <w:r>
        <w:rPr>
          <w:rFonts w:ascii="Times New Roman" w:eastAsia="仿宋_GB2312" w:hAnsi="Times New Roman"/>
          <w:sz w:val="28"/>
          <w:szCs w:val="28"/>
        </w:rPr>
        <w:t>“</w:t>
      </w:r>
      <w:r>
        <w:rPr>
          <w:rFonts w:ascii="仿宋_GB2312" w:eastAsia="仿宋_GB2312" w:hAnsi="Times New Roman" w:cs="仿宋_GB2312" w:hint="eastAsia"/>
          <w:sz w:val="28"/>
          <w:szCs w:val="28"/>
        </w:rPr>
        <w:t>本金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w:t>
      </w:r>
    </w:p>
    <w:p w14:paraId="6A44850A" w14:textId="77777777" w:rsidR="00D630C4" w:rsidRDefault="00D630C4" w:rsidP="00D630C4">
      <w:pPr>
        <w:pStyle w:val="Default"/>
        <w:spacing w:line="543" w:lineRule="atLeast"/>
        <w:ind w:left="630" w:right="40" w:hanging="63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变动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等进行明细核算。三、交易性金融负债的主要账务处理。</w:t>
      </w:r>
    </w:p>
    <w:p w14:paraId="61B0BE7A"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（一）企业承担的交易性金融负债，应按实际收到的金额，借记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等科目，按发生的交易费用，借记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科目，按交易性金融负债的公允价值，贷记本科目（本金）。</w:t>
      </w:r>
    </w:p>
    <w:p w14:paraId="54883319"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（二）资产负债表日，按交易性金融负债票面利率计算的利息，借记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应付利息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081D2BB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资产负债表日，交易性金融负债的公允价值高于其账面余额的差额，借记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科目，贷记本科目（公允价值变动）；</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公允价值低于其账面余额的差额做相反的会计分录。</w:t>
      </w:r>
    </w:p>
    <w:p w14:paraId="6221BE1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（三）处置交易性金融负债，应按该金融负债的账面余额，借记本科目，按实际支付的金额，贷记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科目。同时，按该金融负债的公允价值变动，借记或贷记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公允价值变动损益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4386CA0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四、本科目期末贷方余额，反映企业承担的交易性金融负债的公允价值。</w:t>
      </w:r>
    </w:p>
    <w:p w14:paraId="25006B0C" w14:textId="77777777" w:rsidR="00D630C4" w:rsidRDefault="00D630C4" w:rsidP="00D630C4">
      <w:pPr>
        <w:pStyle w:val="Default"/>
        <w:spacing w:line="546" w:lineRule="atLeast"/>
        <w:ind w:right="2505"/>
        <w:rPr>
          <w:rFonts w:ascii="Times New Roman" w:eastAsia="仿宋_GB2312" w:hAnsi="Times New Roman" w:cs="Times New Roman"/>
          <w:b/>
          <w:bCs/>
          <w:color w:val="auto"/>
          <w:sz w:val="28"/>
          <w:szCs w:val="28"/>
        </w:rPr>
      </w:pPr>
    </w:p>
    <w:p w14:paraId="1C17674E" w14:textId="77777777" w:rsidR="00D630C4" w:rsidRDefault="00D630C4" w:rsidP="00D630C4">
      <w:pPr>
        <w:pStyle w:val="Default"/>
        <w:spacing w:line="546" w:lineRule="atLeast"/>
        <w:ind w:right="250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2111 </w:t>
      </w:r>
      <w:r>
        <w:rPr>
          <w:rFonts w:ascii="仿宋_GB2312" w:eastAsia="仿宋_GB2312" w:hAnsi="Times New Roman" w:cs="仿宋_GB2312" w:hint="eastAsia"/>
          <w:color w:val="auto"/>
          <w:sz w:val="28"/>
          <w:szCs w:val="28"/>
        </w:rPr>
        <w:t>卖出回购金融资产款</w:t>
      </w:r>
    </w:p>
    <w:p w14:paraId="48E2DACD"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一、本科目核算企业（金融）按照回购协议先卖出再按固定价格买入的票据、证券、贷款等金融资产所融入的资金。</w:t>
      </w:r>
    </w:p>
    <w:p w14:paraId="41F0BE8B"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二、本科目可按卖出回购金融资产的类别和融资方进行明细核算。</w:t>
      </w:r>
    </w:p>
    <w:p w14:paraId="4BCAACB1"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三、卖出回购金融资产款的主要账务处理。</w:t>
      </w:r>
    </w:p>
    <w:p w14:paraId="394FE61B"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（一）企业根据回购协议卖出票据、证券、贷款等金融资产，应按实际收到的金额，借记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493B718D"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（二）资产负债表日，按照计算确定的卖出回购金融资产的利息费用，借记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应付利息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087FFC9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（三）回购日，按其账面余额，借记本科目、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应付利息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10A5346"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四、本科目期末贷方余额，反映企业尚未到期的卖出回购金融资产款。</w:t>
      </w:r>
    </w:p>
    <w:p w14:paraId="74296829" w14:textId="77777777" w:rsidR="00D630C4" w:rsidRDefault="00D630C4" w:rsidP="00D630C4">
      <w:pPr>
        <w:pStyle w:val="Default"/>
        <w:spacing w:line="546" w:lineRule="atLeast"/>
        <w:ind w:right="2168"/>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2201 </w:t>
      </w:r>
      <w:r>
        <w:rPr>
          <w:rFonts w:ascii="仿宋_GB2312" w:eastAsia="仿宋_GB2312" w:hAnsi="Times New Roman" w:cs="仿宋_GB2312" w:hint="eastAsia"/>
          <w:color w:val="auto"/>
          <w:sz w:val="28"/>
          <w:szCs w:val="28"/>
        </w:rPr>
        <w:t>应付票据</w:t>
      </w:r>
    </w:p>
    <w:p w14:paraId="738DF4E3"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一、本科目核算企业购买材料、商品和接受劳务供应等开出、承兑的商业汇票，包括银行承兑汇票和商业承兑汇票。</w:t>
      </w:r>
    </w:p>
    <w:p w14:paraId="27F89C61"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二、本科目可按债权人进行明细核算。</w:t>
      </w:r>
    </w:p>
    <w:p w14:paraId="07940F15"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三、应付票据的主要账务处理。</w:t>
      </w:r>
    </w:p>
    <w:p w14:paraId="561343F0"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（一）企业开出、承兑商业汇票或以承兑商业汇票抵付货款、应付账款等，借记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等科目，贷记本科目。涉及增值税进项税额的，还应进行相应的处理。</w:t>
      </w:r>
    </w:p>
    <w:p w14:paraId="3C222794"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（二）支付银行承兑汇票的手续费，借记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科目。支付票款，借记本科目，贷记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55526FF"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（三）银行承兑汇票到期，企业无力支付票款的，按应付票据的票面金额，借记本科目，贷记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短期借款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EC5AA07" w14:textId="77777777" w:rsidR="00D630C4" w:rsidRDefault="00D630C4" w:rsidP="00D630C4">
      <w:pPr>
        <w:pStyle w:val="CM1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四、企业应当设置</w:t>
      </w:r>
      <w:r>
        <w:rPr>
          <w:rFonts w:ascii="Times New Roman" w:eastAsia="仿宋_GB2312" w:hAnsi="Times New Roman"/>
          <w:sz w:val="28"/>
          <w:szCs w:val="28"/>
        </w:rPr>
        <w:t>“</w:t>
      </w:r>
      <w:r>
        <w:rPr>
          <w:rFonts w:ascii="仿宋_GB2312" w:eastAsia="仿宋_GB2312" w:hAnsi="Times New Roman" w:cs="仿宋_GB2312" w:hint="eastAsia"/>
          <w:sz w:val="28"/>
          <w:szCs w:val="28"/>
        </w:rPr>
        <w:t>应付票据备查簿</w:t>
      </w:r>
      <w:r>
        <w:rPr>
          <w:rFonts w:ascii="Times New Roman" w:eastAsia="仿宋_GB2312" w:hAnsi="Times New Roman"/>
          <w:sz w:val="28"/>
          <w:szCs w:val="28"/>
        </w:rPr>
        <w:t>”</w:t>
      </w:r>
      <w:r>
        <w:rPr>
          <w:rFonts w:ascii="仿宋_GB2312" w:eastAsia="仿宋_GB2312" w:hAnsi="Times New Roman" w:cs="仿宋_GB2312" w:hint="eastAsia"/>
          <w:sz w:val="28"/>
          <w:szCs w:val="28"/>
        </w:rPr>
        <w:t>，详细登记商业汇票的种类、号数和出票日期、到期日、票面金额、交易合同号和收款人姓名或单位名称以及付款日期和金额等资料。应付票据到期结清时，在备查簿中应予注销。</w:t>
      </w:r>
    </w:p>
    <w:p w14:paraId="70189A85"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五、本科目期末贷方余额，反映企业尚未到期的商业汇票的票面金额。</w:t>
      </w:r>
    </w:p>
    <w:p w14:paraId="7AECC132" w14:textId="77777777" w:rsidR="00D630C4" w:rsidRDefault="00D630C4" w:rsidP="00D630C4">
      <w:pPr>
        <w:pStyle w:val="CM60"/>
        <w:ind w:right="1728"/>
        <w:rPr>
          <w:rFonts w:ascii="仿宋_GB2312" w:eastAsia="仿宋_GB2312" w:hAnsi="Times New Roman" w:cs="仿宋_GB2312"/>
          <w:sz w:val="28"/>
          <w:szCs w:val="28"/>
        </w:rPr>
      </w:pPr>
      <w:r>
        <w:rPr>
          <w:rFonts w:ascii="Times New Roman" w:eastAsia="仿宋_GB2312" w:hAnsi="Times New Roman"/>
          <w:b/>
          <w:bCs/>
          <w:sz w:val="28"/>
          <w:szCs w:val="28"/>
        </w:rPr>
        <w:t xml:space="preserve">2202 </w:t>
      </w:r>
      <w:r>
        <w:rPr>
          <w:rFonts w:ascii="仿宋_GB2312" w:eastAsia="仿宋_GB2312" w:hAnsi="Times New Roman" w:cs="仿宋_GB2312" w:hint="eastAsia"/>
          <w:sz w:val="28"/>
          <w:szCs w:val="28"/>
        </w:rPr>
        <w:t>应付账款</w:t>
      </w:r>
    </w:p>
    <w:p w14:paraId="67BC961F" w14:textId="77777777" w:rsidR="00D630C4" w:rsidRDefault="00D630C4" w:rsidP="00D630C4">
      <w:pPr>
        <w:pStyle w:val="CM60"/>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一、本科目核算企业因购买材料、商品和接受劳务等经营活动应支付的款项。</w:t>
      </w:r>
    </w:p>
    <w:p w14:paraId="48D7FFF3"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企业（金融）应支付但尚未支付的手续费和佣金，可将本科目改为</w:t>
      </w:r>
      <w:r>
        <w:rPr>
          <w:rFonts w:ascii="Times New Roman" w:eastAsia="仿宋_GB2312" w:hAnsi="Times New Roman"/>
          <w:sz w:val="28"/>
          <w:szCs w:val="28"/>
        </w:rPr>
        <w:t xml:space="preserve">“2202 </w:t>
      </w:r>
      <w:r>
        <w:rPr>
          <w:rFonts w:ascii="仿宋_GB2312" w:eastAsia="仿宋_GB2312" w:hAnsi="Times New Roman" w:cs="仿宋_GB2312" w:hint="eastAsia"/>
          <w:sz w:val="28"/>
          <w:szCs w:val="28"/>
        </w:rPr>
        <w:t>应付手续费及佣金</w:t>
      </w:r>
      <w:r>
        <w:rPr>
          <w:rFonts w:ascii="Times New Roman" w:eastAsia="仿宋_GB2312" w:hAnsi="Times New Roman"/>
          <w:sz w:val="28"/>
          <w:szCs w:val="28"/>
        </w:rPr>
        <w:t>”</w:t>
      </w:r>
      <w:r>
        <w:rPr>
          <w:rFonts w:ascii="仿宋_GB2312" w:eastAsia="仿宋_GB2312" w:hAnsi="Times New Roman" w:cs="仿宋_GB2312" w:hint="eastAsia"/>
          <w:sz w:val="28"/>
          <w:szCs w:val="28"/>
        </w:rPr>
        <w:t>科目，并按照对方单位（或个人）进行明细核算。</w:t>
      </w:r>
    </w:p>
    <w:p w14:paraId="2182DB34"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企业（保险）应支付但尚未支付的赔付款项，可以单独设置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应付赔付款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4203022"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二、本科目可按债权人进行明细核算。</w:t>
      </w:r>
    </w:p>
    <w:p w14:paraId="51E364D0" w14:textId="77777777" w:rsidR="00D630C4" w:rsidRDefault="00D630C4" w:rsidP="00D630C4">
      <w:pPr>
        <w:pStyle w:val="CM61"/>
        <w:ind w:right="140"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三、企业购入材料、商品等验收入库，但货款尚未支付，根据有关凭证</w:t>
      </w:r>
      <w:r>
        <w:rPr>
          <w:rFonts w:ascii="Times New Roman" w:eastAsia="仿宋_GB2312" w:hAnsi="Times New Roman"/>
          <w:sz w:val="28"/>
          <w:szCs w:val="28"/>
        </w:rPr>
        <w:t>(</w:t>
      </w:r>
      <w:r>
        <w:rPr>
          <w:rFonts w:ascii="仿宋_GB2312" w:eastAsia="仿宋_GB2312" w:hAnsi="Times New Roman" w:cs="仿宋_GB2312" w:hint="eastAsia"/>
          <w:sz w:val="28"/>
          <w:szCs w:val="28"/>
        </w:rPr>
        <w:t>发票账单、随货同行发票上记载的实际价款或暂估价值</w:t>
      </w:r>
      <w:r>
        <w:rPr>
          <w:rFonts w:ascii="Times New Roman" w:eastAsia="仿宋_GB2312" w:hAnsi="Times New Roman"/>
          <w:sz w:val="28"/>
          <w:szCs w:val="28"/>
        </w:rPr>
        <w:t>)</w:t>
      </w:r>
      <w:r>
        <w:rPr>
          <w:rFonts w:ascii="仿宋_GB2312" w:eastAsia="仿宋_GB2312" w:hAnsi="Times New Roman" w:cs="仿宋_GB2312" w:hint="eastAsia"/>
          <w:sz w:val="28"/>
          <w:szCs w:val="28"/>
        </w:rPr>
        <w:t>，借记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在途物资</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等科目，按应付的款项，贷记本科目。</w:t>
      </w:r>
    </w:p>
    <w:p w14:paraId="1B9F5EF3" w14:textId="77777777" w:rsidR="00D630C4" w:rsidRDefault="00D630C4" w:rsidP="00D630C4">
      <w:pPr>
        <w:pStyle w:val="CM1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接受供应单位提供劳务而发生的应付未付款项，根据供应单位的发票账单，借记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等科目，贷记本科目。支付时，借记本科目，贷记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4C0A4C8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上述交易涉及增值税进项税额的，还应进行相应的处理。</w:t>
      </w:r>
    </w:p>
    <w:p w14:paraId="422665A7"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四、企业与债权人进行债务重组，应当分别债务重组的不同方式进行处理。</w:t>
      </w:r>
    </w:p>
    <w:p w14:paraId="5616A19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（一）以低于重组债务账面价值的款项清偿债务的，应按应付账款的账面余额，借记本科目，按实际支付的金额，贷记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债务重组利得</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D42FE1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（二）以非现金资产清偿债务的，应按应付账款的账面余额，借记本科目，按用于清偿债务的非现金资产的公允价值，贷记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固定资产清理</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无形资产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等科目，按应支付的相关税费和其他费用，贷记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债务重组利得</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E1AB47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抵债资产为存货的，还应同时结转成本，记入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主营业务成本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等科目；抵债资产为固定资产、无形资产的，其公允价值和账面价值的差额，记入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处置非流动资产利得</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lastRenderedPageBreak/>
        <w:t>或</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处置非流动资产损失</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科目；抵债资产为可供出售金融资产、持有至到期投资、长期股权投资等的，其公允价值和账面价值的差额，记入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7188FEB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（三）以债务转为资本，应按应付账款的账面余额，借记本科目，按债权人因放弃债权而享有股权的公允价值，贷记</w:t>
      </w:r>
      <w:r>
        <w:rPr>
          <w:rFonts w:ascii="Times New Roman" w:eastAsia="仿宋_GB2312" w:hAnsi="Times New Roman"/>
          <w:sz w:val="28"/>
          <w:szCs w:val="28"/>
        </w:rPr>
        <w:t>“</w:t>
      </w:r>
      <w:r>
        <w:rPr>
          <w:rFonts w:ascii="仿宋_GB2312" w:eastAsia="仿宋_GB2312" w:hAnsi="Times New Roman" w:cs="仿宋_GB2312" w:hint="eastAsia"/>
          <w:sz w:val="28"/>
          <w:szCs w:val="28"/>
        </w:rPr>
        <w:t>实收资本</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资本溢价或股本溢价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债务重组利得</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FA1482B" w14:textId="77777777" w:rsidR="00D630C4" w:rsidRDefault="00D630C4" w:rsidP="00D630C4">
      <w:pPr>
        <w:pStyle w:val="CM57"/>
        <w:ind w:firstLine="700"/>
        <w:rPr>
          <w:rFonts w:ascii="仿宋_GB2312" w:eastAsia="仿宋_GB2312" w:hAnsi="Times New Roman" w:cs="仿宋_GB2312"/>
          <w:sz w:val="28"/>
          <w:szCs w:val="28"/>
        </w:rPr>
      </w:pPr>
      <w:r>
        <w:rPr>
          <w:rFonts w:ascii="仿宋_GB2312" w:eastAsia="仿宋_GB2312" w:hAnsi="Times New Roman" w:cs="仿宋_GB2312" w:hint="eastAsia"/>
          <w:sz w:val="28"/>
          <w:szCs w:val="28"/>
        </w:rPr>
        <w:t>（四）以修改其他债务条件进行清偿的，应将重组债务的账面余额与重组后债务的公允价值的差额，借记本科目，贷记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债务重组利得</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95A5364" w14:textId="77777777" w:rsidR="00D630C4" w:rsidRDefault="00D630C4" w:rsidP="00D630C4">
      <w:pPr>
        <w:pStyle w:val="CM73"/>
        <w:spacing w:line="546" w:lineRule="atLeast"/>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五、本科目期末贷方余额，反映企业尚未支付的应付账款余额。</w:t>
      </w:r>
    </w:p>
    <w:p w14:paraId="793DFEE3" w14:textId="77777777" w:rsidR="00D630C4" w:rsidRDefault="00D630C4" w:rsidP="00D630C4">
      <w:pPr>
        <w:pStyle w:val="Default"/>
        <w:spacing w:line="546" w:lineRule="atLeast"/>
        <w:ind w:right="177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2203 </w:t>
      </w:r>
      <w:r>
        <w:rPr>
          <w:rFonts w:ascii="仿宋_GB2312" w:eastAsia="仿宋_GB2312" w:hAnsi="Times New Roman" w:cs="仿宋_GB2312" w:hint="eastAsia"/>
          <w:color w:val="auto"/>
          <w:sz w:val="28"/>
          <w:szCs w:val="28"/>
        </w:rPr>
        <w:t>预收账款</w:t>
      </w:r>
    </w:p>
    <w:p w14:paraId="5A684951"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一、本科目核算企业按照合同规定预收的款项。预收账款情况不多的，也可以不设置本科目，将预收的款项直接记入</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应收账款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6DD1963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企业（保险）收到未满足保费收入确认条件的保险费，可将本科目改为</w:t>
      </w:r>
      <w:r>
        <w:rPr>
          <w:rFonts w:ascii="Times New Roman" w:eastAsia="仿宋_GB2312" w:hAnsi="Times New Roman"/>
          <w:sz w:val="28"/>
          <w:szCs w:val="28"/>
        </w:rPr>
        <w:t xml:space="preserve">“2203 </w:t>
      </w:r>
      <w:r>
        <w:rPr>
          <w:rFonts w:ascii="仿宋_GB2312" w:eastAsia="仿宋_GB2312" w:hAnsi="Times New Roman" w:cs="仿宋_GB2312" w:hint="eastAsia"/>
          <w:sz w:val="28"/>
          <w:szCs w:val="28"/>
        </w:rPr>
        <w:t>预收保费</w:t>
      </w:r>
      <w:r>
        <w:rPr>
          <w:rFonts w:ascii="Times New Roman" w:eastAsia="仿宋_GB2312" w:hAnsi="Times New Roman"/>
          <w:sz w:val="28"/>
          <w:szCs w:val="28"/>
        </w:rPr>
        <w:t>”</w:t>
      </w:r>
      <w:r>
        <w:rPr>
          <w:rFonts w:ascii="仿宋_GB2312" w:eastAsia="仿宋_GB2312" w:hAnsi="Times New Roman" w:cs="仿宋_GB2312" w:hint="eastAsia"/>
          <w:sz w:val="28"/>
          <w:szCs w:val="28"/>
        </w:rPr>
        <w:t>科目，并按投保人进行明细核算；从事再保险分出业务预收的赔款，可以单独设置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预收赔付款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1C7BD9FA"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二、本科目可按购货单位进行明细核算。</w:t>
      </w:r>
    </w:p>
    <w:p w14:paraId="56660F2E"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三、预收账款的主要账务处理。</w:t>
      </w:r>
    </w:p>
    <w:p w14:paraId="24613CDE"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（一）企业向购货单位预收的款项，借记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等科目，贷</w:t>
      </w:r>
    </w:p>
    <w:p w14:paraId="4168CC5E" w14:textId="77777777" w:rsidR="00D630C4" w:rsidRDefault="00D630C4" w:rsidP="00D630C4">
      <w:pPr>
        <w:pStyle w:val="CM4"/>
        <w:rPr>
          <w:rFonts w:ascii="仿宋_GB2312" w:eastAsia="仿宋_GB2312" w:hAnsi="Times New Roman" w:cs="仿宋_GB2312"/>
          <w:sz w:val="28"/>
          <w:szCs w:val="28"/>
        </w:rPr>
      </w:pPr>
      <w:r>
        <w:rPr>
          <w:rFonts w:ascii="仿宋_GB2312" w:eastAsia="仿宋_GB2312" w:hAnsi="Times New Roman" w:cs="仿宋_GB2312" w:hint="eastAsia"/>
          <w:sz w:val="28"/>
          <w:szCs w:val="28"/>
        </w:rPr>
        <w:t>记本科目；销售实现时，按实现的收入，借记本科目，贷记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w:t>
      </w:r>
      <w:r>
        <w:rPr>
          <w:rFonts w:ascii="仿宋_GB2312" w:eastAsia="仿宋_GB2312" w:hAnsi="Times New Roman" w:cs="仿宋_GB2312" w:hint="eastAsia"/>
          <w:sz w:val="28"/>
          <w:szCs w:val="28"/>
        </w:rPr>
        <w:lastRenderedPageBreak/>
        <w:t>务收入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科目。涉及增值税销项税额的，还应进行相应的处理。</w:t>
      </w:r>
    </w:p>
    <w:p w14:paraId="6C750312"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（二）企业（保险）收到预收的保费，借记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库存现金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等科目，贷记本科目。确认保费收入，借记本科目，贷记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保费收入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科目。从事再保险业务转销预收的赔款，借记本科目，贷记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应收分保账款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6003A9F8" w14:textId="77777777" w:rsidR="00D630C4" w:rsidRDefault="00D630C4" w:rsidP="00D630C4">
      <w:pPr>
        <w:pStyle w:val="CM73"/>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四、本科目期末贷方余额，反映企业预收的款项；期末如为借方余额，反映企业尚未转销的款项。</w:t>
      </w:r>
    </w:p>
    <w:p w14:paraId="079C869C" w14:textId="77777777" w:rsidR="00D630C4" w:rsidRDefault="00D630C4" w:rsidP="00D630C4">
      <w:pPr>
        <w:pStyle w:val="CM75"/>
        <w:spacing w:line="546" w:lineRule="atLeast"/>
        <w:rPr>
          <w:rFonts w:ascii="仿宋_GB2312" w:eastAsia="仿宋_GB2312" w:hAnsi="Times New Roman" w:cs="仿宋_GB2312"/>
          <w:sz w:val="28"/>
          <w:szCs w:val="28"/>
        </w:rPr>
      </w:pPr>
      <w:r>
        <w:rPr>
          <w:rFonts w:ascii="Times New Roman" w:eastAsia="仿宋_GB2312" w:hAnsi="Times New Roman"/>
          <w:b/>
          <w:bCs/>
          <w:sz w:val="28"/>
          <w:szCs w:val="28"/>
        </w:rPr>
        <w:t xml:space="preserve">2211  </w:t>
      </w:r>
      <w:r>
        <w:rPr>
          <w:rFonts w:ascii="仿宋_GB2312" w:eastAsia="仿宋_GB2312" w:hAnsi="Times New Roman" w:cs="仿宋_GB2312" w:hint="eastAsia"/>
          <w:sz w:val="28"/>
          <w:szCs w:val="28"/>
        </w:rPr>
        <w:t>应付职工薪酬</w:t>
      </w:r>
    </w:p>
    <w:p w14:paraId="1AE4B749" w14:textId="77777777" w:rsidR="00D630C4" w:rsidRDefault="00D630C4" w:rsidP="00D630C4">
      <w:pPr>
        <w:pStyle w:val="Default"/>
        <w:spacing w:line="546" w:lineRule="atLeast"/>
        <w:ind w:right="373"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一、本科目核算企业根据有关规定应付给职工的各种薪酬。企业（外商）按规定从净利润中提取的职工奖励及福利基金，也在本科目核算。</w:t>
      </w:r>
    </w:p>
    <w:p w14:paraId="5358303A" w14:textId="77777777" w:rsidR="00D630C4" w:rsidRDefault="00D630C4" w:rsidP="00D630C4">
      <w:pPr>
        <w:pStyle w:val="CM2"/>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w:t>
      </w:r>
      <w:r>
        <w:rPr>
          <w:rFonts w:ascii="Times New Roman" w:eastAsia="仿宋_GB2312" w:hAnsi="Times New Roman"/>
          <w:sz w:val="28"/>
          <w:szCs w:val="28"/>
        </w:rPr>
        <w:t>“</w:t>
      </w:r>
      <w:r>
        <w:rPr>
          <w:rFonts w:ascii="仿宋_GB2312" w:eastAsia="仿宋_GB2312" w:hAnsi="Times New Roman" w:cs="仿宋_GB2312" w:hint="eastAsia"/>
          <w:sz w:val="28"/>
          <w:szCs w:val="28"/>
        </w:rPr>
        <w:t>工资</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职工福利</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社会保险费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住房公积金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工会经费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职工教育经费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非货币性福利</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辞退福利</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股份支付</w:t>
      </w:r>
      <w:r>
        <w:rPr>
          <w:rFonts w:ascii="Times New Roman" w:eastAsia="仿宋_GB2312" w:hAnsi="Times New Roman"/>
          <w:sz w:val="28"/>
          <w:szCs w:val="28"/>
        </w:rPr>
        <w:t>”</w:t>
      </w:r>
      <w:r>
        <w:rPr>
          <w:rFonts w:ascii="仿宋_GB2312" w:eastAsia="仿宋_GB2312" w:hAnsi="Times New Roman" w:cs="仿宋_GB2312" w:hint="eastAsia"/>
          <w:sz w:val="28"/>
          <w:szCs w:val="28"/>
        </w:rPr>
        <w:t>等进行明细核算。</w:t>
      </w:r>
    </w:p>
    <w:p w14:paraId="793F108F" w14:textId="77777777" w:rsidR="00D630C4" w:rsidRDefault="00D630C4" w:rsidP="00D630C4">
      <w:pPr>
        <w:pStyle w:val="CM62"/>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三、企业发生应付职工薪酬的主要账务处理。</w:t>
      </w:r>
    </w:p>
    <w:p w14:paraId="036B48F2" w14:textId="77777777" w:rsidR="00D630C4" w:rsidRDefault="00D630C4" w:rsidP="00D630C4">
      <w:pPr>
        <w:pStyle w:val="CM62"/>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（一）生产部门人员的职工薪酬，借记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制造费用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劳务成本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等科目，贷记本科目。应由在建工程、研发支出负担的职工薪酬，借记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研发支出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等科目，贷记本科目。管理部门人员、销售人员的职工薪酬，借记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销售费用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w:t>
      </w:r>
    </w:p>
    <w:p w14:paraId="45DA1D4B" w14:textId="77777777" w:rsidR="00D630C4" w:rsidRDefault="00D630C4" w:rsidP="00D630C4">
      <w:pPr>
        <w:pStyle w:val="CM62"/>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（二）企业以其自产产品发放给职工作为职工薪酬的，借记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管</w:t>
      </w:r>
      <w:r>
        <w:rPr>
          <w:rFonts w:ascii="仿宋_GB2312" w:eastAsia="仿宋_GB2312" w:hAnsi="Times New Roman" w:cs="仿宋_GB2312" w:hint="eastAsia"/>
          <w:sz w:val="28"/>
          <w:szCs w:val="28"/>
        </w:rPr>
        <w:lastRenderedPageBreak/>
        <w:t>理费用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制造费用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w:t>
      </w:r>
    </w:p>
    <w:p w14:paraId="5BA2949F"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无偿向职工提供住房等固定资产使用的，按应计提的折旧额，借记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制造费用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等科目，贷记本科目；同时，借记本科目，贷记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72C7174" w14:textId="77777777" w:rsidR="00D630C4" w:rsidRDefault="00D630C4" w:rsidP="00D630C4">
      <w:pPr>
        <w:pStyle w:val="Default"/>
        <w:spacing w:line="546" w:lineRule="atLeast"/>
        <w:ind w:right="353"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租赁住房等资产供职工无偿使用的，按每期应支付的租金，借记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管理费用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生产成本</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制造费用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等科目，贷记本科目。</w:t>
      </w:r>
    </w:p>
    <w:p w14:paraId="4F0932E0" w14:textId="77777777" w:rsidR="00D630C4" w:rsidRDefault="00D630C4" w:rsidP="00D630C4">
      <w:pPr>
        <w:pStyle w:val="Default"/>
        <w:spacing w:line="546" w:lineRule="atLeast"/>
        <w:ind w:right="353"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（三）因解除与职工的劳动关系给予的补偿，借记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管理费用</w:t>
      </w:r>
      <w:r>
        <w:rPr>
          <w:rFonts w:ascii="Times New Roman" w:eastAsia="仿宋_GB2312" w:hAnsi="Times New Roman" w:cs="Times New Roman"/>
          <w:color w:val="auto"/>
          <w:sz w:val="28"/>
          <w:szCs w:val="28"/>
        </w:rPr>
        <w:t xml:space="preserve">” </w:t>
      </w:r>
      <w:r>
        <w:rPr>
          <w:rFonts w:ascii="仿宋_GB2312" w:eastAsia="仿宋_GB2312" w:hAnsi="Times New Roman" w:cs="仿宋_GB2312" w:hint="eastAsia"/>
          <w:color w:val="auto"/>
          <w:sz w:val="28"/>
          <w:szCs w:val="28"/>
        </w:rPr>
        <w:t>科目，贷记本科目。</w:t>
      </w:r>
    </w:p>
    <w:p w14:paraId="2EF19D02"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（四）企业以现金与职工结算的股份支付，在等待期内每个资产负债表日，按当期应确认的成本费用金额，借记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制造费用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等科目，贷记本科目。在可行权日之后，以现金结算的股份支付当期公允价值的变动金额，借记或贷记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科目，贷记或借记本科目。企业（外商）按规定从净利润中提取的职工奖励及福利基金，借记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提取的职工奖励及福利基金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6212335"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四、企业发放职工薪酬的主要账务处理。</w:t>
      </w:r>
    </w:p>
    <w:p w14:paraId="405054B0"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（一）向职工支付工资、奖金、津贴、福利费等，从应付职工薪酬中扣还的各种款项（代垫的家属药费、个人所得税等）等，借记本科目，贷记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其他应收款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应交税费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应交个人所得税</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64CDB2C3" w14:textId="77777777" w:rsidR="00D630C4" w:rsidRDefault="00D630C4" w:rsidP="00D630C4">
      <w:pPr>
        <w:pStyle w:val="Default"/>
        <w:spacing w:line="546" w:lineRule="atLeast"/>
        <w:ind w:right="40"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（二）支付工会经费和职工教育经费用于工会活动和职工培训，借记本科目，贷记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424FBFFA" w14:textId="77777777" w:rsidR="00D630C4" w:rsidRDefault="00D630C4" w:rsidP="00D630C4">
      <w:pPr>
        <w:pStyle w:val="Default"/>
        <w:spacing w:line="546" w:lineRule="atLeast"/>
        <w:ind w:right="40"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lastRenderedPageBreak/>
        <w:t>（三）按照国家有关规定缴纳社会保险费和住房公积金，借记本科目，贷记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0884AB32"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（四）企业以其自产产品发放给职工的，借记本科目，贷记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主营业务收入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科目；同时，还应结转产成品的成本。涉及增值税销项税额的，还应进行相应的处理。</w:t>
      </w:r>
    </w:p>
    <w:p w14:paraId="64A85AAE" w14:textId="77777777" w:rsidR="00D630C4" w:rsidRDefault="00D630C4" w:rsidP="00D630C4">
      <w:pPr>
        <w:pStyle w:val="CM73"/>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支付租赁住房等资产供职工无偿使用所发生的租金，借记本科目，贷记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9ABA3EC" w14:textId="77777777" w:rsidR="00D630C4" w:rsidRDefault="00D630C4" w:rsidP="00D630C4">
      <w:pPr>
        <w:pStyle w:val="Default"/>
        <w:spacing w:line="546" w:lineRule="atLeast"/>
        <w:ind w:right="40"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（五）企业以现金与职工结算的股份支付，在行权日，借记本科目，贷记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银行存款</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库存现金</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w:t>
      </w:r>
    </w:p>
    <w:p w14:paraId="38BC5EFD" w14:textId="77777777" w:rsidR="00D630C4" w:rsidRDefault="00D630C4" w:rsidP="00D630C4">
      <w:pPr>
        <w:pStyle w:val="Default"/>
        <w:spacing w:line="546" w:lineRule="atLeast"/>
        <w:ind w:right="40"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（六）企业因解除与职工的劳动关系给予职工的补偿，借记本科目，贷记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银行存款</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库存现金</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w:t>
      </w:r>
    </w:p>
    <w:p w14:paraId="2D94E9FA" w14:textId="77777777" w:rsidR="00D630C4" w:rsidRDefault="00D630C4" w:rsidP="00D630C4">
      <w:pPr>
        <w:pStyle w:val="Default"/>
        <w:spacing w:line="546" w:lineRule="atLeast"/>
        <w:ind w:right="40"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五、本科目期末贷方余额，反映企业应付未付的职工薪酬。</w:t>
      </w:r>
    </w:p>
    <w:p w14:paraId="44E0DC09" w14:textId="77777777" w:rsidR="00D630C4" w:rsidRDefault="00D630C4" w:rsidP="00D630C4">
      <w:pPr>
        <w:pStyle w:val="CM45"/>
        <w:rPr>
          <w:rFonts w:ascii="Times New Roman" w:hAnsi="Times New Roman"/>
          <w:b/>
          <w:bCs/>
          <w:sz w:val="28"/>
          <w:szCs w:val="28"/>
        </w:rPr>
      </w:pPr>
    </w:p>
    <w:p w14:paraId="0166124D" w14:textId="77777777" w:rsidR="00D630C4" w:rsidRDefault="00D630C4" w:rsidP="00D630C4">
      <w:pPr>
        <w:pStyle w:val="CM45"/>
        <w:rPr>
          <w:rFonts w:ascii="仿宋_GB2312" w:eastAsia="仿宋_GB2312" w:hAnsi="Times New Roman" w:cs="仿宋_GB2312"/>
          <w:sz w:val="28"/>
          <w:szCs w:val="28"/>
        </w:rPr>
      </w:pPr>
      <w:r>
        <w:rPr>
          <w:rFonts w:ascii="Times New Roman" w:hAnsi="Times New Roman"/>
          <w:b/>
          <w:bCs/>
          <w:sz w:val="28"/>
          <w:szCs w:val="28"/>
        </w:rPr>
        <w:t xml:space="preserve">2221 </w:t>
      </w:r>
      <w:r>
        <w:rPr>
          <w:rFonts w:ascii="仿宋_GB2312" w:eastAsia="仿宋_GB2312" w:hAnsi="Times New Roman" w:cs="仿宋_GB2312" w:hint="eastAsia"/>
          <w:sz w:val="28"/>
          <w:szCs w:val="28"/>
        </w:rPr>
        <w:t>应交税费</w:t>
      </w:r>
    </w:p>
    <w:p w14:paraId="43D8BCF5" w14:textId="77777777" w:rsidR="00D630C4" w:rsidRDefault="00D630C4" w:rsidP="00D630C4">
      <w:pPr>
        <w:pStyle w:val="CM4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按照税法等规定计算应交纳的各种税费，包括增值税、消费税、营业税、所得税、资源税、土地增值税、城市维护建设税、房产税、土地使用税、车船使用税、教育费附加、矿产资源补偿费等。</w:t>
      </w:r>
    </w:p>
    <w:p w14:paraId="6CD5EA8E"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企业代扣代交的个人所得税等，也通过本科目核算。</w:t>
      </w:r>
    </w:p>
    <w:p w14:paraId="65942FF0"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二、本科目可按应交的税费项目进行明细核算。应交增值税还应分别</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进项税额</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销项税额</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出口退税</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进</w:t>
      </w:r>
      <w:r>
        <w:rPr>
          <w:rFonts w:ascii="仿宋_GB2312" w:eastAsia="仿宋_GB2312" w:hAnsi="Times New Roman" w:cs="仿宋_GB2312" w:hint="eastAsia"/>
          <w:sz w:val="28"/>
          <w:szCs w:val="28"/>
        </w:rPr>
        <w:t>项税额转出</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已交</w:t>
      </w:r>
      <w:r>
        <w:rPr>
          <w:rFonts w:ascii="仿宋_GB2312" w:eastAsia="仿宋_GB2312" w:hAnsi="Times New Roman" w:cs="仿宋_GB2312" w:hint="eastAsia"/>
          <w:sz w:val="28"/>
          <w:szCs w:val="28"/>
        </w:rPr>
        <w:lastRenderedPageBreak/>
        <w:t>税金</w:t>
      </w:r>
      <w:r>
        <w:rPr>
          <w:rFonts w:ascii="Times New Roman" w:eastAsia="仿宋_GB2312" w:hAnsi="Times New Roman"/>
          <w:sz w:val="28"/>
          <w:szCs w:val="28"/>
        </w:rPr>
        <w:t>”</w:t>
      </w:r>
      <w:r>
        <w:rPr>
          <w:rFonts w:ascii="仿宋_GB2312" w:eastAsia="仿宋_GB2312" w:hAnsi="Times New Roman" w:cs="仿宋_GB2312" w:hint="eastAsia"/>
          <w:sz w:val="28"/>
          <w:szCs w:val="28"/>
        </w:rPr>
        <w:t>等设置专栏。</w:t>
      </w:r>
    </w:p>
    <w:p w14:paraId="00FFE8D3"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三、应交增值税的主要账务处理。</w:t>
      </w:r>
    </w:p>
    <w:p w14:paraId="7493A9EF"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（一）企业采购物资等，按应计入采购成本的金额，借记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在途物资</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等科目，按可抵扣的增值税额，借记本科目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应交增值税</w:t>
      </w:r>
      <w:r>
        <w:rPr>
          <w:rFonts w:ascii="Times New Roman" w:eastAsia="仿宋_GB2312" w:hAnsi="Times New Roman"/>
          <w:sz w:val="28"/>
          <w:szCs w:val="28"/>
        </w:rPr>
        <w:t>——</w:t>
      </w:r>
      <w:r>
        <w:rPr>
          <w:rFonts w:ascii="仿宋_GB2312" w:eastAsia="仿宋_GB2312" w:hAnsi="Times New Roman" w:cs="仿宋_GB2312" w:hint="eastAsia"/>
          <w:sz w:val="28"/>
          <w:szCs w:val="28"/>
        </w:rPr>
        <w:t>进项税额</w:t>
      </w:r>
      <w:r>
        <w:rPr>
          <w:rFonts w:ascii="Times New Roman" w:eastAsia="仿宋_GB2312" w:hAnsi="Times New Roman"/>
          <w:sz w:val="28"/>
          <w:szCs w:val="28"/>
        </w:rPr>
        <w:t>)</w:t>
      </w:r>
      <w:r>
        <w:rPr>
          <w:rFonts w:ascii="仿宋_GB2312" w:eastAsia="仿宋_GB2312" w:hAnsi="Times New Roman" w:cs="仿宋_GB2312" w:hint="eastAsia"/>
          <w:sz w:val="28"/>
          <w:szCs w:val="28"/>
        </w:rPr>
        <w:t>，按应付或实际支付的金额，贷记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应付票据</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等科目。购入物资发生退货做相反的会计分录。</w:t>
      </w:r>
    </w:p>
    <w:p w14:paraId="5FEB3A5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（二）销售物资或提供应税劳务，按营业收入和应收取的增值税额，借记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应收票据</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等科目，按专用发票上注明的增值税额，贷记本科目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应交增值税</w:t>
      </w:r>
      <w:r>
        <w:rPr>
          <w:rFonts w:ascii="Times New Roman" w:eastAsia="仿宋_GB2312" w:hAnsi="Times New Roman"/>
          <w:sz w:val="28"/>
          <w:szCs w:val="28"/>
        </w:rPr>
        <w:t>——</w:t>
      </w:r>
      <w:r>
        <w:rPr>
          <w:rFonts w:ascii="仿宋_GB2312" w:eastAsia="仿宋_GB2312" w:hAnsi="Times New Roman" w:cs="仿宋_GB2312" w:hint="eastAsia"/>
          <w:sz w:val="28"/>
          <w:szCs w:val="28"/>
        </w:rPr>
        <w:t>销项税额</w:t>
      </w:r>
      <w:r>
        <w:rPr>
          <w:rFonts w:ascii="Times New Roman" w:eastAsia="仿宋_GB2312" w:hAnsi="Times New Roman"/>
          <w:sz w:val="28"/>
          <w:szCs w:val="28"/>
        </w:rPr>
        <w:t>)</w:t>
      </w:r>
      <w:r>
        <w:rPr>
          <w:rFonts w:ascii="仿宋_GB2312" w:eastAsia="仿宋_GB2312" w:hAnsi="Times New Roman" w:cs="仿宋_GB2312" w:hint="eastAsia"/>
          <w:sz w:val="28"/>
          <w:szCs w:val="28"/>
        </w:rPr>
        <w:t>，按确认的营业收入，贷记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等科目。发生销售退回做相反的会计分录。</w:t>
      </w:r>
    </w:p>
    <w:p w14:paraId="5E2B4054" w14:textId="77777777" w:rsidR="00D630C4" w:rsidRDefault="00D630C4" w:rsidP="00D630C4">
      <w:pPr>
        <w:pStyle w:val="CM47"/>
        <w:ind w:right="4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（三）出口产品按规定退税的，借记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科目，贷记本科目（应交增值税</w:t>
      </w:r>
      <w:r>
        <w:rPr>
          <w:rFonts w:ascii="Times New Roman" w:eastAsia="仿宋_GB2312" w:hAnsi="Times New Roman"/>
          <w:sz w:val="28"/>
          <w:szCs w:val="28"/>
        </w:rPr>
        <w:t>——</w:t>
      </w:r>
      <w:r>
        <w:rPr>
          <w:rFonts w:ascii="仿宋_GB2312" w:eastAsia="仿宋_GB2312" w:hAnsi="Times New Roman" w:cs="仿宋_GB2312" w:hint="eastAsia"/>
          <w:sz w:val="28"/>
          <w:szCs w:val="28"/>
        </w:rPr>
        <w:t>出口退税）。</w:t>
      </w:r>
    </w:p>
    <w:p w14:paraId="3C4FACFC" w14:textId="77777777" w:rsidR="00D630C4" w:rsidRDefault="00D630C4" w:rsidP="00D630C4">
      <w:pPr>
        <w:pStyle w:val="CM47"/>
        <w:ind w:right="4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（四）交纳的增值税，借记本科目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应交增值税</w:t>
      </w:r>
      <w:r>
        <w:rPr>
          <w:rFonts w:ascii="Times New Roman" w:eastAsia="仿宋_GB2312" w:hAnsi="Times New Roman"/>
          <w:sz w:val="28"/>
          <w:szCs w:val="28"/>
        </w:rPr>
        <w:t>——</w:t>
      </w:r>
      <w:r>
        <w:rPr>
          <w:rFonts w:ascii="仿宋_GB2312" w:eastAsia="仿宋_GB2312" w:hAnsi="Times New Roman" w:cs="仿宋_GB2312" w:hint="eastAsia"/>
          <w:sz w:val="28"/>
          <w:szCs w:val="28"/>
        </w:rPr>
        <w:t>已交税金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7AC0A8D"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企业（小规模纳税人）以及购入材料不能抵扣增值税的，发生的增值税计入材料成本，借记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材料采购</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在途物资</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7E1D963D"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四、企业按规定计算应交的消费税、营业税、资源税、城市维护建设税、教育费附加等，借记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营业税金及附加</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科目，贷记本科目。实际交纳时，借记本科目，贷记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5019AC41"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出售不动产计算应交的营业税，借记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固定资产清理</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等科目，贷记本科目（应交营业税）。</w:t>
      </w:r>
    </w:p>
    <w:p w14:paraId="03F20A7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五、企业转让土地使用权应交的土地增值税，土地使用权与地上建筑物及其附着物一并在</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等科目核算的，借记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固定资产清理</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等科目，贷记本科目（应交土地增值税）。土地使用权在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无形资产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科目核算的，按实际收到的金额，借记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科目，按应交的土地增值税，贷记本科目（应交土地增值税），同时冲销土地使用权的账面价值，贷记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无形资产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科目，按其差额，借记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营业外支出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科目。实际交纳土地增值税时，借记本科目，贷记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7882A54"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企业按规定计算应交的房产税、土地使用税、车船使用税、矿产资源补偿费，借记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科目，贷记本科目。实际交纳时，借记本科目，贷记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3DCCD413"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六、企业按照税法规定计算应交的所得税，借记</w:t>
      </w:r>
      <w:r>
        <w:rPr>
          <w:rFonts w:ascii="Times New Roman" w:eastAsia="仿宋_GB2312" w:hAnsi="Times New Roman"/>
          <w:sz w:val="28"/>
          <w:szCs w:val="28"/>
        </w:rPr>
        <w:t>“</w:t>
      </w:r>
      <w:r>
        <w:rPr>
          <w:rFonts w:ascii="仿宋_GB2312" w:eastAsia="仿宋_GB2312" w:hAnsi="Times New Roman" w:cs="仿宋_GB2312" w:hint="eastAsia"/>
          <w:sz w:val="28"/>
          <w:szCs w:val="28"/>
        </w:rPr>
        <w:t>所得税费用</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等科目，贷记本科目（应交所得税）。交纳的所得税，借记本科目，贷记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5F0A49B"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七、本科目期末贷方余额，反映企业尚未交纳的税费；期末如为借方余额，反映企业多交或尚未抵扣的税费。</w:t>
      </w:r>
    </w:p>
    <w:p w14:paraId="2BE7C7FE" w14:textId="77777777" w:rsidR="00D630C4" w:rsidRDefault="00D630C4" w:rsidP="00D630C4">
      <w:pPr>
        <w:pStyle w:val="CM64"/>
        <w:ind w:right="1498"/>
        <w:rPr>
          <w:rFonts w:ascii="仿宋_GB2312" w:eastAsia="仿宋_GB2312" w:hAnsi="Times New Roman" w:cs="仿宋_GB2312"/>
          <w:sz w:val="28"/>
          <w:szCs w:val="28"/>
        </w:rPr>
      </w:pPr>
      <w:r>
        <w:rPr>
          <w:rFonts w:ascii="Times New Roman" w:eastAsia="仿宋_GB2312" w:hAnsi="Times New Roman"/>
          <w:b/>
          <w:bCs/>
          <w:sz w:val="28"/>
          <w:szCs w:val="28"/>
        </w:rPr>
        <w:t xml:space="preserve">2231 </w:t>
      </w:r>
      <w:r>
        <w:rPr>
          <w:rFonts w:ascii="仿宋_GB2312" w:eastAsia="仿宋_GB2312" w:hAnsi="Times New Roman" w:cs="仿宋_GB2312" w:hint="eastAsia"/>
          <w:sz w:val="28"/>
          <w:szCs w:val="28"/>
        </w:rPr>
        <w:t>应付利息</w:t>
      </w:r>
    </w:p>
    <w:p w14:paraId="75F03483" w14:textId="77777777" w:rsidR="00D630C4" w:rsidRDefault="00D630C4" w:rsidP="00D630C4">
      <w:pPr>
        <w:pStyle w:val="CM64"/>
        <w:tabs>
          <w:tab w:val="left" w:pos="8647"/>
        </w:tabs>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一、本科目核算企业按照合同约定应支付的利息，包括吸收存款、分期付息到期还本的长期借款、企业债券等应支付的利息。</w:t>
      </w:r>
    </w:p>
    <w:p w14:paraId="1B1B6C3F" w14:textId="77777777" w:rsidR="00D630C4" w:rsidRDefault="00D630C4" w:rsidP="00D630C4">
      <w:pPr>
        <w:pStyle w:val="CM64"/>
        <w:tabs>
          <w:tab w:val="left" w:pos="8647"/>
        </w:tabs>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二、本科目可按存款人或债权人进行明细核算。</w:t>
      </w:r>
    </w:p>
    <w:p w14:paraId="06145AAC"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三、资产负债表日，应按摊余成本和实际利率计算确定的利息费用，借记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研发支出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等科目，按合同利率计算确定的应付未付利息，贷记本科目，按其差额，借记或贷记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长期借款</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55E72B49"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合同利率与实际利率差异较小的，也可以采用合同利率计算确定</w:t>
      </w:r>
    </w:p>
    <w:p w14:paraId="20746F35" w14:textId="77777777" w:rsidR="00D630C4" w:rsidRDefault="00D630C4" w:rsidP="00D630C4">
      <w:pPr>
        <w:pStyle w:val="CM73"/>
        <w:spacing w:line="546" w:lineRule="atLeast"/>
        <w:ind w:left="560" w:hanging="560"/>
        <w:rPr>
          <w:rFonts w:ascii="仿宋_GB2312" w:eastAsia="仿宋_GB2312" w:hAnsi="Times New Roman" w:cs="仿宋_GB2312"/>
          <w:sz w:val="28"/>
          <w:szCs w:val="28"/>
        </w:rPr>
      </w:pPr>
      <w:r>
        <w:rPr>
          <w:rFonts w:ascii="仿宋_GB2312" w:eastAsia="仿宋_GB2312" w:hAnsi="Times New Roman" w:cs="仿宋_GB2312" w:hint="eastAsia"/>
          <w:sz w:val="28"/>
          <w:szCs w:val="28"/>
        </w:rPr>
        <w:t>利息费用。实际支付利息时，借记本科目，贷记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等科目。四、本科目期末贷方余额，反映企业应付未付的利息。</w:t>
      </w:r>
    </w:p>
    <w:p w14:paraId="2DDAF602" w14:textId="77777777" w:rsidR="00D630C4" w:rsidRDefault="00D630C4" w:rsidP="00D630C4">
      <w:pPr>
        <w:pStyle w:val="CM41"/>
        <w:ind w:right="140"/>
        <w:rPr>
          <w:rFonts w:ascii="仿宋_GB2312" w:eastAsia="仿宋_GB2312" w:hAnsi="Times New Roman" w:cs="仿宋_GB2312"/>
          <w:sz w:val="28"/>
          <w:szCs w:val="28"/>
        </w:rPr>
      </w:pPr>
      <w:r>
        <w:rPr>
          <w:rFonts w:ascii="Times New Roman" w:eastAsia="仿宋_GB2312" w:hAnsi="Times New Roman"/>
          <w:b/>
          <w:bCs/>
          <w:sz w:val="28"/>
          <w:szCs w:val="28"/>
        </w:rPr>
        <w:t xml:space="preserve">2232 </w:t>
      </w:r>
      <w:r>
        <w:rPr>
          <w:rFonts w:ascii="仿宋_GB2312" w:eastAsia="仿宋_GB2312" w:hAnsi="Times New Roman" w:cs="仿宋_GB2312" w:hint="eastAsia"/>
          <w:sz w:val="28"/>
          <w:szCs w:val="28"/>
        </w:rPr>
        <w:t>应付股利</w:t>
      </w:r>
    </w:p>
    <w:p w14:paraId="441C7594" w14:textId="77777777" w:rsidR="00D630C4" w:rsidRDefault="00D630C4" w:rsidP="00D630C4">
      <w:pPr>
        <w:pStyle w:val="CM41"/>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一、本科目核算企业分配的现金股利或利润。</w:t>
      </w:r>
    </w:p>
    <w:p w14:paraId="12D79A37" w14:textId="77777777" w:rsidR="00D630C4" w:rsidRDefault="00D630C4" w:rsidP="00D630C4">
      <w:pPr>
        <w:pStyle w:val="CM41"/>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二、本科目可按投资者进行明细核算。三、企业根据股东大会或类似机构审议批准的利润分配方案，按应支付的现金股利或利润，借记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科目，贷记本科目。实际支付现金股利或利润，借记本科目，贷记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等科目。董事会或类似机构通过的利润分配方案中拟分配的现金股利或利润，不做账务处理，但应在附注中披露。四、本科目期末贷方余额，反映企业应付未付的现金股利或利润。</w:t>
      </w:r>
    </w:p>
    <w:p w14:paraId="7443F596" w14:textId="77777777" w:rsidR="00D630C4" w:rsidRDefault="00D630C4" w:rsidP="00D630C4">
      <w:pPr>
        <w:pStyle w:val="CM22"/>
        <w:rPr>
          <w:rFonts w:cs="黑体"/>
          <w:color w:val="000000"/>
        </w:rPr>
      </w:pPr>
    </w:p>
    <w:p w14:paraId="6E3171E0"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2241 </w:t>
      </w:r>
      <w:r>
        <w:rPr>
          <w:rFonts w:ascii="仿宋_GB2312" w:eastAsia="仿宋_GB2312" w:hAnsi="Times New Roman" w:cs="仿宋_GB2312" w:hint="eastAsia"/>
          <w:sz w:val="28"/>
          <w:szCs w:val="28"/>
        </w:rPr>
        <w:t>其他应付款</w:t>
      </w:r>
    </w:p>
    <w:p w14:paraId="79EA9E46"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一、本科目核算企业除应付票据、应付账款、预收账款、应付职工薪酬、应付利息、应付股利、应交税费、长期应付款等以外的</w:t>
      </w:r>
      <w:r>
        <w:rPr>
          <w:rFonts w:ascii="仿宋_GB2312" w:eastAsia="仿宋_GB2312" w:hAnsi="Times New Roman" w:cs="仿宋_GB2312" w:hint="eastAsia"/>
          <w:sz w:val="28"/>
          <w:szCs w:val="28"/>
        </w:rPr>
        <w:lastRenderedPageBreak/>
        <w:t>其他各项应付、暂收的款项。企业（保险）应交纳的保险保障基金，也通过本科目核算。</w:t>
      </w:r>
    </w:p>
    <w:p w14:paraId="38C6E60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二、本科目可按其他应付款的项目和对方单位（或个人）进行明细核算。</w:t>
      </w:r>
    </w:p>
    <w:p w14:paraId="41738B76" w14:textId="77777777" w:rsidR="00D630C4" w:rsidRDefault="00D630C4" w:rsidP="00D630C4">
      <w:pPr>
        <w:pStyle w:val="CM2"/>
        <w:ind w:firstLine="560"/>
        <w:rPr>
          <w:rFonts w:ascii="仿宋_GB2312" w:eastAsia="仿宋_GB2312" w:hAnsi="Courier New" w:cs="仿宋_GB2312"/>
          <w:sz w:val="28"/>
          <w:szCs w:val="28"/>
        </w:rPr>
      </w:pPr>
      <w:r>
        <w:rPr>
          <w:rFonts w:ascii="仿宋_GB2312" w:eastAsia="仿宋_GB2312" w:hAnsi="Times New Roman" w:cs="仿宋_GB2312" w:hint="eastAsia"/>
          <w:sz w:val="28"/>
          <w:szCs w:val="28"/>
        </w:rPr>
        <w:t>三、企业采用售后回购方式融入资金的，应按实际收到的金额，借记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科目，贷记本科目。回购价格与原销售价格之间的差额，应在售后回购期间内按期计提利息费用，借记</w:t>
      </w:r>
      <w:r>
        <w:rPr>
          <w:rFonts w:ascii="Courier New" w:eastAsia="仿宋_GB2312" w:hAnsi="Courier New" w:cs="Courier New"/>
          <w:sz w:val="28"/>
          <w:szCs w:val="28"/>
        </w:rPr>
        <w:t>“</w:t>
      </w:r>
      <w:r>
        <w:rPr>
          <w:rFonts w:ascii="仿宋_GB2312" w:eastAsia="仿宋_GB2312" w:hAnsi="Courier New" w:cs="仿宋_GB2312" w:hint="eastAsia"/>
          <w:sz w:val="28"/>
          <w:szCs w:val="28"/>
        </w:rPr>
        <w:t>财务费用</w:t>
      </w:r>
      <w:r>
        <w:rPr>
          <w:rFonts w:ascii="仿宋_GB2312" w:eastAsia="仿宋_GB2312" w:hAnsi="Courier New" w:cs="仿宋_GB2312"/>
          <w:sz w:val="28"/>
          <w:szCs w:val="28"/>
        </w:rPr>
        <w:t>”</w:t>
      </w:r>
      <w:r>
        <w:rPr>
          <w:rFonts w:ascii="仿宋_GB2312" w:eastAsia="仿宋_GB2312" w:hAnsi="Courier New" w:cs="仿宋_GB2312" w:hint="eastAsia"/>
          <w:sz w:val="28"/>
          <w:szCs w:val="28"/>
        </w:rPr>
        <w:t>科目，贷记本科目。按照合同约定购回该项商品等时，应按实际支付的金额，借记本科目，贷记</w:t>
      </w:r>
      <w:r>
        <w:rPr>
          <w:rFonts w:ascii="仿宋_GB2312" w:eastAsia="仿宋_GB2312" w:hAnsi="Courier New" w:cs="仿宋_GB2312"/>
          <w:sz w:val="28"/>
          <w:szCs w:val="28"/>
        </w:rPr>
        <w:t>“</w:t>
      </w:r>
      <w:r>
        <w:rPr>
          <w:rFonts w:ascii="仿宋_GB2312" w:eastAsia="仿宋_GB2312" w:hAnsi="Courier New" w:cs="仿宋_GB2312" w:hint="eastAsia"/>
          <w:sz w:val="28"/>
          <w:szCs w:val="28"/>
        </w:rPr>
        <w:t>银行存款</w:t>
      </w:r>
      <w:r>
        <w:rPr>
          <w:rFonts w:ascii="仿宋_GB2312" w:eastAsia="仿宋_GB2312" w:hAnsi="Courier New" w:cs="仿宋_GB2312"/>
          <w:sz w:val="28"/>
          <w:szCs w:val="28"/>
        </w:rPr>
        <w:t>”</w:t>
      </w:r>
      <w:r>
        <w:rPr>
          <w:rFonts w:ascii="仿宋_GB2312" w:eastAsia="仿宋_GB2312" w:hAnsi="Courier New" w:cs="仿宋_GB2312" w:hint="eastAsia"/>
          <w:sz w:val="28"/>
          <w:szCs w:val="28"/>
        </w:rPr>
        <w:t>科目。</w:t>
      </w:r>
    </w:p>
    <w:p w14:paraId="08B9FD72"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Courier New" w:cs="仿宋_GB2312" w:hint="eastAsia"/>
          <w:sz w:val="28"/>
          <w:szCs w:val="28"/>
        </w:rPr>
        <w:t>四、企业发生的其他各种应付、暂收款项，借记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等科目，贷记本科目；支付的其他各种应付、暂收款项，借记本科目，贷记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23CAE24"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五、本科目期末贷方余额，反映企业应付未付的其他应付款项。</w:t>
      </w:r>
    </w:p>
    <w:p w14:paraId="4CF18FF7" w14:textId="77777777" w:rsidR="00D630C4" w:rsidRDefault="00D630C4" w:rsidP="00D630C4">
      <w:pPr>
        <w:pStyle w:val="CM65"/>
        <w:ind w:right="140"/>
        <w:rPr>
          <w:rFonts w:ascii="仿宋_GB2312" w:eastAsia="仿宋_GB2312" w:hAnsi="Times New Roman" w:cs="仿宋_GB2312"/>
          <w:sz w:val="28"/>
          <w:szCs w:val="28"/>
        </w:rPr>
      </w:pPr>
      <w:r>
        <w:rPr>
          <w:rFonts w:ascii="Times New Roman" w:eastAsia="仿宋_GB2312" w:hAnsi="Times New Roman"/>
          <w:b/>
          <w:bCs/>
          <w:sz w:val="28"/>
          <w:szCs w:val="28"/>
        </w:rPr>
        <w:t xml:space="preserve">2251 </w:t>
      </w:r>
      <w:r>
        <w:rPr>
          <w:rFonts w:ascii="仿宋_GB2312" w:eastAsia="仿宋_GB2312" w:hAnsi="Times New Roman" w:cs="仿宋_GB2312" w:hint="eastAsia"/>
          <w:sz w:val="28"/>
          <w:szCs w:val="28"/>
        </w:rPr>
        <w:t>应付保单红利</w:t>
      </w:r>
    </w:p>
    <w:p w14:paraId="6A2CDE5B" w14:textId="77777777" w:rsidR="00D630C4" w:rsidRDefault="00D630C4" w:rsidP="00D630C4">
      <w:pPr>
        <w:pStyle w:val="CM65"/>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一、本科目核算企业（保险）按原保险合同约定应付未付投保人</w:t>
      </w:r>
    </w:p>
    <w:p w14:paraId="565B2AEA" w14:textId="77777777" w:rsidR="00D630C4" w:rsidRDefault="00D630C4" w:rsidP="00D630C4">
      <w:pPr>
        <w:pStyle w:val="CM9"/>
        <w:ind w:left="560" w:hanging="560"/>
        <w:rPr>
          <w:rFonts w:ascii="仿宋_GB2312" w:eastAsia="仿宋_GB2312" w:hAnsi="Times New Roman" w:cs="仿宋_GB2312"/>
          <w:sz w:val="28"/>
          <w:szCs w:val="28"/>
        </w:rPr>
      </w:pPr>
      <w:r>
        <w:rPr>
          <w:rFonts w:ascii="仿宋_GB2312" w:eastAsia="仿宋_GB2312" w:hAnsi="Times New Roman" w:cs="仿宋_GB2312" w:hint="eastAsia"/>
          <w:sz w:val="28"/>
          <w:szCs w:val="28"/>
        </w:rPr>
        <w:t>的红利。</w:t>
      </w:r>
    </w:p>
    <w:p w14:paraId="028A3565" w14:textId="77777777" w:rsidR="00D630C4" w:rsidRDefault="00D630C4" w:rsidP="00D630C4">
      <w:pPr>
        <w:pStyle w:val="CM9"/>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二、本科目可按投保人进行明细核算。</w:t>
      </w:r>
    </w:p>
    <w:p w14:paraId="0B2F03C4" w14:textId="77777777" w:rsidR="00D630C4" w:rsidRDefault="00D630C4" w:rsidP="00D630C4">
      <w:pPr>
        <w:pStyle w:val="CM9"/>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三、企业按原保险合同约定计提应支付的保单红利，借记</w:t>
      </w:r>
      <w:r>
        <w:rPr>
          <w:rFonts w:ascii="Times New Roman" w:eastAsia="仿宋_GB2312" w:hAnsi="Times New Roman"/>
          <w:sz w:val="28"/>
          <w:szCs w:val="28"/>
        </w:rPr>
        <w:t>“</w:t>
      </w:r>
      <w:r>
        <w:rPr>
          <w:rFonts w:ascii="仿宋_GB2312" w:eastAsia="仿宋_GB2312" w:hAnsi="Times New Roman" w:cs="仿宋_GB2312" w:hint="eastAsia"/>
          <w:sz w:val="28"/>
          <w:szCs w:val="28"/>
        </w:rPr>
        <w:t>保单</w:t>
      </w:r>
    </w:p>
    <w:p w14:paraId="25B01FCB" w14:textId="77777777" w:rsidR="00D630C4" w:rsidRDefault="00D630C4" w:rsidP="00D630C4">
      <w:pPr>
        <w:pStyle w:val="CM73"/>
        <w:spacing w:line="546" w:lineRule="atLeast"/>
        <w:ind w:left="295" w:right="40"/>
        <w:rPr>
          <w:rFonts w:ascii="仿宋_GB2312" w:eastAsia="仿宋_GB2312" w:hAnsi="Times New Roman" w:cs="仿宋_GB2312"/>
          <w:sz w:val="28"/>
          <w:szCs w:val="28"/>
        </w:rPr>
      </w:pPr>
      <w:r>
        <w:rPr>
          <w:rFonts w:ascii="仿宋_GB2312" w:eastAsia="仿宋_GB2312" w:hAnsi="Times New Roman" w:cs="仿宋_GB2312" w:hint="eastAsia"/>
          <w:sz w:val="28"/>
          <w:szCs w:val="28"/>
        </w:rPr>
        <w:t>红利支出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科目，贷记本科目。向投保人支付的保单红利，借记本科目，贷记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0C071F2" w14:textId="77777777" w:rsidR="00D630C4" w:rsidRDefault="00D630C4" w:rsidP="00D630C4">
      <w:pPr>
        <w:pStyle w:val="CM73"/>
        <w:spacing w:line="546" w:lineRule="atLeast"/>
        <w:ind w:left="295" w:right="40"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四、本科目期末贷方余额，反映企业应付未付投保人的红利。</w:t>
      </w:r>
    </w:p>
    <w:p w14:paraId="21E03F40" w14:textId="77777777" w:rsidR="00D630C4" w:rsidRDefault="00D630C4" w:rsidP="00D630C4">
      <w:pPr>
        <w:pStyle w:val="Default"/>
        <w:spacing w:line="546" w:lineRule="atLeast"/>
        <w:ind w:right="11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2261 </w:t>
      </w:r>
      <w:r>
        <w:rPr>
          <w:rFonts w:ascii="仿宋_GB2312" w:eastAsia="仿宋_GB2312" w:hAnsi="Times New Roman" w:cs="仿宋_GB2312" w:hint="eastAsia"/>
          <w:color w:val="auto"/>
          <w:sz w:val="28"/>
          <w:szCs w:val="28"/>
        </w:rPr>
        <w:t>应付分保账款</w:t>
      </w:r>
    </w:p>
    <w:p w14:paraId="32E72C87" w14:textId="77777777" w:rsidR="00D630C4" w:rsidRDefault="00D630C4" w:rsidP="00D630C4">
      <w:pPr>
        <w:pStyle w:val="Default"/>
        <w:spacing w:line="546" w:lineRule="atLeast"/>
        <w:ind w:right="113"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一、本科目核算企业（保险）从事再保险业务应付未付的款项。</w:t>
      </w:r>
    </w:p>
    <w:p w14:paraId="69A40C4F" w14:textId="77777777" w:rsidR="00D630C4" w:rsidRDefault="00D630C4" w:rsidP="00D630C4">
      <w:pPr>
        <w:pStyle w:val="Default"/>
        <w:spacing w:line="546" w:lineRule="atLeast"/>
        <w:ind w:right="113"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二、本科目可按再保险分出人或再保险接受人和再保险合同进行</w:t>
      </w:r>
    </w:p>
    <w:p w14:paraId="557927A9" w14:textId="77777777" w:rsidR="00D630C4" w:rsidRDefault="00D630C4" w:rsidP="00D630C4">
      <w:pPr>
        <w:pStyle w:val="Default"/>
        <w:spacing w:line="546" w:lineRule="atLeast"/>
        <w:ind w:left="965" w:right="2953" w:hanging="62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明细核算。</w:t>
      </w:r>
    </w:p>
    <w:p w14:paraId="23F36CFE"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三、再保险分出人应付分保账款的主要账务处理。</w:t>
      </w:r>
    </w:p>
    <w:p w14:paraId="4CA903A5"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（一）企业在确认原保险合同保费收入的当期，按相关再保险合同约定计算确定的分出保费金额，借记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分出保费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w:t>
      </w:r>
    </w:p>
    <w:p w14:paraId="0AFDB3B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在原保险合同提前解除的当期，按相关再保险合同约定计算确定的分出保费的调整金额，借记本科目，贷记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分出保费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科目。对于超额赔款再保险等非比例再保险合同，按相关再保险合同约定计算确定的分出保费金额，借记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分出保费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w:t>
      </w:r>
    </w:p>
    <w:p w14:paraId="41E39CF0"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（二）发出分保业务账单时，按账单标明的扣存本期分保保证金，借记本科目，贷记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存入保证金</w:t>
      </w:r>
      <w:r>
        <w:rPr>
          <w:rFonts w:ascii="Times New Roman" w:eastAsia="仿宋_GB2312" w:hAnsi="Times New Roman"/>
          <w:sz w:val="28"/>
          <w:szCs w:val="28"/>
        </w:rPr>
        <w:t>”</w:t>
      </w:r>
      <w:r>
        <w:rPr>
          <w:rFonts w:ascii="仿宋_GB2312" w:eastAsia="仿宋_GB2312" w:hAnsi="Times New Roman" w:cs="仿宋_GB2312" w:hint="eastAsia"/>
          <w:sz w:val="28"/>
          <w:szCs w:val="28"/>
        </w:rPr>
        <w:t>科目。按账单标明的返还上期扣存分保保证金，借记</w:t>
      </w:r>
      <w:r>
        <w:rPr>
          <w:rFonts w:ascii="Times New Roman" w:eastAsia="仿宋_GB2312" w:hAnsi="Times New Roman"/>
          <w:sz w:val="28"/>
          <w:szCs w:val="28"/>
        </w:rPr>
        <w:t>“</w:t>
      </w:r>
      <w:r>
        <w:rPr>
          <w:rFonts w:ascii="仿宋_GB2312" w:eastAsia="仿宋_GB2312" w:hAnsi="Times New Roman" w:cs="仿宋_GB2312" w:hint="eastAsia"/>
          <w:sz w:val="28"/>
          <w:szCs w:val="28"/>
        </w:rPr>
        <w:t>存入保证金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540884E5" w14:textId="77777777" w:rsidR="00D630C4" w:rsidRDefault="00D630C4" w:rsidP="00D630C4">
      <w:pPr>
        <w:pStyle w:val="Default"/>
        <w:spacing w:line="546" w:lineRule="atLeast"/>
        <w:ind w:right="40" w:firstLine="42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按期计算的存入分保保证金利息，借记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利息支出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w:t>
      </w:r>
    </w:p>
    <w:p w14:paraId="65DF19A2" w14:textId="77777777" w:rsidR="00D630C4" w:rsidRDefault="00D630C4" w:rsidP="00D630C4">
      <w:pPr>
        <w:pStyle w:val="Default"/>
        <w:spacing w:line="546" w:lineRule="atLeast"/>
        <w:ind w:right="40" w:firstLine="42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四、再保险接受人应付分保账款的主要账务处理。</w:t>
      </w:r>
    </w:p>
    <w:p w14:paraId="3AE750E4" w14:textId="77777777" w:rsidR="00D630C4" w:rsidRDefault="00D630C4" w:rsidP="00D630C4">
      <w:pPr>
        <w:pStyle w:val="Default"/>
        <w:spacing w:line="546" w:lineRule="atLeast"/>
        <w:ind w:right="40" w:firstLine="42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（一）企业在确认分保费收入的当期，按相关再保险合同约定计算确定的分保费用金额，借记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分保费用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w:t>
      </w:r>
    </w:p>
    <w:p w14:paraId="57170A07"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收到分保业务账单时，按账单标明的金额对分保费用进行调整，按调整增加额，借记</w:t>
      </w:r>
      <w:r>
        <w:rPr>
          <w:rFonts w:ascii="Times New Roman" w:eastAsia="仿宋_GB2312" w:hAnsi="Times New Roman"/>
          <w:sz w:val="28"/>
          <w:szCs w:val="28"/>
        </w:rPr>
        <w:t>“</w:t>
      </w:r>
      <w:r>
        <w:rPr>
          <w:rFonts w:ascii="仿宋_GB2312" w:eastAsia="仿宋_GB2312" w:hAnsi="Times New Roman" w:cs="仿宋_GB2312" w:hint="eastAsia"/>
          <w:sz w:val="28"/>
          <w:szCs w:val="28"/>
        </w:rPr>
        <w:t>分保费用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科目，贷记本科目；按调整减少额做相反的会计分录。</w:t>
      </w:r>
    </w:p>
    <w:p w14:paraId="29E88829" w14:textId="77777777" w:rsidR="00D630C4" w:rsidRDefault="00D630C4" w:rsidP="00D630C4">
      <w:pPr>
        <w:pStyle w:val="CM12"/>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（二）计算确定应向再保险分出人支付纯益手续费的，按相关再保险合同约定计算确定的纯益手续费金额，借记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分保费用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58BC49A9" w14:textId="77777777" w:rsidR="00D630C4" w:rsidRDefault="00D630C4" w:rsidP="00D630C4">
      <w:pPr>
        <w:pStyle w:val="Default"/>
        <w:spacing w:line="546" w:lineRule="atLeast"/>
        <w:ind w:firstLineChars="200" w:firstLine="560"/>
        <w:jc w:val="both"/>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（三）收到分保业务账单的当期，按账单标明的分保赔付款项金额，借记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赔付支出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w:t>
      </w:r>
    </w:p>
    <w:p w14:paraId="4A62BE26"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五、再保险分出人、再保险接受人结算分保账款时，按应付分保账款金额，借记本科目，按应收分保账款金额，贷记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92584E8"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六、本科目期末贷方余额，反映企业从事再保险业务应付未付的款项。</w:t>
      </w:r>
    </w:p>
    <w:p w14:paraId="3F688E99" w14:textId="77777777" w:rsidR="00D630C4" w:rsidRDefault="00D630C4" w:rsidP="00D630C4">
      <w:pPr>
        <w:pStyle w:val="CM8"/>
        <w:ind w:right="138"/>
        <w:jc w:val="both"/>
        <w:rPr>
          <w:rFonts w:ascii="仿宋_GB2312" w:eastAsia="仿宋_GB2312" w:hAnsi="Times New Roman" w:cs="仿宋_GB2312"/>
          <w:sz w:val="28"/>
          <w:szCs w:val="28"/>
        </w:rPr>
      </w:pPr>
    </w:p>
    <w:p w14:paraId="29336703" w14:textId="77777777" w:rsidR="00D630C4" w:rsidRDefault="00D630C4" w:rsidP="00D630C4">
      <w:pPr>
        <w:pStyle w:val="CM8"/>
        <w:ind w:right="138"/>
        <w:jc w:val="both"/>
        <w:rPr>
          <w:rFonts w:ascii="仿宋_GB2312" w:eastAsia="仿宋_GB2312" w:hAnsi="Times New Roman" w:cs="仿宋_GB2312"/>
          <w:sz w:val="28"/>
          <w:szCs w:val="28"/>
        </w:rPr>
      </w:pPr>
      <w:r>
        <w:rPr>
          <w:rFonts w:ascii="Times New Roman" w:eastAsia="仿宋_GB2312" w:hAnsi="Times New Roman"/>
          <w:b/>
          <w:bCs/>
          <w:sz w:val="28"/>
          <w:szCs w:val="28"/>
        </w:rPr>
        <w:t xml:space="preserve">2311  </w:t>
      </w:r>
      <w:r>
        <w:rPr>
          <w:rFonts w:ascii="仿宋_GB2312" w:eastAsia="仿宋_GB2312" w:hAnsi="Times New Roman" w:cs="仿宋_GB2312" w:hint="eastAsia"/>
          <w:sz w:val="28"/>
          <w:szCs w:val="28"/>
        </w:rPr>
        <w:t>代理买卖证券款</w:t>
      </w:r>
    </w:p>
    <w:p w14:paraId="3403B95B" w14:textId="77777777" w:rsidR="00D630C4" w:rsidRDefault="00D630C4" w:rsidP="00D630C4">
      <w:pPr>
        <w:pStyle w:val="CM8"/>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一、本科目核算企业（证券）接受客户委托，代理客户买卖股票、债券和基金等有价证券而收到的款项。</w:t>
      </w:r>
    </w:p>
    <w:p w14:paraId="0DEA94AE"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企业（证券）代理客户认购新股的款项、代理客户领取的现金股利和债券利息、代理客户向证券交易所支付的配股款等，也在本科目核算。</w:t>
      </w:r>
    </w:p>
    <w:p w14:paraId="7B5688A9"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二、本科目可按客户类别等进行明细核算。</w:t>
      </w:r>
    </w:p>
    <w:p w14:paraId="41C5B71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三、代理买卖证券款的主要账务处理。</w:t>
      </w:r>
    </w:p>
    <w:p w14:paraId="590E3616"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（一）企业收到客户交来的款项，借记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等科目，贷记本科目；客户提取存款做相反的会计分录。</w:t>
      </w:r>
    </w:p>
    <w:p w14:paraId="113DDB70"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（二）接受客户委托，买入证券成交总额大于卖出证券成交总额的，应按买卖证券成交价的差额加上代扣代交的相关税费和应向客户收取的佣金等之和，借记本科目等，贷记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D180B5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接受客户委托，卖出证券成交总额大于买入证券成交总额的，应按买卖证券成交价的差额减去代扣代交的相关税费和应向客户收取的佣金等后的余额，借记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等科目，贷记本科目等。</w:t>
      </w:r>
    </w:p>
    <w:p w14:paraId="6E76DBA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（三）代理客户认购新股，收到客户交来的认购款项，借记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等科目，贷记本科目。将款项划付证券交易所，借记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科目。客户办理申购手续，按实际支付的金额，借记本科目，贷记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科目。证券交易所完成中签认定工作，将未中签资金退给客户时，借记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科目，贷记本科目。企业将未中签的款项划回，借记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科目。企业将未中签的款项退给客户，借记本科目，贷记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0D626A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（四）代理客户办理配股业务，采用当日向证券交易所交纳配股款的，当客户提出配股要求时，借记本科目，贷记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科目。采用定期向证券交易所交纳配股款的，在客户提出配股要</w:t>
      </w:r>
      <w:r>
        <w:rPr>
          <w:rFonts w:ascii="仿宋_GB2312" w:eastAsia="仿宋_GB2312" w:hAnsi="Times New Roman" w:cs="仿宋_GB2312" w:hint="eastAsia"/>
          <w:sz w:val="28"/>
          <w:szCs w:val="28"/>
        </w:rPr>
        <w:lastRenderedPageBreak/>
        <w:t>求时，借记本科目，贷记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应付客户配股款</w:t>
      </w:r>
      <w:r>
        <w:rPr>
          <w:rFonts w:ascii="Times New Roman" w:eastAsia="仿宋_GB2312" w:hAnsi="Times New Roman"/>
          <w:sz w:val="28"/>
          <w:szCs w:val="28"/>
        </w:rPr>
        <w:t>”</w:t>
      </w:r>
      <w:r>
        <w:rPr>
          <w:rFonts w:ascii="仿宋_GB2312" w:eastAsia="仿宋_GB2312" w:hAnsi="Times New Roman" w:cs="仿宋_GB2312" w:hint="eastAsia"/>
          <w:sz w:val="28"/>
          <w:szCs w:val="28"/>
        </w:rPr>
        <w:t>科目。与证券交易所清算配股款，按配股金额，借记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应付客户配股款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客户</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294E3E7"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四、本科目期末贷方余额，反映企业接受客户存放的代理买卖证券资金。</w:t>
      </w:r>
    </w:p>
    <w:p w14:paraId="74F7E098" w14:textId="77777777" w:rsidR="00D630C4" w:rsidRDefault="00D630C4" w:rsidP="00D630C4">
      <w:pPr>
        <w:pStyle w:val="Default"/>
        <w:spacing w:line="546" w:lineRule="atLeast"/>
        <w:ind w:right="1388"/>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2312 </w:t>
      </w:r>
      <w:r>
        <w:rPr>
          <w:rFonts w:ascii="仿宋_GB2312" w:eastAsia="仿宋_GB2312" w:hAnsi="Times New Roman" w:cs="仿宋_GB2312" w:hint="eastAsia"/>
          <w:color w:val="auto"/>
          <w:sz w:val="28"/>
          <w:szCs w:val="28"/>
        </w:rPr>
        <w:t>代理承销证券款</w:t>
      </w:r>
    </w:p>
    <w:p w14:paraId="64701297" w14:textId="77777777" w:rsidR="00D630C4" w:rsidRDefault="00D630C4" w:rsidP="00D630C4">
      <w:pPr>
        <w:pStyle w:val="Default"/>
        <w:spacing w:line="546" w:lineRule="atLeast"/>
        <w:ind w:right="1388"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一、本科目核算企业（金融）接受委托，采用承购包销方式或代销方式承销证券所形成的、应付证券发行人的承销资金。</w:t>
      </w:r>
    </w:p>
    <w:p w14:paraId="3A860FEF" w14:textId="77777777" w:rsidR="00D630C4" w:rsidRDefault="00D630C4" w:rsidP="00D630C4">
      <w:pPr>
        <w:pStyle w:val="Default"/>
        <w:spacing w:line="546" w:lineRule="atLeast"/>
        <w:ind w:right="1388"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二、本科目可按委托单位和证券种类进行明细核算。</w:t>
      </w:r>
    </w:p>
    <w:p w14:paraId="441E1EF0" w14:textId="77777777" w:rsidR="00D630C4" w:rsidRDefault="00D630C4" w:rsidP="00D630C4">
      <w:pPr>
        <w:pStyle w:val="Default"/>
        <w:spacing w:line="546" w:lineRule="atLeast"/>
        <w:ind w:right="1388"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三、企业承销记名证券的主要账务处理。</w:t>
      </w:r>
    </w:p>
    <w:p w14:paraId="5295B23B"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（一）通过证券交易所上网发行的，在证券上网发行日根据承销合同确认的证券发行总额，按承销价款，在备查簿中记录承销证券的情况。</w:t>
      </w:r>
    </w:p>
    <w:p w14:paraId="53E3617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（二）与证券交易所交割清算，按实际收到的金额，借记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551FF35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（三）承销期结束，将承销证券款项交付委托单位并收取承销手续费，按承销价款，借记本科目，按应收取的承销手续费，贷记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科目，按实际支付给委托单位的金额，贷记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45C839C3" w14:textId="77777777" w:rsidR="00D630C4" w:rsidRDefault="00D630C4" w:rsidP="00D630C4">
      <w:pPr>
        <w:pStyle w:val="CM1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（四）承销期结束有未售出证券、采用余额承购包销方式承销证</w:t>
      </w:r>
      <w:r>
        <w:rPr>
          <w:rFonts w:ascii="仿宋_GB2312" w:eastAsia="仿宋_GB2312" w:hAnsi="Times New Roman" w:cs="仿宋_GB2312" w:hint="eastAsia"/>
          <w:sz w:val="28"/>
          <w:szCs w:val="28"/>
        </w:rPr>
        <w:lastRenderedPageBreak/>
        <w:t>券的，按合同规定由企业认购，应按承销价款，借记</w:t>
      </w:r>
      <w:r>
        <w:rPr>
          <w:rFonts w:ascii="Times New Roman" w:eastAsia="仿宋_GB2312" w:hAnsi="Times New Roman"/>
          <w:sz w:val="28"/>
          <w:szCs w:val="28"/>
        </w:rPr>
        <w:t>“</w:t>
      </w:r>
      <w:r>
        <w:rPr>
          <w:rFonts w:ascii="仿宋_GB2312" w:eastAsia="仿宋_GB2312" w:hAnsi="Times New Roman" w:cs="仿宋_GB2312" w:hint="eastAsia"/>
          <w:sz w:val="28"/>
          <w:szCs w:val="28"/>
        </w:rPr>
        <w:t>交易性金融资产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可供出售金融资产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等科目，贷记本科目。承销期结束，应将未售出证券退还委托单位。四、企业承销无记名证券，比照承销记名证券的相关规定进行处理。</w:t>
      </w:r>
    </w:p>
    <w:p w14:paraId="2D5CB4CC" w14:textId="77777777" w:rsidR="00D630C4" w:rsidRDefault="00D630C4" w:rsidP="00D630C4">
      <w:pPr>
        <w:pStyle w:val="CM15"/>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五、本科目期末贷方余额，反映企业承销证券应付未付给委托单位的款项。</w:t>
      </w:r>
    </w:p>
    <w:p w14:paraId="5890D079" w14:textId="77777777" w:rsidR="00D630C4" w:rsidRDefault="00D630C4" w:rsidP="00D630C4">
      <w:pPr>
        <w:pStyle w:val="Default"/>
        <w:spacing w:line="546" w:lineRule="atLeast"/>
        <w:rPr>
          <w:rFonts w:ascii="Times New Roman" w:eastAsia="仿宋_GB2312" w:hAnsi="Times New Roman" w:cs="Times New Roman"/>
          <w:b/>
          <w:bCs/>
          <w:color w:val="auto"/>
          <w:sz w:val="28"/>
          <w:szCs w:val="28"/>
        </w:rPr>
      </w:pPr>
    </w:p>
    <w:p w14:paraId="469A8E0B"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2313 </w:t>
      </w:r>
      <w:r>
        <w:rPr>
          <w:rFonts w:ascii="仿宋_GB2312" w:eastAsia="仿宋_GB2312" w:hAnsi="Times New Roman" w:cs="仿宋_GB2312" w:hint="eastAsia"/>
          <w:color w:val="auto"/>
          <w:sz w:val="28"/>
          <w:szCs w:val="28"/>
        </w:rPr>
        <w:t>代理兑付证券款</w:t>
      </w:r>
    </w:p>
    <w:p w14:paraId="32481EE7"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一、本科目核算企业（证券、银行等）接受委托代理兑付证券收到的兑付资金。</w:t>
      </w:r>
    </w:p>
    <w:p w14:paraId="13D654C5"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二、本科目可按委托单位和证券种类进行明细核算。</w:t>
      </w:r>
    </w:p>
    <w:p w14:paraId="207EBCAB"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三、代理兑付证券款的主要账务处理。</w:t>
      </w:r>
    </w:p>
    <w:p w14:paraId="3918C151"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（一）企业兑付记名证券，收到委托单位的兑付资金，借记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等科目，贷记本科目。收到客户交来的证券，按兑付金额，借记本科目，贷记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库存现金</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等科目。兑付无记名证券的，还应通过</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代理兑付证券</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科目核算。</w:t>
      </w:r>
    </w:p>
    <w:p w14:paraId="05BD0810"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（二）收取代理兑付证券手续费收入，向委托单位单独收取的，按应收或已收取的手续费，借记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应收手续费及佣金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FEAF3CD"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手续费与兑付款一并汇入的，在收到款项时，应按实际收到的金额，借记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等科目，按应兑付的金额，贷记本科目，按事先取得的手续费，贷记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预收代理兑付证券手续费</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lastRenderedPageBreak/>
        <w:t>科目。兑付证券业务完成后确认手续费收入，借记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预收代理兑付证券手续费</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397DCD6" w14:textId="77777777" w:rsidR="00D630C4" w:rsidRDefault="00D630C4" w:rsidP="00D630C4">
      <w:pPr>
        <w:pStyle w:val="CM73"/>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四、本科目期末贷方余额，反映企业已收到但尚未兑付的代理兑付证券款项。</w:t>
      </w:r>
    </w:p>
    <w:p w14:paraId="63FFBDA7" w14:textId="77777777" w:rsidR="00D630C4" w:rsidRDefault="00D630C4" w:rsidP="00D630C4">
      <w:pPr>
        <w:pStyle w:val="Default"/>
        <w:spacing w:line="546" w:lineRule="atLeast"/>
        <w:ind w:right="237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2314 </w:t>
      </w:r>
      <w:r>
        <w:rPr>
          <w:rFonts w:ascii="仿宋_GB2312" w:eastAsia="仿宋_GB2312" w:hAnsi="Times New Roman" w:cs="仿宋_GB2312" w:hint="eastAsia"/>
          <w:color w:val="auto"/>
          <w:sz w:val="28"/>
          <w:szCs w:val="28"/>
        </w:rPr>
        <w:t>代理业务负债</w:t>
      </w:r>
    </w:p>
    <w:p w14:paraId="651BAD8C"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一、本科目核算企业不承担风险的代理业务收到的款项，包括受托投资资金、受托贷款资金等。企业采用收取手续费方式收到的代销商品款，可将本科目改为</w:t>
      </w:r>
      <w:r>
        <w:rPr>
          <w:rFonts w:ascii="仿宋_GB2312" w:eastAsia="仿宋_GB2312" w:hAnsi="Times New Roman" w:cs="仿宋_GB2312"/>
          <w:color w:val="auto"/>
          <w:sz w:val="28"/>
          <w:szCs w:val="28"/>
        </w:rPr>
        <w:t>“</w:t>
      </w:r>
      <w:r>
        <w:rPr>
          <w:rFonts w:ascii="Times New Roman" w:eastAsia="仿宋_GB2312" w:hAnsi="Times New Roman" w:cs="Times New Roman"/>
          <w:color w:val="auto"/>
          <w:sz w:val="28"/>
          <w:szCs w:val="28"/>
        </w:rPr>
        <w:t xml:space="preserve">2314 </w:t>
      </w:r>
      <w:r>
        <w:rPr>
          <w:rFonts w:ascii="仿宋_GB2312" w:eastAsia="仿宋_GB2312" w:hAnsi="Times New Roman" w:cs="仿宋_GB2312" w:hint="eastAsia"/>
          <w:color w:val="auto"/>
          <w:sz w:val="28"/>
          <w:szCs w:val="28"/>
        </w:rPr>
        <w:t>受托代销商品款</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w:t>
      </w:r>
    </w:p>
    <w:p w14:paraId="71DDB3B1"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二、本科目可按委托单位、资产管理类别（如定向、集合和专项资产管理业务）等进行明细核算。三、代理业务负债的主要账务处理。（一）企业收到的代理业务款项，借记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存放中央</w:t>
      </w:r>
      <w:r>
        <w:rPr>
          <w:rFonts w:ascii="仿宋_GB2312" w:eastAsia="仿宋_GB2312" w:hAnsi="Times New Roman" w:cs="仿宋_GB2312" w:hint="eastAsia"/>
          <w:sz w:val="28"/>
          <w:szCs w:val="28"/>
        </w:rPr>
        <w:t>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6143735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定期或在合同到期与委托客户进行结算，按合同约定比例计算代理业务资产收益，结转已实现未结算损益，借记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代理业务资产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已实现未结算损益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科目，按属于委托客户的收益，贷记本科目，按属于企业的收益，贷记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手续费及佣金收入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73AD2CD1" w14:textId="77777777" w:rsidR="00D630C4" w:rsidRDefault="00D630C4" w:rsidP="00D630C4">
      <w:pPr>
        <w:pStyle w:val="Default"/>
        <w:spacing w:line="546" w:lineRule="atLeast"/>
        <w:ind w:right="695"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按规定划转、核销或退还代理业务资金，借记本科目，贷记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存放中央银行款项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吸收存款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559D480F" w14:textId="77777777" w:rsidR="00D630C4" w:rsidRDefault="00D630C4" w:rsidP="00D630C4">
      <w:pPr>
        <w:pStyle w:val="Default"/>
        <w:spacing w:line="546" w:lineRule="atLeast"/>
        <w:ind w:right="695"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（二）收到受托代销的商品，按约定的价格，借记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受托代销商品</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受托代销商品款</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w:t>
      </w:r>
    </w:p>
    <w:p w14:paraId="0DE2444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售出受托代销商品后，按实际收到或应收的金额，借记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w:t>
      </w:r>
      <w:r>
        <w:rPr>
          <w:rFonts w:ascii="仿宋_GB2312" w:eastAsia="仿宋_GB2312" w:hAnsi="Times New Roman" w:cs="仿宋_GB2312" w:hint="eastAsia"/>
          <w:sz w:val="28"/>
          <w:szCs w:val="28"/>
        </w:rPr>
        <w:lastRenderedPageBreak/>
        <w:t>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科目。计算代销手续费等收入，借记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其他业务收入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科目。结清代销商品款时，借记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受托代销商品款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3C628062" w14:textId="77777777" w:rsidR="00D630C4" w:rsidRDefault="00D630C4" w:rsidP="00D630C4">
      <w:pPr>
        <w:pStyle w:val="CM7"/>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四、本科目期末贷方余额，反映企业收到的代理业务资金。</w:t>
      </w:r>
    </w:p>
    <w:p w14:paraId="29E3FD9B" w14:textId="77777777" w:rsidR="00D630C4" w:rsidRDefault="00D630C4" w:rsidP="00D630C4">
      <w:pPr>
        <w:pStyle w:val="CM67"/>
        <w:rPr>
          <w:rFonts w:cs="黑体"/>
          <w:color w:val="000000"/>
        </w:rPr>
      </w:pPr>
    </w:p>
    <w:p w14:paraId="2A84DA28" w14:textId="77777777" w:rsidR="00D630C4" w:rsidRDefault="00D630C4" w:rsidP="00D630C4">
      <w:pPr>
        <w:pStyle w:val="CM67"/>
        <w:rPr>
          <w:rFonts w:ascii="仿宋_GB2312" w:eastAsia="仿宋_GB2312" w:hAnsi="Times New Roman" w:cs="仿宋_GB2312"/>
          <w:sz w:val="28"/>
          <w:szCs w:val="28"/>
        </w:rPr>
      </w:pPr>
      <w:r>
        <w:rPr>
          <w:rFonts w:ascii="Times New Roman" w:eastAsia="仿宋_GB2312" w:hAnsi="Times New Roman"/>
          <w:b/>
          <w:bCs/>
          <w:sz w:val="28"/>
          <w:szCs w:val="28"/>
        </w:rPr>
        <w:t xml:space="preserve">2401 </w:t>
      </w:r>
      <w:r>
        <w:rPr>
          <w:rFonts w:ascii="仿宋_GB2312" w:eastAsia="仿宋_GB2312" w:hAnsi="Times New Roman" w:cs="仿宋_GB2312" w:hint="eastAsia"/>
          <w:sz w:val="28"/>
          <w:szCs w:val="28"/>
        </w:rPr>
        <w:t>递延收益</w:t>
      </w:r>
    </w:p>
    <w:p w14:paraId="45B208DF"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一、本科目核算企业确认的应在以后期间计入当期损益的政府补助。</w:t>
      </w:r>
    </w:p>
    <w:p w14:paraId="5A0B32C5"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二、本科目可按政府补助的项目进行明细核算。</w:t>
      </w:r>
    </w:p>
    <w:p w14:paraId="7AA78EA6"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三、递延收益的主要账务处理。</w:t>
      </w:r>
    </w:p>
    <w:p w14:paraId="09186367"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（一）企业收到或应收的与资产相关的政府补助，借记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等科目，贷记本科目。在相关资产使用寿命内分配递延收益，借记本科目，贷记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7AA2BE1"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（二）与收益相关的政府补助，用于补偿企业以后期间相关费用或损失的，按收到或应收的金额，借记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等科目，贷记本科目。在发生相关费用或损失的未来期间，按应补偿的金额，借记本科目，贷记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科目。用于补偿企业已发生的相关费用或损失的，按收到或应收的金额，借记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其他应收款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营业外收入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66218D4"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四、本科目期末贷方余额，反映企业应在以后期间计入当期损益的政府补助。</w:t>
      </w:r>
    </w:p>
    <w:p w14:paraId="1C5F3870" w14:textId="77777777" w:rsidR="00D630C4" w:rsidRDefault="00D630C4" w:rsidP="00D630C4">
      <w:pPr>
        <w:pStyle w:val="Default"/>
        <w:spacing w:line="546" w:lineRule="atLeast"/>
        <w:ind w:right="258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lastRenderedPageBreak/>
        <w:t xml:space="preserve">2501 </w:t>
      </w:r>
      <w:r>
        <w:rPr>
          <w:rFonts w:ascii="仿宋_GB2312" w:eastAsia="仿宋_GB2312" w:hAnsi="Times New Roman" w:cs="仿宋_GB2312" w:hint="eastAsia"/>
          <w:color w:val="auto"/>
          <w:sz w:val="28"/>
          <w:szCs w:val="28"/>
        </w:rPr>
        <w:t>长期借款</w:t>
      </w:r>
    </w:p>
    <w:p w14:paraId="0C04D5BD"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一、本科目核算企业向银行或其他金融机构借入的期限在</w:t>
      </w:r>
      <w:r>
        <w:rPr>
          <w:rFonts w:ascii="Times New Roman" w:eastAsia="仿宋_GB2312" w:hAnsi="Times New Roman" w:cs="Times New Roman"/>
          <w:color w:val="auto"/>
          <w:sz w:val="28"/>
          <w:szCs w:val="28"/>
        </w:rPr>
        <w:t xml:space="preserve">1 </w:t>
      </w:r>
      <w:r>
        <w:rPr>
          <w:rFonts w:ascii="仿宋_GB2312" w:eastAsia="仿宋_GB2312" w:hAnsi="Times New Roman" w:cs="仿宋_GB2312" w:hint="eastAsia"/>
          <w:color w:val="auto"/>
          <w:sz w:val="28"/>
          <w:szCs w:val="28"/>
        </w:rPr>
        <w:t>年以上</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不含</w:t>
      </w:r>
      <w:r>
        <w:rPr>
          <w:rFonts w:ascii="Times New Roman" w:eastAsia="仿宋_GB2312" w:hAnsi="Times New Roman" w:cs="Times New Roman"/>
          <w:color w:val="auto"/>
          <w:sz w:val="28"/>
          <w:szCs w:val="28"/>
        </w:rPr>
        <w:t xml:space="preserve">1 </w:t>
      </w:r>
      <w:r>
        <w:rPr>
          <w:rFonts w:ascii="仿宋_GB2312" w:eastAsia="仿宋_GB2312" w:hAnsi="Times New Roman" w:cs="仿宋_GB2312" w:hint="eastAsia"/>
          <w:color w:val="auto"/>
          <w:sz w:val="28"/>
          <w:szCs w:val="28"/>
        </w:rPr>
        <w:t>年</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的各项借款。</w:t>
      </w:r>
    </w:p>
    <w:p w14:paraId="30887E37"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二、本科目可按贷款单位和贷款种类，分别</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本金</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利息调整</w:t>
      </w:r>
      <w:r>
        <w:rPr>
          <w:rFonts w:ascii="Times New Roman" w:eastAsia="仿宋_GB2312" w:hAnsi="Times New Roman" w:cs="Times New Roman"/>
          <w:color w:val="auto"/>
          <w:sz w:val="28"/>
          <w:szCs w:val="28"/>
        </w:rPr>
        <w:t xml:space="preserve">” </w:t>
      </w:r>
      <w:r>
        <w:rPr>
          <w:rFonts w:ascii="仿宋_GB2312" w:eastAsia="仿宋_GB2312" w:hAnsi="Times New Roman" w:cs="仿宋_GB2312" w:hint="eastAsia"/>
          <w:color w:val="auto"/>
          <w:sz w:val="28"/>
          <w:szCs w:val="28"/>
        </w:rPr>
        <w:t>等进行明细核算。</w:t>
      </w:r>
    </w:p>
    <w:p w14:paraId="7F5ED38D"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三、长期借款的主要账务处理。</w:t>
      </w:r>
    </w:p>
    <w:p w14:paraId="73E6C4AD"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（一）企业借入长期借款，应按实际收到的金额，借记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 xml:space="preserve">” </w:t>
      </w:r>
      <w:r>
        <w:rPr>
          <w:rFonts w:ascii="仿宋_GB2312" w:eastAsia="仿宋_GB2312" w:hAnsi="Times New Roman" w:cs="仿宋_GB2312" w:hint="eastAsia"/>
          <w:color w:val="auto"/>
          <w:sz w:val="28"/>
          <w:szCs w:val="28"/>
        </w:rPr>
        <w:t>科目，贷记本科目（本金）。如存在差额，还应借记本科目（利息调</w:t>
      </w:r>
      <w:r>
        <w:rPr>
          <w:rFonts w:ascii="仿宋_GB2312" w:eastAsia="仿宋_GB2312" w:hAnsi="Times New Roman" w:cs="仿宋_GB2312" w:hint="eastAsia"/>
          <w:sz w:val="28"/>
          <w:szCs w:val="28"/>
        </w:rPr>
        <w:t>整）。</w:t>
      </w:r>
    </w:p>
    <w:p w14:paraId="771415CF" w14:textId="77777777" w:rsidR="00D630C4" w:rsidRDefault="00D630C4" w:rsidP="00D630C4">
      <w:pPr>
        <w:pStyle w:val="CM13"/>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（二）资产负债表日，应按摊余成本和实际利率计算确定的长期借款的利息费用，借记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制造费用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研发支出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等科目，按合同利率计算确定的应付未付利息，贷记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应付利息</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科目，按其差额，贷记本科目（利息调整）。</w:t>
      </w:r>
    </w:p>
    <w:p w14:paraId="589594DE"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实际利率与合同利率差异较小的，也可以采用合同利率计算确定利息费用。</w:t>
      </w:r>
    </w:p>
    <w:p w14:paraId="7D7CED6C"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（三）归还的长期借款本金，借记本科目（本金），贷记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科目。同时，存在利息调整余额的，借记或贷记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制造费用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研发支出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等科目，贷记或借记本科目（利息调整）。</w:t>
      </w:r>
    </w:p>
    <w:p w14:paraId="3CAD5433" w14:textId="77777777" w:rsidR="00D630C4" w:rsidRDefault="00D630C4" w:rsidP="00D630C4">
      <w:pPr>
        <w:pStyle w:val="CM73"/>
        <w:spacing w:line="546" w:lineRule="atLeast"/>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四、本科目期末贷方余额，反映企业尚未偿还的长期借款。</w:t>
      </w:r>
    </w:p>
    <w:p w14:paraId="60840E0E" w14:textId="77777777" w:rsidR="00D630C4" w:rsidRDefault="00D630C4" w:rsidP="00D630C4">
      <w:pPr>
        <w:pStyle w:val="Default"/>
        <w:spacing w:line="546" w:lineRule="atLeast"/>
        <w:ind w:right="303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2502 </w:t>
      </w:r>
      <w:r>
        <w:rPr>
          <w:rFonts w:ascii="仿宋_GB2312" w:eastAsia="仿宋_GB2312" w:hAnsi="Times New Roman" w:cs="仿宋_GB2312" w:hint="eastAsia"/>
          <w:color w:val="auto"/>
          <w:sz w:val="28"/>
          <w:szCs w:val="28"/>
        </w:rPr>
        <w:t>应付债券</w:t>
      </w:r>
    </w:p>
    <w:p w14:paraId="451C0DA5"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lastRenderedPageBreak/>
        <w:t>一、本科目核算企业为筹集（长期）资金而发行债券的本金和利息。企业发行的可转换公司债券，应将负债和权益成份进行分拆，分拆后形成的负债成份在本科目核算。</w:t>
      </w:r>
    </w:p>
    <w:p w14:paraId="6044559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面值</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利息调整</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应计利息</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等进行明细核</w:t>
      </w:r>
      <w:r>
        <w:rPr>
          <w:rFonts w:ascii="仿宋_GB2312" w:eastAsia="仿宋_GB2312" w:hAnsi="Times New Roman" w:cs="仿宋_GB2312" w:hint="eastAsia"/>
          <w:sz w:val="28"/>
          <w:szCs w:val="28"/>
        </w:rPr>
        <w:t>算。</w:t>
      </w:r>
    </w:p>
    <w:p w14:paraId="38959712"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三、应付债券的主要账务处理。</w:t>
      </w:r>
    </w:p>
    <w:p w14:paraId="5DD14D0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（一）企业发行债券，应按实际收到的金额，借记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等科目，按债券票面金额，贷记本科目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面值</w:t>
      </w:r>
      <w:r>
        <w:rPr>
          <w:rFonts w:ascii="Times New Roman" w:eastAsia="仿宋_GB2312" w:hAnsi="Times New Roman"/>
          <w:sz w:val="28"/>
          <w:szCs w:val="28"/>
        </w:rPr>
        <w:t>)</w:t>
      </w:r>
      <w:r>
        <w:rPr>
          <w:rFonts w:ascii="仿宋_GB2312" w:eastAsia="仿宋_GB2312" w:hAnsi="Times New Roman" w:cs="仿宋_GB2312" w:hint="eastAsia"/>
          <w:sz w:val="28"/>
          <w:szCs w:val="28"/>
        </w:rPr>
        <w:t>。存在差额的，还应借记或</w:t>
      </w:r>
      <w:r>
        <w:rPr>
          <w:rFonts w:ascii="仿宋_GB2312" w:eastAsia="仿宋_GB2312" w:hAnsi="Times New Roman" w:cs="仿宋_GB2312" w:hint="eastAsia"/>
          <w:color w:val="auto"/>
          <w:sz w:val="28"/>
          <w:szCs w:val="28"/>
        </w:rPr>
        <w:t>贷记本科目（利息调整）。</w:t>
      </w:r>
      <w:r>
        <w:rPr>
          <w:rFonts w:ascii="仿宋_GB2312" w:eastAsia="仿宋_GB2312" w:hAnsi="Times New Roman" w:cs="仿宋_GB2312"/>
          <w:color w:val="auto"/>
          <w:sz w:val="28"/>
          <w:szCs w:val="28"/>
        </w:rPr>
        <w:t xml:space="preserve"> </w:t>
      </w:r>
    </w:p>
    <w:p w14:paraId="4183F36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发行的可转换公司债券，应按实际收到的金额，借记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银行存款</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等科目，按该项可转换公司债券包含的负债成份的面值，贷记本科目（可转换公司债券</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面值），按权益成份的公允价值，贷记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资本公积</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其他资本公积</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科目，按其差额，借记或贷记本科目（利息调整）。</w:t>
      </w:r>
      <w:r>
        <w:rPr>
          <w:rFonts w:ascii="仿宋_GB2312" w:eastAsia="仿宋_GB2312" w:hAnsi="Times New Roman" w:cs="仿宋_GB2312"/>
          <w:color w:val="auto"/>
          <w:sz w:val="28"/>
          <w:szCs w:val="28"/>
        </w:rPr>
        <w:t xml:space="preserve"> </w:t>
      </w:r>
      <w:r>
        <w:rPr>
          <w:rFonts w:ascii="仿宋_GB2312" w:eastAsia="仿宋_GB2312" w:hAnsi="Times New Roman" w:cs="仿宋_GB2312" w:hint="eastAsia"/>
          <w:color w:val="auto"/>
          <w:sz w:val="28"/>
          <w:szCs w:val="28"/>
        </w:rPr>
        <w:t>（二）资产负债表日，对于分期付息、一次还本的债券，应按摊余成本和实际利率计算确定的债券利息费用，借记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在建工程</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制造费用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财务费用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研发支出</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等科目，按票面利率计算确定的应付未付利息，贷记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应付利息</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科目，按其差额，借记或贷记本科目（利息调整）。对于一次还本付息的债券，应于资产负债表日按摊余成本和实际利率计算确定的债券利息费用，借记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在建工程</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制造费用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财务费用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研发支出</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等科目，按票面利率计算确定的应付未付利息，贷记本科目（应计利息），按其差额，借记或贷记本科目（利息调整）。实际利率与票面利率差异较小的，也可以采用票</w:t>
      </w:r>
      <w:r>
        <w:rPr>
          <w:rFonts w:ascii="仿宋_GB2312" w:eastAsia="仿宋_GB2312" w:hAnsi="Times New Roman" w:cs="仿宋_GB2312" w:hint="eastAsia"/>
          <w:color w:val="auto"/>
          <w:sz w:val="28"/>
          <w:szCs w:val="28"/>
        </w:rPr>
        <w:lastRenderedPageBreak/>
        <w:t>面利率计算确定利息费用。（三）长期债券到期，支付债券本息，借记本科目</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面值、应计利息</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应付利息</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等科目，贷记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银行存款</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等科目。同时，存在利息调整余额的，借记或贷记本科目（利息调整），贷记或借记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在建工程</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制造费用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财务费用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研发支出</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等科目。</w:t>
      </w:r>
    </w:p>
    <w:p w14:paraId="7E1EBB84"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（四）可转换公司债券持有人行使转换权利，将其持有的债券转换为股票，按可转换公司债券的余额，借记本科目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可转换公司债券</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面值、利息调整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，按其权益成份的金额，借记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科目，按股票面值和转换的股数计算的股票面值总额，贷记</w:t>
      </w:r>
      <w:r>
        <w:rPr>
          <w:rFonts w:ascii="Times New Roman" w:eastAsia="仿宋_GB2312" w:hAnsi="Times New Roman"/>
          <w:sz w:val="28"/>
          <w:szCs w:val="28"/>
        </w:rPr>
        <w:t>“</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科目。如用现金支付不可转换股票的部分，还应贷记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C0CC11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四、企业应当设置</w:t>
      </w:r>
      <w:r>
        <w:rPr>
          <w:rFonts w:ascii="Times New Roman" w:eastAsia="仿宋_GB2312" w:hAnsi="Times New Roman"/>
          <w:sz w:val="28"/>
          <w:szCs w:val="28"/>
        </w:rPr>
        <w:t>“</w:t>
      </w:r>
      <w:r>
        <w:rPr>
          <w:rFonts w:ascii="仿宋_GB2312" w:eastAsia="仿宋_GB2312" w:hAnsi="Times New Roman" w:cs="仿宋_GB2312" w:hint="eastAsia"/>
          <w:sz w:val="28"/>
          <w:szCs w:val="28"/>
        </w:rPr>
        <w:t>企业债券备查簿</w:t>
      </w:r>
      <w:r>
        <w:rPr>
          <w:rFonts w:ascii="Times New Roman" w:eastAsia="仿宋_GB2312" w:hAnsi="Times New Roman"/>
          <w:sz w:val="28"/>
          <w:szCs w:val="28"/>
        </w:rPr>
        <w:t>”</w:t>
      </w:r>
      <w:r>
        <w:rPr>
          <w:rFonts w:ascii="仿宋_GB2312" w:eastAsia="仿宋_GB2312" w:hAnsi="Times New Roman" w:cs="仿宋_GB2312" w:hint="eastAsia"/>
          <w:sz w:val="28"/>
          <w:szCs w:val="28"/>
        </w:rPr>
        <w:t>，详细登记企业债券的票面金额、债券票面利率、还本付息期限与方式、发行总额、发行日期和编号、委托代售单位、转换股份等资料。企业债券到期兑付，在备查簿中应予注销。</w:t>
      </w:r>
    </w:p>
    <w:p w14:paraId="10599A02"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五、本科目期末贷方余额，反映企业尚未偿还的长期债券摊余成本。</w:t>
      </w:r>
    </w:p>
    <w:p w14:paraId="5875E6D0" w14:textId="77777777" w:rsidR="00D630C4" w:rsidRDefault="00D630C4" w:rsidP="00D630C4">
      <w:pPr>
        <w:pStyle w:val="CM38"/>
        <w:ind w:right="40"/>
        <w:rPr>
          <w:rFonts w:ascii="仿宋_GB2312" w:eastAsia="仿宋_GB2312" w:hAnsi="Times New Roman" w:cs="仿宋_GB2312"/>
          <w:sz w:val="28"/>
          <w:szCs w:val="28"/>
        </w:rPr>
      </w:pPr>
      <w:r>
        <w:rPr>
          <w:rFonts w:ascii="Times New Roman" w:eastAsia="仿宋_GB2312" w:hAnsi="Times New Roman"/>
          <w:b/>
          <w:bCs/>
          <w:sz w:val="28"/>
          <w:szCs w:val="28"/>
        </w:rPr>
        <w:t xml:space="preserve">2601 </w:t>
      </w:r>
      <w:r>
        <w:rPr>
          <w:rFonts w:ascii="仿宋_GB2312" w:eastAsia="仿宋_GB2312" w:hAnsi="Times New Roman" w:cs="仿宋_GB2312" w:hint="eastAsia"/>
          <w:sz w:val="28"/>
          <w:szCs w:val="28"/>
        </w:rPr>
        <w:t>未到期责任准备金</w:t>
      </w:r>
    </w:p>
    <w:p w14:paraId="3E249A38" w14:textId="77777777" w:rsidR="00D630C4" w:rsidRDefault="00D630C4" w:rsidP="00D630C4">
      <w:pPr>
        <w:pStyle w:val="CM3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一、本科目核算企业（保险）提取的非寿险原保险合同未到期责任准备金。再保险接受人提取的再保险合同分保未到期责任准备金，也在本科目核算。</w:t>
      </w:r>
    </w:p>
    <w:p w14:paraId="1D3D3C53" w14:textId="77777777" w:rsidR="00D630C4" w:rsidRDefault="00D630C4" w:rsidP="00D630C4">
      <w:pPr>
        <w:pStyle w:val="CM3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二、本科目可按保险合同进行明细核算。</w:t>
      </w:r>
    </w:p>
    <w:p w14:paraId="513FF7CB" w14:textId="77777777" w:rsidR="00D630C4" w:rsidRDefault="00D630C4" w:rsidP="00D630C4">
      <w:pPr>
        <w:pStyle w:val="CM3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三、未到期责任准备金的主要账务处理。</w:t>
      </w:r>
    </w:p>
    <w:p w14:paraId="1E121711" w14:textId="77777777" w:rsidR="00D630C4" w:rsidRDefault="00D630C4" w:rsidP="00D630C4">
      <w:pPr>
        <w:pStyle w:val="CM38"/>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（一）企业确认原保费收入、分保费收入的当期，应按保险精算确定的未到期责任准备金，借记</w:t>
      </w:r>
      <w:r>
        <w:rPr>
          <w:rFonts w:ascii="Times New Roman" w:eastAsia="仿宋_GB2312" w:hAnsi="Times New Roman"/>
          <w:sz w:val="28"/>
          <w:szCs w:val="28"/>
        </w:rPr>
        <w:t>“</w:t>
      </w:r>
      <w:r>
        <w:rPr>
          <w:rFonts w:ascii="仿宋_GB2312" w:eastAsia="仿宋_GB2312" w:hAnsi="Times New Roman" w:cs="仿宋_GB2312" w:hint="eastAsia"/>
          <w:sz w:val="28"/>
          <w:szCs w:val="28"/>
        </w:rPr>
        <w:t>提取未到期责任准备金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370BA55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（二）资产负债表日，按保险精算重新计算确定的未到期责任准备金与已确认的未到期责任准备金的差额，借记本科目，贷记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提取未到期责任准备金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4D3D7D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（三）原保险合同提前解除的，按相关未到期责任准备金余额，借记本科目，贷记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提取未到期责任准备金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E0C6B5C" w14:textId="77777777" w:rsidR="00D630C4" w:rsidRDefault="00D630C4" w:rsidP="00D630C4">
      <w:pPr>
        <w:pStyle w:val="CM73"/>
        <w:spacing w:line="543"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四、本科目期末贷方余额，反映企业的未到期责任准备金。</w:t>
      </w:r>
    </w:p>
    <w:p w14:paraId="1D7F85DC"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hAnsi="Times New Roman" w:cs="Times New Roman"/>
          <w:b/>
          <w:bCs/>
          <w:color w:val="auto"/>
          <w:sz w:val="28"/>
          <w:szCs w:val="28"/>
        </w:rPr>
        <w:t xml:space="preserve">2602 </w:t>
      </w:r>
      <w:r>
        <w:rPr>
          <w:rFonts w:ascii="仿宋_GB2312" w:eastAsia="仿宋_GB2312" w:hAnsi="Times New Roman" w:cs="仿宋_GB2312" w:hint="eastAsia"/>
          <w:color w:val="auto"/>
          <w:sz w:val="28"/>
          <w:szCs w:val="28"/>
        </w:rPr>
        <w:t>保险责任准备金</w:t>
      </w:r>
    </w:p>
    <w:p w14:paraId="403F0FCE"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一、本科目核算企业（保险）提取的原保险合同保险责任准备金，包括未决赔款准备金、寿险责任准备金、长期健康险责任准备金。</w:t>
      </w:r>
    </w:p>
    <w:p w14:paraId="4E4E253B" w14:textId="77777777" w:rsidR="00D630C4" w:rsidRDefault="00D630C4" w:rsidP="00D630C4">
      <w:pPr>
        <w:pStyle w:val="CM28"/>
        <w:ind w:right="93" w:firstLine="473"/>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再保险接受人提取的再保险合同保险责任准备金，也在本科目核算。</w:t>
      </w:r>
    </w:p>
    <w:p w14:paraId="26F728A5"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企业（保险）也可以单独设置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未决赔款准备金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寿险责任准备金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长期健康险责任准备金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2DEFE1B"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二、本科目可按保险责任准备金类别、保险合同进行明细核算。</w:t>
      </w:r>
    </w:p>
    <w:p w14:paraId="6FC74C8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三、保险责任准备金的主要账务处理。</w:t>
      </w:r>
    </w:p>
    <w:p w14:paraId="4BD0385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（一）企业确认寿险保费收入，应按保险精算确定的寿险责任准</w:t>
      </w:r>
      <w:r>
        <w:rPr>
          <w:rFonts w:ascii="仿宋_GB2312" w:eastAsia="仿宋_GB2312" w:hAnsi="Times New Roman" w:cs="仿宋_GB2312" w:hint="eastAsia"/>
          <w:sz w:val="28"/>
          <w:szCs w:val="28"/>
        </w:rPr>
        <w:lastRenderedPageBreak/>
        <w:t>备金、长期健康险责任准备金，借记</w:t>
      </w:r>
      <w:r>
        <w:rPr>
          <w:rFonts w:ascii="Times New Roman" w:eastAsia="仿宋_GB2312" w:hAnsi="Times New Roman"/>
          <w:sz w:val="28"/>
          <w:szCs w:val="28"/>
        </w:rPr>
        <w:t>“</w:t>
      </w:r>
      <w:r>
        <w:rPr>
          <w:rFonts w:ascii="仿宋_GB2312" w:eastAsia="仿宋_GB2312" w:hAnsi="Times New Roman" w:cs="仿宋_GB2312" w:hint="eastAsia"/>
          <w:sz w:val="28"/>
          <w:szCs w:val="28"/>
        </w:rPr>
        <w:t>提取保险责任准备金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E0EB60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投保人发生非寿险保险合同约定的保险事故当期，企业应按保险精算确定的未决赔款准备金，借记</w:t>
      </w:r>
      <w:r>
        <w:rPr>
          <w:rFonts w:ascii="Times New Roman" w:eastAsia="仿宋_GB2312" w:hAnsi="Times New Roman"/>
          <w:sz w:val="28"/>
          <w:szCs w:val="28"/>
        </w:rPr>
        <w:t>“</w:t>
      </w:r>
      <w:r>
        <w:rPr>
          <w:rFonts w:ascii="仿宋_GB2312" w:eastAsia="仿宋_GB2312" w:hAnsi="Times New Roman" w:cs="仿宋_GB2312" w:hint="eastAsia"/>
          <w:sz w:val="28"/>
          <w:szCs w:val="28"/>
        </w:rPr>
        <w:t>提取保险责任准备金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656A0282"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对保险责任准备金进行充足性测试，应按补提的保险责任准备金，借记</w:t>
      </w:r>
      <w:r>
        <w:rPr>
          <w:rFonts w:ascii="Times New Roman" w:eastAsia="仿宋_GB2312" w:hAnsi="Times New Roman"/>
          <w:sz w:val="28"/>
          <w:szCs w:val="28"/>
        </w:rPr>
        <w:t>“</w:t>
      </w:r>
      <w:r>
        <w:rPr>
          <w:rFonts w:ascii="仿宋_GB2312" w:eastAsia="仿宋_GB2312" w:hAnsi="Times New Roman" w:cs="仿宋_GB2312" w:hint="eastAsia"/>
          <w:sz w:val="28"/>
          <w:szCs w:val="28"/>
        </w:rPr>
        <w:t>提取保险责任准备金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EEF1882"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（二）原保险合同保险人确定支付赔付款项金额或实际发生理赔费用的当期，应按冲减的相应保险责任准备金余额，借记本科目，贷记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提取保险责任准备金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58C008E"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再保险接受人收到分保业务账单的当期，应按分保保险责任准备金的相应冲减金额，借记本科目，贷记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提取保险责任准备金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6FE0C73"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（三）寿险原保险合同提前解除的，应按相关寿险责任准备金、长期健康险责任准备金余额，借记本科目，贷记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提取保险责任准备金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B30487B" w14:textId="77777777" w:rsidR="00D630C4" w:rsidRDefault="00D630C4" w:rsidP="00D630C4">
      <w:pPr>
        <w:pStyle w:val="CM73"/>
        <w:spacing w:line="546" w:lineRule="atLeas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四、本科目期末贷方余额，反映企业的保险责任准备金。</w:t>
      </w:r>
    </w:p>
    <w:p w14:paraId="66597311" w14:textId="77777777" w:rsidR="00D630C4" w:rsidRDefault="00D630C4" w:rsidP="00D630C4">
      <w:pPr>
        <w:pStyle w:val="CM76"/>
        <w:spacing w:line="546" w:lineRule="atLeast"/>
        <w:rPr>
          <w:rFonts w:ascii="仿宋_GB2312" w:eastAsia="仿宋_GB2312" w:hAnsi="Times New Roman" w:cs="仿宋_GB2312"/>
          <w:sz w:val="28"/>
          <w:szCs w:val="28"/>
        </w:rPr>
      </w:pPr>
      <w:r>
        <w:rPr>
          <w:rFonts w:ascii="Times New Roman" w:eastAsia="仿宋_GB2312" w:hAnsi="Times New Roman"/>
          <w:b/>
          <w:bCs/>
          <w:sz w:val="28"/>
          <w:szCs w:val="28"/>
        </w:rPr>
        <w:t xml:space="preserve">2611  </w:t>
      </w:r>
      <w:r>
        <w:rPr>
          <w:rFonts w:ascii="仿宋_GB2312" w:eastAsia="仿宋_GB2312" w:hAnsi="Times New Roman" w:cs="仿宋_GB2312" w:hint="eastAsia"/>
          <w:sz w:val="28"/>
          <w:szCs w:val="28"/>
        </w:rPr>
        <w:t>保户储金</w:t>
      </w:r>
    </w:p>
    <w:p w14:paraId="10A051F5"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一、本科目核算企业（保险）收到投保人以储金本金增值作为保费收入的储金。企业（保险）收到投保人投资型保险业务的投资款，可将本科目改为</w:t>
      </w:r>
      <w:r>
        <w:rPr>
          <w:rFonts w:ascii="Times New Roman" w:eastAsia="仿宋_GB2312" w:hAnsi="Times New Roman" w:cs="Times New Roman"/>
          <w:color w:val="auto"/>
          <w:sz w:val="28"/>
          <w:szCs w:val="28"/>
        </w:rPr>
        <w:t xml:space="preserve">“2611 </w:t>
      </w:r>
      <w:r>
        <w:rPr>
          <w:rFonts w:ascii="仿宋_GB2312" w:eastAsia="仿宋_GB2312" w:hAnsi="Times New Roman" w:cs="仿宋_GB2312" w:hint="eastAsia"/>
          <w:color w:val="auto"/>
          <w:sz w:val="28"/>
          <w:szCs w:val="28"/>
        </w:rPr>
        <w:t>保户投资款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科目。企业（保险）应向投保人支付的储金或投资款增值，也在本科目</w:t>
      </w:r>
      <w:r>
        <w:rPr>
          <w:rFonts w:ascii="仿宋_GB2312" w:eastAsia="仿宋_GB2312" w:hAnsi="Times New Roman" w:cs="仿宋_GB2312" w:hint="eastAsia"/>
          <w:sz w:val="28"/>
          <w:szCs w:val="28"/>
        </w:rPr>
        <w:t>核算。</w:t>
      </w:r>
    </w:p>
    <w:p w14:paraId="7174E45D"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二、本科目可按投保人进行明细核算。</w:t>
      </w:r>
    </w:p>
    <w:p w14:paraId="2C69C51D"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三、企业收到投保人交纳的储金，借记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库存现金</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等科目，贷记本科目。向投保人支付储金做相反的会计分录。</w:t>
      </w:r>
    </w:p>
    <w:p w14:paraId="70BBB0CA"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四、本科目期末贷方余额，反映企业应付未付投保人储金。</w:t>
      </w:r>
    </w:p>
    <w:p w14:paraId="6B7A2B9E" w14:textId="77777777" w:rsidR="00D630C4" w:rsidRDefault="00D630C4" w:rsidP="00D630C4">
      <w:pPr>
        <w:pStyle w:val="CM52"/>
        <w:ind w:right="140"/>
        <w:rPr>
          <w:rFonts w:ascii="Times New Roman" w:eastAsia="仿宋_GB2312" w:hAnsi="Times New Roman"/>
          <w:b/>
          <w:bCs/>
          <w:sz w:val="28"/>
          <w:szCs w:val="28"/>
        </w:rPr>
      </w:pPr>
    </w:p>
    <w:p w14:paraId="48E83E84" w14:textId="77777777" w:rsidR="00D630C4" w:rsidRDefault="00D630C4" w:rsidP="00D630C4">
      <w:pPr>
        <w:pStyle w:val="CM52"/>
        <w:ind w:right="140"/>
        <w:rPr>
          <w:rFonts w:ascii="仿宋_GB2312" w:eastAsia="仿宋_GB2312" w:hAnsi="Times New Roman" w:cs="仿宋_GB2312"/>
          <w:sz w:val="28"/>
          <w:szCs w:val="28"/>
        </w:rPr>
      </w:pPr>
      <w:r>
        <w:rPr>
          <w:rFonts w:ascii="Times New Roman" w:eastAsia="仿宋_GB2312" w:hAnsi="Times New Roman"/>
          <w:b/>
          <w:bCs/>
          <w:sz w:val="28"/>
          <w:szCs w:val="28"/>
        </w:rPr>
        <w:t xml:space="preserve">2621 </w:t>
      </w:r>
      <w:r>
        <w:rPr>
          <w:rFonts w:ascii="仿宋_GB2312" w:eastAsia="仿宋_GB2312" w:hAnsi="Times New Roman" w:cs="仿宋_GB2312" w:hint="eastAsia"/>
          <w:sz w:val="28"/>
          <w:szCs w:val="28"/>
        </w:rPr>
        <w:t>独立账户负债</w:t>
      </w:r>
    </w:p>
    <w:p w14:paraId="10B31A02"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一、本科目核算企业（保险）对分拆核算的投资连结产品不属于风险保障部分确认的独立账户负债。</w:t>
      </w:r>
    </w:p>
    <w:p w14:paraId="41F98037"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二、本科目可按负债类别进行明细核算。</w:t>
      </w:r>
    </w:p>
    <w:p w14:paraId="1BB88E62"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三、独立账户负债的主要账务处理。</w:t>
      </w:r>
    </w:p>
    <w:p w14:paraId="123AF542"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（一）向独立账户划入资金，借记</w:t>
      </w:r>
      <w:r>
        <w:rPr>
          <w:rFonts w:ascii="Times New Roman" w:eastAsia="仿宋_GB2312" w:hAnsi="Times New Roman"/>
          <w:sz w:val="28"/>
          <w:szCs w:val="28"/>
        </w:rPr>
        <w:t>“</w:t>
      </w:r>
      <w:r>
        <w:rPr>
          <w:rFonts w:ascii="仿宋_GB2312" w:eastAsia="仿宋_GB2312" w:hAnsi="Times New Roman" w:cs="仿宋_GB2312" w:hint="eastAsia"/>
          <w:sz w:val="28"/>
          <w:szCs w:val="28"/>
        </w:rPr>
        <w:t>独立账户资产</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银行存款及现金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7ADFAC88"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（二）对独立账户投资进行估值，按估值增值，借记</w:t>
      </w:r>
      <w:r>
        <w:rPr>
          <w:rFonts w:ascii="Times New Roman" w:eastAsia="仿宋_GB2312" w:hAnsi="Times New Roman"/>
          <w:sz w:val="28"/>
          <w:szCs w:val="28"/>
        </w:rPr>
        <w:t>“</w:t>
      </w:r>
      <w:r>
        <w:rPr>
          <w:rFonts w:ascii="仿宋_GB2312" w:eastAsia="仿宋_GB2312" w:hAnsi="Times New Roman" w:cs="仿宋_GB2312" w:hint="eastAsia"/>
          <w:sz w:val="28"/>
          <w:szCs w:val="28"/>
        </w:rPr>
        <w:t>独立账户资产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科目，贷记本科目；估值减值的做相反的会计分录。</w:t>
      </w:r>
    </w:p>
    <w:p w14:paraId="71EAC927"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（三）按照独立账户计提的保险费，借记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保费收入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独立账户资产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科目。对独立账户计提账户管理费，借记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手续费及佣金收入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科目；同时，借记本科目，贷记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独立账户资产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733BECC"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（四）支付独立账户资产，借记本科目，贷记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独立账户资产</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772B8C05" w14:textId="77777777" w:rsidR="00D630C4" w:rsidRDefault="00D630C4" w:rsidP="00D630C4">
      <w:pPr>
        <w:pStyle w:val="CM78"/>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四、本科目期末贷方余额，反映企业确认的独立账户负债。</w:t>
      </w:r>
    </w:p>
    <w:p w14:paraId="5CA79BF1" w14:textId="77777777" w:rsidR="00D630C4" w:rsidRDefault="00D630C4" w:rsidP="00D630C4">
      <w:pPr>
        <w:pStyle w:val="CM1"/>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2701 </w:t>
      </w:r>
      <w:r>
        <w:rPr>
          <w:rFonts w:ascii="仿宋_GB2312" w:eastAsia="仿宋_GB2312" w:hAnsi="Times New Roman" w:cs="仿宋_GB2312" w:hint="eastAsia"/>
          <w:sz w:val="28"/>
          <w:szCs w:val="28"/>
        </w:rPr>
        <w:t>长期应付款</w:t>
      </w:r>
    </w:p>
    <w:p w14:paraId="25165DC5"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一、本科目核算企业除长期借款和应付债券以外的其他各种长期应付款项，包括应付融资租入固定资产的租赁费、以分期付款方式购入固定资产等发生的应付款项等。</w:t>
      </w:r>
    </w:p>
    <w:p w14:paraId="661813A6" w14:textId="77777777" w:rsidR="00D630C4" w:rsidRDefault="00D630C4" w:rsidP="00D630C4">
      <w:pPr>
        <w:pStyle w:val="Default"/>
        <w:spacing w:line="546" w:lineRule="atLeast"/>
        <w:ind w:left="563" w:right="688" w:hanging="82"/>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二、本科目可按长期应付款的种类和债权人进行明细核算。</w:t>
      </w:r>
    </w:p>
    <w:p w14:paraId="44B6B347" w14:textId="77777777" w:rsidR="00D630C4" w:rsidRDefault="00D630C4" w:rsidP="00D630C4">
      <w:pPr>
        <w:pStyle w:val="Default"/>
        <w:spacing w:line="546" w:lineRule="atLeast"/>
        <w:ind w:left="563" w:right="688" w:hanging="82"/>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三、长期应付款的主要账务处理。</w:t>
      </w:r>
    </w:p>
    <w:p w14:paraId="30087AD1"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（一）企业融资租入的固定资产，在租赁期开始日，按应计入固定资产成本的金额（租赁开始日租赁资产公允价值与最低租赁付款额现值两者中较低者，加上初始直接费用），借记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科目，按最低租赁付款额，贷记本科目，按发生的初始直接费用，贷记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未确认融资费用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05C7D77"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按期支付的租金，借记本科目，贷记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7461A65"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（二）购入有关资产超过正常信用条件延期支付价款、实质上具有融资性质的，应按购买价款的现值，借记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等科目，按应支付的金额，贷记本科目，按其差额，借记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未确认融资费用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76F5834"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按期支付的价款，借记本科目，贷记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75978F9D" w14:textId="77777777" w:rsidR="00D630C4" w:rsidRDefault="00D630C4" w:rsidP="00D630C4">
      <w:pPr>
        <w:pStyle w:val="CM24"/>
        <w:ind w:right="140" w:firstLine="48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四、本科目期末贷方余额，反映企业应付未付的长期应付款项。</w:t>
      </w:r>
    </w:p>
    <w:p w14:paraId="526D7A3D" w14:textId="77777777" w:rsidR="00D630C4" w:rsidRDefault="00D630C4" w:rsidP="00D630C4">
      <w:pPr>
        <w:pStyle w:val="Default"/>
        <w:spacing w:line="546" w:lineRule="atLeast"/>
      </w:pPr>
    </w:p>
    <w:p w14:paraId="4CF747E8"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2702 </w:t>
      </w:r>
      <w:r>
        <w:rPr>
          <w:rFonts w:ascii="仿宋_GB2312" w:eastAsia="仿宋_GB2312" w:hAnsi="Times New Roman" w:cs="仿宋_GB2312" w:hint="eastAsia"/>
          <w:color w:val="auto"/>
          <w:sz w:val="28"/>
          <w:szCs w:val="28"/>
        </w:rPr>
        <w:t>未确认融资费用</w:t>
      </w:r>
    </w:p>
    <w:p w14:paraId="458E6FA4"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一、本科目核算企业应当分期计入利息费用的未确认融资费用。</w:t>
      </w:r>
    </w:p>
    <w:p w14:paraId="045DB0B0"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二、本科目可按债权人和长期应付款项目进行明细核算。</w:t>
      </w:r>
    </w:p>
    <w:p w14:paraId="194FF5B4"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lastRenderedPageBreak/>
        <w:t>三、未确认融资费用的主要账务处理。</w:t>
      </w:r>
    </w:p>
    <w:p w14:paraId="2B91C2D9"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（一）企业融资租入的固定资产，在租赁期开始日，按应计入固</w:t>
      </w:r>
    </w:p>
    <w:p w14:paraId="11ECCB1D" w14:textId="77777777" w:rsidR="00D630C4" w:rsidRDefault="00D630C4" w:rsidP="00D630C4">
      <w:pPr>
        <w:pStyle w:val="CM39"/>
        <w:ind w:right="14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定资产成本的金额（租赁开始日租赁资产公允价值与最低租赁付款额现值两者中较低者，加上初始直接费用），借记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科目，按最低租赁付款额，贷记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科目，按发生的初始直接费用，贷记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等科目，按其差额，借记本科目。</w:t>
      </w:r>
    </w:p>
    <w:p w14:paraId="4438C790"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采用实际利率法分期摊销未确认融资费用，借记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514CC9B6"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（二）购入有关资产超过正常信用条件延期支付价款、实质上具有融资性质的，应按购买价款的现值，借记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等科目，按应支付的金额，贷记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科目，按其差额，借记本科目。</w:t>
      </w:r>
    </w:p>
    <w:p w14:paraId="09E32243"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采用实际利率法分期摊销未确认融资费用，借记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69A62154"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四、本科目期末借方余额，反映企业未确认融资费用的摊余价值。</w:t>
      </w:r>
    </w:p>
    <w:p w14:paraId="25598E2D" w14:textId="77777777" w:rsidR="00D630C4" w:rsidRDefault="00D630C4" w:rsidP="00D630C4">
      <w:pPr>
        <w:pStyle w:val="Default"/>
        <w:spacing w:line="546" w:lineRule="atLeast"/>
        <w:ind w:right="269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2711  </w:t>
      </w:r>
      <w:r>
        <w:rPr>
          <w:rFonts w:ascii="仿宋_GB2312" w:eastAsia="仿宋_GB2312" w:hAnsi="Times New Roman" w:cs="仿宋_GB2312" w:hint="eastAsia"/>
          <w:color w:val="auto"/>
          <w:sz w:val="28"/>
          <w:szCs w:val="28"/>
        </w:rPr>
        <w:t>专项应付款</w:t>
      </w:r>
    </w:p>
    <w:p w14:paraId="77B01515"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一、本科目核算企业取得政府作为企业所有者投入的具有专项或特定用途的款项。</w:t>
      </w:r>
    </w:p>
    <w:p w14:paraId="3925C46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二、本科目可按资本性投资项目进行明细核算。</w:t>
      </w:r>
    </w:p>
    <w:p w14:paraId="78EDAF4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三、企业收到或应收的资本性拨款，借记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等科目，贷记本科目。将专项或特定用途的拨款用于工程项目，借记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在建工程</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lastRenderedPageBreak/>
        <w:t>等科目，贷记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应付职工薪酬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51698E7B"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工程项目完工形成长期资产的部分，借记本科目，贷记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资本溢价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科目；对未形成长期资产需要核销的部分，借记本科目，贷记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等科目；拨款结余需要返还的，借记本科目，贷记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98BE950"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上述资本溢价转增实收资本或股本，借记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资本溢价或股本溢价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实收资本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或</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股本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678279BA"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四、本科目期末贷方余额，反映企业尚未转销的专项应付款。</w:t>
      </w:r>
    </w:p>
    <w:p w14:paraId="1384C258" w14:textId="77777777" w:rsidR="00D630C4" w:rsidRDefault="00D630C4" w:rsidP="00D630C4">
      <w:pPr>
        <w:pStyle w:val="CM64"/>
        <w:ind w:right="1498"/>
        <w:rPr>
          <w:rFonts w:ascii="Times New Roman" w:eastAsia="仿宋_GB2312" w:hAnsi="Times New Roman"/>
          <w:b/>
          <w:bCs/>
          <w:sz w:val="28"/>
          <w:szCs w:val="28"/>
        </w:rPr>
      </w:pPr>
    </w:p>
    <w:p w14:paraId="6720616A" w14:textId="77777777" w:rsidR="00D630C4" w:rsidRDefault="00D630C4" w:rsidP="00D630C4">
      <w:pPr>
        <w:pStyle w:val="CM64"/>
        <w:ind w:right="1498"/>
        <w:rPr>
          <w:rFonts w:ascii="仿宋_GB2312" w:eastAsia="仿宋_GB2312" w:hAnsi="Times New Roman" w:cs="仿宋_GB2312"/>
          <w:sz w:val="28"/>
          <w:szCs w:val="28"/>
        </w:rPr>
      </w:pPr>
      <w:r>
        <w:rPr>
          <w:rFonts w:ascii="Times New Roman" w:eastAsia="仿宋_GB2312" w:hAnsi="Times New Roman"/>
          <w:b/>
          <w:bCs/>
          <w:sz w:val="28"/>
          <w:szCs w:val="28"/>
        </w:rPr>
        <w:t xml:space="preserve">2801 </w:t>
      </w:r>
      <w:r>
        <w:rPr>
          <w:rFonts w:ascii="仿宋_GB2312" w:eastAsia="仿宋_GB2312" w:hAnsi="Times New Roman" w:cs="仿宋_GB2312" w:hint="eastAsia"/>
          <w:sz w:val="28"/>
          <w:szCs w:val="28"/>
        </w:rPr>
        <w:t>预计负债</w:t>
      </w:r>
    </w:p>
    <w:p w14:paraId="6046093B" w14:textId="77777777" w:rsidR="00D630C4" w:rsidRDefault="00D630C4" w:rsidP="00D630C4">
      <w:pPr>
        <w:pStyle w:val="CM64"/>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一、本科目核算企业确认的对外提供担保、未决诉讼、产品质量保证、重组义务、亏损性合同等预计负债。</w:t>
      </w:r>
    </w:p>
    <w:p w14:paraId="79DD0195" w14:textId="77777777" w:rsidR="00D630C4" w:rsidRDefault="00D630C4" w:rsidP="00D630C4">
      <w:pPr>
        <w:pStyle w:val="CM64"/>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二、本科目可按形成预计负债的交易或事项进行明细核算。三、预计负债的主要账务处理。</w:t>
      </w:r>
    </w:p>
    <w:p w14:paraId="2E92B993" w14:textId="77777777" w:rsidR="00D630C4" w:rsidRDefault="00D630C4" w:rsidP="00D630C4">
      <w:pPr>
        <w:pStyle w:val="CM64"/>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（一）企业由对外提供担保、未决诉讼、重组义务产生的预计负债，应按确定的金额，借记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等科目，贷记本科目。由产品质量保证产生的预计负债，应按确定的金额，借记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4DE60D66"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由资产弃置义务产生的预计负债，应按确定的金额，借记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油气资产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科目，贷记本科目。在固定资产或油气资产的使用寿命内，按计算确定各期应负担的利息费用，借记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财务费用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D9CE976"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（二）实际清偿或冲减的预计负债，借记本科目，贷记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57B4FA74" w14:textId="77777777" w:rsidR="00D630C4" w:rsidRDefault="00D630C4" w:rsidP="00D630C4">
      <w:pPr>
        <w:pStyle w:val="CM8"/>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（三）根据确凿证据需要对已确认的预计负债进行调整的，调整增加的预计负债，借记有关科目，贷记本科目；调整减少的预计负债做相反的会计分录。</w:t>
      </w:r>
    </w:p>
    <w:p w14:paraId="54F922E2" w14:textId="77777777" w:rsidR="00D630C4" w:rsidRDefault="00D630C4" w:rsidP="00D630C4">
      <w:pPr>
        <w:pStyle w:val="CM73"/>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四、本科目期末贷方余额，反映企业已确认尚未支付的预计负债。</w:t>
      </w:r>
    </w:p>
    <w:p w14:paraId="74BC23C5" w14:textId="77777777" w:rsidR="00D630C4" w:rsidRDefault="00D630C4" w:rsidP="00D630C4">
      <w:pPr>
        <w:pStyle w:val="CM53"/>
        <w:ind w:right="130"/>
        <w:rPr>
          <w:rFonts w:ascii="仿宋_GB2312" w:eastAsia="仿宋_GB2312" w:hAnsi="Times New Roman" w:cs="仿宋_GB2312"/>
          <w:sz w:val="28"/>
          <w:szCs w:val="28"/>
        </w:rPr>
      </w:pPr>
      <w:r>
        <w:rPr>
          <w:rFonts w:ascii="Times New Roman" w:eastAsia="仿宋_GB2312" w:hAnsi="Times New Roman"/>
          <w:b/>
          <w:bCs/>
          <w:sz w:val="28"/>
          <w:szCs w:val="28"/>
        </w:rPr>
        <w:t xml:space="preserve">2901 </w:t>
      </w:r>
      <w:r>
        <w:rPr>
          <w:rFonts w:ascii="仿宋_GB2312" w:eastAsia="仿宋_GB2312" w:hAnsi="Times New Roman" w:cs="仿宋_GB2312" w:hint="eastAsia"/>
          <w:sz w:val="28"/>
          <w:szCs w:val="28"/>
        </w:rPr>
        <w:t>递延所得税负债</w:t>
      </w:r>
    </w:p>
    <w:p w14:paraId="70B53D71" w14:textId="77777777" w:rsidR="00D630C4" w:rsidRDefault="00D630C4" w:rsidP="00D630C4">
      <w:pPr>
        <w:pStyle w:val="CM53"/>
        <w:ind w:right="13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一、本科目核算企业确认的应纳税暂时性差异产生的所得税负</w:t>
      </w:r>
    </w:p>
    <w:p w14:paraId="74030212" w14:textId="77777777" w:rsidR="00D630C4" w:rsidRDefault="00D630C4" w:rsidP="00D630C4">
      <w:pPr>
        <w:pStyle w:val="CM9"/>
        <w:ind w:left="560" w:hanging="560"/>
        <w:rPr>
          <w:rFonts w:ascii="仿宋_GB2312" w:eastAsia="仿宋_GB2312" w:hAnsi="Times New Roman" w:cs="仿宋_GB2312"/>
          <w:sz w:val="28"/>
          <w:szCs w:val="28"/>
        </w:rPr>
      </w:pPr>
      <w:r>
        <w:rPr>
          <w:rFonts w:ascii="仿宋_GB2312" w:eastAsia="仿宋_GB2312" w:hAnsi="Times New Roman" w:cs="仿宋_GB2312" w:hint="eastAsia"/>
          <w:sz w:val="28"/>
          <w:szCs w:val="28"/>
        </w:rPr>
        <w:t>债。</w:t>
      </w:r>
    </w:p>
    <w:p w14:paraId="32736DA4" w14:textId="77777777" w:rsidR="00D630C4" w:rsidRDefault="00D630C4" w:rsidP="00D630C4">
      <w:pPr>
        <w:pStyle w:val="CM9"/>
        <w:ind w:leftChars="100" w:left="21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二、本科目可按应纳税暂时性差异的项目进行明细核算。</w:t>
      </w:r>
    </w:p>
    <w:p w14:paraId="11420539" w14:textId="77777777" w:rsidR="00D630C4" w:rsidRDefault="00D630C4" w:rsidP="00D630C4">
      <w:pPr>
        <w:pStyle w:val="CM9"/>
        <w:ind w:leftChars="100" w:left="21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三、递延所得税负债的主要账务处理。</w:t>
      </w:r>
    </w:p>
    <w:p w14:paraId="2CCF0A9D" w14:textId="77777777" w:rsidR="00D630C4" w:rsidRDefault="00D630C4" w:rsidP="00D630C4">
      <w:pPr>
        <w:pStyle w:val="CM9"/>
        <w:ind w:leftChars="100" w:left="21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（一）资产负债表日，企业确认的递延所得税负债，借记</w:t>
      </w:r>
      <w:r>
        <w:rPr>
          <w:rFonts w:ascii="Times New Roman" w:eastAsia="仿宋_GB2312" w:hAnsi="Times New Roman"/>
          <w:sz w:val="28"/>
          <w:szCs w:val="28"/>
        </w:rPr>
        <w:t>“</w:t>
      </w:r>
      <w:r>
        <w:rPr>
          <w:rFonts w:ascii="仿宋_GB2312" w:eastAsia="仿宋_GB2312" w:hAnsi="Times New Roman" w:cs="仿宋_GB2312" w:hint="eastAsia"/>
          <w:sz w:val="28"/>
          <w:szCs w:val="28"/>
        </w:rPr>
        <w:t>所得税费用</w:t>
      </w:r>
      <w:r>
        <w:rPr>
          <w:rFonts w:ascii="Times New Roman" w:eastAsia="仿宋_GB2312" w:hAnsi="Times New Roman"/>
          <w:sz w:val="28"/>
          <w:szCs w:val="28"/>
        </w:rPr>
        <w:t>——</w:t>
      </w:r>
      <w:r>
        <w:rPr>
          <w:rFonts w:ascii="仿宋_GB2312" w:eastAsia="仿宋_GB2312" w:hAnsi="Times New Roman" w:cs="仿宋_GB2312" w:hint="eastAsia"/>
          <w:sz w:val="28"/>
          <w:szCs w:val="28"/>
        </w:rPr>
        <w:t>递延所得税费用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科目，贷记本科目。资产负债表日递延所得税负债的应有余额大于其账面余额的，应按其差额确认，借记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所得税费用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递延所得税费用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科目，贷记本科目；资产负债表日递延所得税负债的应有余额小于其账面余额的做相反的会计分录。</w:t>
      </w:r>
    </w:p>
    <w:p w14:paraId="1DD6F7A3"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与直接计入所有者权益的交易或事项相关的递延所得税负债，借记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其他资本公积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w:t>
      </w:r>
    </w:p>
    <w:p w14:paraId="5AE6F072"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（二）企业合并中取得资产、负债的入账价值与其计税基础不同形成应纳税暂时性差异的，应于购买日确认递延所得税负债，同</w:t>
      </w:r>
      <w:r>
        <w:rPr>
          <w:rFonts w:ascii="仿宋_GB2312" w:eastAsia="仿宋_GB2312" w:hAnsi="Times New Roman" w:cs="仿宋_GB2312" w:hint="eastAsia"/>
          <w:sz w:val="28"/>
          <w:szCs w:val="28"/>
        </w:rPr>
        <w:lastRenderedPageBreak/>
        <w:t>时调整商誉，借记</w:t>
      </w:r>
      <w:r>
        <w:rPr>
          <w:rFonts w:ascii="Times New Roman" w:eastAsia="仿宋_GB2312" w:hAnsi="Times New Roman"/>
          <w:sz w:val="28"/>
          <w:szCs w:val="28"/>
        </w:rPr>
        <w:t>“</w:t>
      </w:r>
      <w:r>
        <w:rPr>
          <w:rFonts w:ascii="仿宋_GB2312" w:eastAsia="仿宋_GB2312" w:hAnsi="Times New Roman" w:cs="仿宋_GB2312" w:hint="eastAsia"/>
          <w:sz w:val="28"/>
          <w:szCs w:val="28"/>
        </w:rPr>
        <w:t>商誉</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68A32326" w14:textId="77777777" w:rsidR="00D630C4" w:rsidRDefault="00D630C4" w:rsidP="00D630C4">
      <w:pPr>
        <w:pStyle w:val="CM78"/>
        <w:spacing w:line="546" w:lineRule="atLeast"/>
        <w:ind w:left="625"/>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四、本科目期末贷方余额，反映企业已确认的递延所得税负债。</w:t>
      </w:r>
    </w:p>
    <w:p w14:paraId="55884B8F" w14:textId="77777777" w:rsidR="00D630C4" w:rsidRDefault="00D630C4" w:rsidP="00D630C4">
      <w:pPr>
        <w:pStyle w:val="CM73"/>
        <w:jc w:val="center"/>
        <w:rPr>
          <w:rFonts w:ascii="宋体" w:eastAsia="宋体" w:hAnsi="Times New Roman" w:cs="宋体"/>
          <w:sz w:val="30"/>
          <w:szCs w:val="30"/>
        </w:rPr>
      </w:pPr>
      <w:r>
        <w:rPr>
          <w:rFonts w:ascii="宋体" w:eastAsia="宋体" w:hAnsi="Times New Roman" w:cs="宋体" w:hint="eastAsia"/>
          <w:sz w:val="30"/>
          <w:szCs w:val="30"/>
        </w:rPr>
        <w:t>共同类</w:t>
      </w:r>
      <w:r>
        <w:rPr>
          <w:rFonts w:ascii="宋体" w:eastAsia="宋体" w:hAnsi="Times New Roman" w:cs="宋体"/>
          <w:sz w:val="30"/>
          <w:szCs w:val="30"/>
        </w:rPr>
        <w:t xml:space="preserve"> </w:t>
      </w:r>
    </w:p>
    <w:p w14:paraId="68C79639" w14:textId="77777777" w:rsidR="00D630C4" w:rsidRDefault="00D630C4" w:rsidP="00D630C4">
      <w:pPr>
        <w:pStyle w:val="CM65"/>
        <w:ind w:right="140"/>
        <w:rPr>
          <w:rFonts w:ascii="仿宋_GB2312" w:eastAsia="仿宋_GB2312" w:hAnsi="Times New Roman" w:cs="仿宋_GB2312"/>
          <w:sz w:val="28"/>
          <w:szCs w:val="28"/>
        </w:rPr>
      </w:pPr>
      <w:r>
        <w:rPr>
          <w:rFonts w:ascii="Times New Roman" w:eastAsia="宋体" w:hAnsi="Times New Roman"/>
          <w:b/>
          <w:bCs/>
          <w:sz w:val="28"/>
          <w:szCs w:val="28"/>
        </w:rPr>
        <w:t xml:space="preserve">3001 </w:t>
      </w:r>
      <w:r>
        <w:rPr>
          <w:rFonts w:ascii="仿宋_GB2312" w:eastAsia="仿宋_GB2312" w:hAnsi="Times New Roman" w:cs="仿宋_GB2312" w:hint="eastAsia"/>
          <w:sz w:val="28"/>
          <w:szCs w:val="28"/>
        </w:rPr>
        <w:t>清算资金往来</w:t>
      </w:r>
    </w:p>
    <w:p w14:paraId="4BDAEA6A" w14:textId="77777777" w:rsidR="00D630C4" w:rsidRDefault="00D630C4" w:rsidP="00D630C4">
      <w:pPr>
        <w:pStyle w:val="CM65"/>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一、本科目核算企业（银行）间业务往来的资金清算款项。</w:t>
      </w:r>
    </w:p>
    <w:p w14:paraId="285FB8F4" w14:textId="77777777" w:rsidR="00D630C4" w:rsidRDefault="00D630C4" w:rsidP="00D630C4">
      <w:pPr>
        <w:pStyle w:val="CM65"/>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二、本科目可按资金往来单位，分别</w:t>
      </w:r>
      <w:r>
        <w:rPr>
          <w:rFonts w:ascii="Times New Roman" w:eastAsia="仿宋_GB2312" w:hAnsi="Times New Roman"/>
          <w:sz w:val="28"/>
          <w:szCs w:val="28"/>
        </w:rPr>
        <w:t>“</w:t>
      </w:r>
      <w:r>
        <w:rPr>
          <w:rFonts w:ascii="仿宋_GB2312" w:eastAsia="仿宋_GB2312" w:hAnsi="Times New Roman" w:cs="仿宋_GB2312" w:hint="eastAsia"/>
          <w:sz w:val="28"/>
          <w:szCs w:val="28"/>
        </w:rPr>
        <w:t>同城票据清算</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信用卡清算</w:t>
      </w:r>
      <w:r>
        <w:rPr>
          <w:rFonts w:ascii="Times New Roman" w:eastAsia="仿宋_GB2312" w:hAnsi="Times New Roman"/>
          <w:sz w:val="28"/>
          <w:szCs w:val="28"/>
        </w:rPr>
        <w:t>”</w:t>
      </w:r>
      <w:r>
        <w:rPr>
          <w:rFonts w:ascii="仿宋_GB2312" w:eastAsia="仿宋_GB2312" w:hAnsi="Times New Roman" w:cs="仿宋_GB2312" w:hint="eastAsia"/>
          <w:sz w:val="28"/>
          <w:szCs w:val="28"/>
        </w:rPr>
        <w:t>等进行明细核算。</w:t>
      </w:r>
    </w:p>
    <w:p w14:paraId="7B473750" w14:textId="77777777" w:rsidR="00D630C4" w:rsidRDefault="00D630C4" w:rsidP="00D630C4">
      <w:pPr>
        <w:pStyle w:val="CM65"/>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三、同城票据清算业务的主要账务处理。</w:t>
      </w:r>
    </w:p>
    <w:p w14:paraId="7621ED9F" w14:textId="77777777" w:rsidR="00D630C4" w:rsidRDefault="00D630C4" w:rsidP="00D630C4">
      <w:pPr>
        <w:pStyle w:val="CM65"/>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（一）提出借方凭证，借记本科目，贷记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科目。发生退票，借记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科目，贷记本科目。已过退票时间未发生退票，借记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等科目。提出贷方凭证，借记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等科目，贷记本科目；发生退票做相反的会计分录。</w:t>
      </w:r>
    </w:p>
    <w:p w14:paraId="0EA5ECD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（二）提入借方凭证，提入凭证正确无误的，借记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等科目，贷记本科目。因误提他行凭证等原因不能入账的，借记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科目，贷记本科目。再提出时，借记本科目，贷记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E7AD1BD"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提入贷方凭证，提入凭证正确无误的，借记本科目，贷记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等科目。因误提他行票据等原因不能入账的，借记本科目，贷记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科目。退票或再提出时，借记</w:t>
      </w:r>
      <w:r>
        <w:rPr>
          <w:rFonts w:ascii="Times New Roman" w:eastAsia="仿宋_GB2312" w:hAnsi="Times New Roman"/>
          <w:sz w:val="28"/>
          <w:szCs w:val="28"/>
        </w:rPr>
        <w:t>“</w:t>
      </w:r>
      <w:r>
        <w:rPr>
          <w:rFonts w:ascii="仿宋_GB2312" w:eastAsia="仿宋_GB2312" w:hAnsi="Times New Roman" w:cs="仿宋_GB2312" w:hint="eastAsia"/>
          <w:sz w:val="28"/>
          <w:szCs w:val="28"/>
        </w:rPr>
        <w:t>其他应付款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w:t>
      </w:r>
      <w:r>
        <w:rPr>
          <w:rFonts w:ascii="仿宋_GB2312" w:eastAsia="仿宋_GB2312" w:hAnsi="Times New Roman" w:cs="仿宋_GB2312" w:hint="eastAsia"/>
          <w:sz w:val="28"/>
          <w:szCs w:val="28"/>
        </w:rPr>
        <w:lastRenderedPageBreak/>
        <w:t>记本科目。</w:t>
      </w:r>
    </w:p>
    <w:p w14:paraId="18CD01E6"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（三）将提出凭证和提入凭证计算轧差后为应收差额的，借记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等科目，贷记本科目；如为应付差额做相反的会计分录。</w:t>
      </w:r>
    </w:p>
    <w:p w14:paraId="0BCE9DEA" w14:textId="77777777" w:rsidR="00D630C4" w:rsidRDefault="00D630C4" w:rsidP="00D630C4">
      <w:pPr>
        <w:pStyle w:val="CM73"/>
        <w:spacing w:line="546" w:lineRule="atLeast"/>
        <w:ind w:right="40" w:firstLine="563"/>
        <w:rPr>
          <w:rFonts w:ascii="仿宋_GB2312" w:eastAsia="仿宋_GB2312" w:hAnsi="Times New Roman" w:cs="仿宋_GB2312"/>
          <w:sz w:val="28"/>
          <w:szCs w:val="28"/>
        </w:rPr>
      </w:pPr>
      <w:r>
        <w:rPr>
          <w:rFonts w:ascii="仿宋_GB2312" w:eastAsia="仿宋_GB2312" w:hAnsi="Times New Roman" w:cs="仿宋_GB2312" w:hint="eastAsia"/>
          <w:sz w:val="28"/>
          <w:szCs w:val="28"/>
        </w:rPr>
        <w:t>四、发生的其他清算业务，收到的清算资金，借记</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等科目，贷记本科目；划付清算资金时做相反的会计分录。五、本科目期末借方余额，反映企业应收的清算资金；本科目期末贷方余额，反映企业应付的清算资金。</w:t>
      </w:r>
    </w:p>
    <w:p w14:paraId="108CC6D1" w14:textId="77777777" w:rsidR="00D630C4" w:rsidRDefault="00D630C4" w:rsidP="00D630C4">
      <w:pPr>
        <w:pStyle w:val="CM3"/>
        <w:rPr>
          <w:rFonts w:ascii="仿宋_GB2312" w:eastAsia="仿宋_GB2312" w:hAnsi="Times New Roman" w:cs="仿宋_GB2312"/>
          <w:sz w:val="28"/>
          <w:szCs w:val="28"/>
        </w:rPr>
      </w:pPr>
      <w:r>
        <w:rPr>
          <w:rFonts w:ascii="Times New Roman" w:eastAsia="仿宋_GB2312" w:hAnsi="Times New Roman"/>
          <w:b/>
          <w:bCs/>
          <w:sz w:val="28"/>
          <w:szCs w:val="28"/>
        </w:rPr>
        <w:t xml:space="preserve">3002 </w:t>
      </w:r>
      <w:r>
        <w:rPr>
          <w:rFonts w:ascii="仿宋_GB2312" w:eastAsia="仿宋_GB2312" w:hAnsi="Times New Roman" w:cs="仿宋_GB2312" w:hint="eastAsia"/>
          <w:sz w:val="28"/>
          <w:szCs w:val="28"/>
        </w:rPr>
        <w:t>货币兑换</w:t>
      </w:r>
    </w:p>
    <w:p w14:paraId="03B40B3C"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一、本科目核算企业（金融）采用分账制核算外币交易所产生的不同币种之间的兑换。</w:t>
      </w:r>
    </w:p>
    <w:p w14:paraId="2D1F9EF7"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二、本科目按币种进行明细核算。</w:t>
      </w:r>
    </w:p>
    <w:p w14:paraId="31223CFA"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三、货币兑换的主要账务处理。</w:t>
      </w:r>
    </w:p>
    <w:p w14:paraId="098A1518" w14:textId="77777777" w:rsidR="00D630C4" w:rsidRDefault="00D630C4" w:rsidP="00D630C4">
      <w:pPr>
        <w:pStyle w:val="CM21"/>
        <w:ind w:right="31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（一）企业发生的外币交易仅涉及货币性项目的，应按相同币种金额，借记或贷记有关货币性项目科目，贷记或借记本科目。</w:t>
      </w:r>
    </w:p>
    <w:p w14:paraId="1157FE22" w14:textId="77777777" w:rsidR="00D630C4" w:rsidRDefault="00D630C4" w:rsidP="00D630C4">
      <w:pPr>
        <w:pStyle w:val="CM21"/>
        <w:ind w:right="31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（二）发生的外币交易同时涉及货币性项目和非货币性项目的，按相同外币金额记入货币性项目和本科目（外币）；同时，按交易发</w:t>
      </w:r>
    </w:p>
    <w:p w14:paraId="77BD0B9B" w14:textId="77777777" w:rsidR="00D630C4" w:rsidRDefault="00D630C4" w:rsidP="00D630C4">
      <w:pPr>
        <w:pStyle w:val="CM4"/>
        <w:rPr>
          <w:rFonts w:ascii="仿宋_GB2312" w:eastAsia="仿宋_GB2312" w:hAnsi="Times New Roman" w:cs="仿宋_GB2312"/>
          <w:sz w:val="28"/>
          <w:szCs w:val="28"/>
        </w:rPr>
      </w:pPr>
      <w:r>
        <w:rPr>
          <w:rFonts w:ascii="仿宋_GB2312" w:eastAsia="仿宋_GB2312" w:hAnsi="Times New Roman" w:cs="仿宋_GB2312" w:hint="eastAsia"/>
          <w:sz w:val="28"/>
          <w:szCs w:val="28"/>
        </w:rPr>
        <w:t>生日即期汇率折算为记账本位币的金额记入非货币性项目和本科目（记账本位币）。结算货币性项目产生的汇兑差额计入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汇兑损益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A732E6C"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（三）期末，应将所有以外币表示的本科目余额按期末汇率折算为记账本位币金额，折算后的记账本位币金额与本科目（记账本位币）余额进行比较，为贷方差额的，借记本科目（记账本位币），贷记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汇兑损益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科目；为借方差额的做相反的会计分录。</w:t>
      </w:r>
    </w:p>
    <w:p w14:paraId="1FC8BB7B"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四、本科目期末应无余额。</w:t>
      </w:r>
    </w:p>
    <w:p w14:paraId="72CD13C7" w14:textId="77777777" w:rsidR="00D630C4" w:rsidRDefault="00D630C4" w:rsidP="00D630C4">
      <w:pPr>
        <w:pStyle w:val="CM3"/>
        <w:rPr>
          <w:rFonts w:ascii="仿宋_GB2312" w:eastAsia="仿宋_GB2312" w:hAnsi="Times New Roman" w:cs="仿宋_GB2312"/>
          <w:b/>
          <w:sz w:val="28"/>
          <w:szCs w:val="28"/>
        </w:rPr>
      </w:pPr>
    </w:p>
    <w:p w14:paraId="407CBF0A" w14:textId="77777777" w:rsidR="00D630C4" w:rsidRDefault="00D630C4" w:rsidP="00D630C4">
      <w:pPr>
        <w:pStyle w:val="CM3"/>
        <w:rPr>
          <w:rFonts w:ascii="仿宋_GB2312" w:eastAsia="仿宋_GB2312" w:hAnsi="Times New Roman" w:cs="仿宋_GB2312"/>
          <w:sz w:val="28"/>
          <w:szCs w:val="28"/>
        </w:rPr>
      </w:pPr>
      <w:r>
        <w:rPr>
          <w:rFonts w:ascii="仿宋_GB2312" w:eastAsia="仿宋_GB2312" w:hAnsi="Times New Roman" w:cs="仿宋_GB2312"/>
          <w:b/>
          <w:sz w:val="28"/>
          <w:szCs w:val="28"/>
        </w:rPr>
        <w:t xml:space="preserve">3101 </w:t>
      </w:r>
      <w:r>
        <w:rPr>
          <w:rFonts w:ascii="仿宋_GB2312" w:eastAsia="仿宋_GB2312" w:hAnsi="Times New Roman" w:cs="仿宋_GB2312" w:hint="eastAsia"/>
          <w:sz w:val="28"/>
          <w:szCs w:val="28"/>
        </w:rPr>
        <w:t>衍生工具</w:t>
      </w:r>
    </w:p>
    <w:p w14:paraId="0CB9C551"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一、本科目核算企业衍生工具的公允价值及其变动形成的衍生资产或衍生负债。衍生工具作为套期工具的，在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套期工具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科目核算。</w:t>
      </w:r>
    </w:p>
    <w:p w14:paraId="4DD3705E"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二、本科目可按衍生工具类别进行明细核算。</w:t>
      </w:r>
    </w:p>
    <w:p w14:paraId="438AABFA"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三、衍生工具的主要账务处理。</w:t>
      </w:r>
    </w:p>
    <w:p w14:paraId="39F469E4"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（一）企业取得衍生工具，按其公允价值，借记本科目，按发生的交易费用，借记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科目，按实际支付的金额，贷记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存放中央银行款项</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w:t>
      </w:r>
    </w:p>
    <w:p w14:paraId="708F2206"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（二）资产负债表日，衍生工具的公允价值高于其账面余额的差额，借记本科目，贷记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科目；公允价值低于其账面余额的差额做相反的会计分录。</w:t>
      </w:r>
    </w:p>
    <w:p w14:paraId="3E1923FC" w14:textId="77777777" w:rsidR="00D630C4" w:rsidRDefault="00D630C4" w:rsidP="00D630C4">
      <w:pPr>
        <w:pStyle w:val="CM55"/>
        <w:ind w:right="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（三）终止确认的衍生工具，应当比照</w:t>
      </w:r>
      <w:r>
        <w:rPr>
          <w:rFonts w:ascii="Times New Roman" w:eastAsia="仿宋_GB2312" w:hAnsi="Times New Roman"/>
          <w:sz w:val="28"/>
          <w:szCs w:val="28"/>
        </w:rPr>
        <w:t>“</w:t>
      </w:r>
      <w:r>
        <w:rPr>
          <w:rFonts w:ascii="仿宋_GB2312" w:eastAsia="仿宋_GB2312" w:hAnsi="Times New Roman" w:cs="仿宋_GB2312" w:hint="eastAsia"/>
          <w:sz w:val="28"/>
          <w:szCs w:val="28"/>
        </w:rPr>
        <w:t>交易性金融资产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交易性金融负债</w:t>
      </w:r>
      <w:r>
        <w:rPr>
          <w:rFonts w:ascii="Times New Roman" w:eastAsia="仿宋_GB2312" w:hAnsi="Times New Roman"/>
          <w:sz w:val="28"/>
          <w:szCs w:val="28"/>
        </w:rPr>
        <w:t>”</w:t>
      </w:r>
      <w:r>
        <w:rPr>
          <w:rFonts w:ascii="仿宋_GB2312" w:eastAsia="仿宋_GB2312" w:hAnsi="Times New Roman" w:cs="仿宋_GB2312" w:hint="eastAsia"/>
          <w:sz w:val="28"/>
          <w:szCs w:val="28"/>
        </w:rPr>
        <w:t>等科目的相关规定进行处理。四、本科目期末借方余额，反映企业衍生工具形成资产的公允价值；本科目期末贷方余额，反映企业衍生工具形成负债的公允价值。</w:t>
      </w:r>
    </w:p>
    <w:p w14:paraId="65865249" w14:textId="77777777" w:rsidR="00D630C4" w:rsidRDefault="00D630C4" w:rsidP="00D630C4">
      <w:pPr>
        <w:pStyle w:val="CM22"/>
        <w:rPr>
          <w:rFonts w:ascii="Times New Roman" w:eastAsia="仿宋_GB2312" w:hAnsi="Times New Roman"/>
          <w:b/>
          <w:bCs/>
          <w:sz w:val="28"/>
          <w:szCs w:val="28"/>
        </w:rPr>
      </w:pPr>
    </w:p>
    <w:p w14:paraId="6D0FAF41"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lastRenderedPageBreak/>
        <w:t xml:space="preserve">3201 </w:t>
      </w:r>
      <w:r>
        <w:rPr>
          <w:rFonts w:ascii="仿宋_GB2312" w:eastAsia="仿宋_GB2312" w:hAnsi="Times New Roman" w:cs="仿宋_GB2312" w:hint="eastAsia"/>
          <w:sz w:val="28"/>
          <w:szCs w:val="28"/>
        </w:rPr>
        <w:t>套期工具</w:t>
      </w:r>
    </w:p>
    <w:p w14:paraId="0DC350A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一、本科目核算企业开展套期保值业务（包括公允价值套期、现金流量套期和境外经营净投资套期）套期工具公允价值变动形成的资产或负债。</w:t>
      </w:r>
    </w:p>
    <w:p w14:paraId="18FA73EF" w14:textId="77777777" w:rsidR="00D630C4" w:rsidRDefault="00D630C4" w:rsidP="00D630C4">
      <w:pPr>
        <w:pStyle w:val="CM66"/>
        <w:ind w:left="625"/>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二、本科目可按套期工具类别进行明细核算。</w:t>
      </w:r>
      <w:r>
        <w:rPr>
          <w:rFonts w:ascii="仿宋_GB2312" w:eastAsia="仿宋_GB2312" w:hAnsi="Times New Roman" w:cs="仿宋_GB2312"/>
          <w:sz w:val="28"/>
          <w:szCs w:val="28"/>
        </w:rPr>
        <w:br/>
      </w:r>
      <w:r>
        <w:rPr>
          <w:rFonts w:ascii="仿宋_GB2312" w:eastAsia="仿宋_GB2312" w:hAnsi="Times New Roman" w:cs="仿宋_GB2312" w:hint="eastAsia"/>
          <w:sz w:val="28"/>
          <w:szCs w:val="28"/>
        </w:rPr>
        <w:t>三、套期工具的主要账务处理。</w:t>
      </w:r>
    </w:p>
    <w:p w14:paraId="5B3E5A0F" w14:textId="77777777" w:rsidR="00D630C4" w:rsidRDefault="00D630C4" w:rsidP="00D630C4">
      <w:pPr>
        <w:pStyle w:val="CM66"/>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（一）企业将已确认的衍生工具等金融资产或金融负债指定为套期工具的，应按其账面价值，借记或贷记本科目，贷记或借记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衍生工具</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211E12C"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（二）资产负债表日，对于有效套期，应按套期工具产生的利得，借记本科目，贷记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等科目；套期工具产生损失做相反的会计分录。</w:t>
      </w:r>
    </w:p>
    <w:p w14:paraId="02F801CC" w14:textId="77777777" w:rsidR="00D630C4" w:rsidRDefault="00D630C4" w:rsidP="00D630C4">
      <w:pPr>
        <w:pStyle w:val="CM73"/>
        <w:spacing w:line="546" w:lineRule="atLeast"/>
        <w:ind w:firstLine="563"/>
        <w:rPr>
          <w:rFonts w:ascii="仿宋_GB2312" w:eastAsia="仿宋_GB2312" w:hAnsi="Times New Roman" w:cs="仿宋_GB2312"/>
          <w:sz w:val="28"/>
          <w:szCs w:val="28"/>
        </w:rPr>
      </w:pPr>
      <w:r>
        <w:rPr>
          <w:rFonts w:ascii="仿宋_GB2312" w:eastAsia="仿宋_GB2312" w:hAnsi="Times New Roman" w:cs="仿宋_GB2312" w:hint="eastAsia"/>
          <w:sz w:val="28"/>
          <w:szCs w:val="28"/>
        </w:rPr>
        <w:t>（三）金融资产或金融负债不再作为套期工具核算的，应按套期工具形成的资产或负债，借记或贷记有关科目，贷记或借记本科目。四、本科目期末借方余额，反映企业套期工具形成资产的公允价值；本科目期末贷方余额，反映企业套期工具形成负债的公允价值。</w:t>
      </w:r>
    </w:p>
    <w:p w14:paraId="7F69940C" w14:textId="77777777" w:rsidR="00D630C4" w:rsidRDefault="00D630C4" w:rsidP="00D630C4">
      <w:pPr>
        <w:pStyle w:val="Default"/>
        <w:spacing w:line="546" w:lineRule="atLeast"/>
        <w:ind w:right="1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3202 </w:t>
      </w:r>
      <w:r>
        <w:rPr>
          <w:rFonts w:ascii="仿宋_GB2312" w:eastAsia="仿宋_GB2312" w:hAnsi="Times New Roman" w:cs="仿宋_GB2312" w:hint="eastAsia"/>
          <w:color w:val="auto"/>
          <w:sz w:val="28"/>
          <w:szCs w:val="28"/>
        </w:rPr>
        <w:t>被套期项目</w:t>
      </w:r>
    </w:p>
    <w:p w14:paraId="10619641"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一、本科目核算企业开展套期保值业务被套期项目公允价值变动</w:t>
      </w:r>
    </w:p>
    <w:p w14:paraId="0ACDFE3A" w14:textId="77777777" w:rsidR="00D630C4" w:rsidRDefault="00D630C4" w:rsidP="00D630C4">
      <w:pPr>
        <w:pStyle w:val="CM19"/>
        <w:ind w:left="555" w:right="140" w:hanging="555"/>
        <w:rPr>
          <w:rFonts w:ascii="仿宋_GB2312" w:eastAsia="仿宋_GB2312" w:hAnsi="Times New Roman" w:cs="仿宋_GB2312"/>
          <w:sz w:val="28"/>
          <w:szCs w:val="28"/>
        </w:rPr>
      </w:pPr>
      <w:r>
        <w:rPr>
          <w:rFonts w:ascii="仿宋_GB2312" w:eastAsia="仿宋_GB2312" w:hAnsi="Times New Roman" w:cs="仿宋_GB2312" w:hint="eastAsia"/>
          <w:sz w:val="28"/>
          <w:szCs w:val="28"/>
        </w:rPr>
        <w:t>形成的资产或负债。</w:t>
      </w:r>
    </w:p>
    <w:p w14:paraId="1B9EBCE8" w14:textId="77777777" w:rsidR="00D630C4" w:rsidRDefault="00D630C4" w:rsidP="00D630C4">
      <w:pPr>
        <w:pStyle w:val="CM19"/>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二、本科目可按被套期项目类别进行明细核算。</w:t>
      </w:r>
    </w:p>
    <w:p w14:paraId="33C1CED9" w14:textId="77777777" w:rsidR="00D630C4" w:rsidRDefault="00D630C4" w:rsidP="00D630C4">
      <w:pPr>
        <w:pStyle w:val="CM19"/>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三、被套期项目的主要账务处理。</w:t>
      </w:r>
    </w:p>
    <w:p w14:paraId="2D292802" w14:textId="77777777" w:rsidR="00D630C4" w:rsidRDefault="00D630C4" w:rsidP="00D630C4">
      <w:pPr>
        <w:pStyle w:val="CM19"/>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（一）企业将已确认的资产或负债指定为被套期项目，应按其账面价值，借记或贷记本科目，贷记或借记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长期借款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w:t>
      </w:r>
      <w:r>
        <w:rPr>
          <w:rFonts w:ascii="Times New Roman" w:eastAsia="仿宋_GB2312" w:hAnsi="Times New Roman"/>
          <w:sz w:val="28"/>
          <w:szCs w:val="28"/>
        </w:rPr>
        <w:t>”</w:t>
      </w:r>
      <w:r>
        <w:rPr>
          <w:rFonts w:ascii="仿宋_GB2312" w:eastAsia="仿宋_GB2312" w:hAnsi="Times New Roman" w:cs="仿宋_GB2312" w:hint="eastAsia"/>
          <w:sz w:val="28"/>
          <w:szCs w:val="28"/>
        </w:rPr>
        <w:t>等科目。已计提跌价准备或减值准备的，还应同时结转跌价准备或减值准备。</w:t>
      </w:r>
    </w:p>
    <w:p w14:paraId="1EF0B20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（二）资产负债表日，对于有效套期，应按被套期项目产生的利得，借记本科目，贷记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等科目；被套期项目产生损失做相反的会计分录。</w:t>
      </w:r>
    </w:p>
    <w:p w14:paraId="12E9FC6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（三）资产或负债不再作为被套期项目核算的，应按被套期项目形成的资产或负债，借记或贷记有关科目，贷记或借记本科目。</w:t>
      </w:r>
    </w:p>
    <w:p w14:paraId="3584B0B1" w14:textId="77777777" w:rsidR="00D630C4" w:rsidRDefault="00D630C4" w:rsidP="00D630C4">
      <w:pPr>
        <w:pStyle w:val="CM78"/>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四、本科目期末借方余额，反映企业被套期项目形成资产的公允价值；本科目期末贷方余额，反映企业被套期项目形成负债的公允价值。</w:t>
      </w:r>
    </w:p>
    <w:p w14:paraId="3E7B55C3" w14:textId="77777777" w:rsidR="00D630C4" w:rsidRDefault="00D630C4" w:rsidP="00D630C4">
      <w:pPr>
        <w:pStyle w:val="CM73"/>
        <w:jc w:val="center"/>
        <w:rPr>
          <w:rFonts w:ascii="宋体" w:eastAsia="宋体" w:hAnsi="Times New Roman" w:cs="宋体"/>
          <w:sz w:val="30"/>
          <w:szCs w:val="30"/>
        </w:rPr>
      </w:pPr>
      <w:r>
        <w:rPr>
          <w:rFonts w:ascii="宋体" w:eastAsia="宋体" w:hAnsi="Times New Roman" w:cs="宋体" w:hint="eastAsia"/>
          <w:sz w:val="30"/>
          <w:szCs w:val="30"/>
        </w:rPr>
        <w:t>所有者权益类</w:t>
      </w:r>
      <w:r>
        <w:rPr>
          <w:rFonts w:ascii="宋体" w:eastAsia="宋体" w:hAnsi="Times New Roman" w:cs="宋体"/>
          <w:sz w:val="30"/>
          <w:szCs w:val="30"/>
        </w:rPr>
        <w:t xml:space="preserve"> </w:t>
      </w:r>
    </w:p>
    <w:p w14:paraId="1C95DD0E" w14:textId="77777777" w:rsidR="00D630C4" w:rsidRDefault="00D630C4" w:rsidP="00D630C4">
      <w:pPr>
        <w:pStyle w:val="CM3"/>
        <w:rPr>
          <w:rFonts w:ascii="仿宋_GB2312" w:eastAsia="仿宋_GB2312" w:hAnsi="Times New Roman" w:cs="仿宋_GB2312"/>
          <w:sz w:val="28"/>
          <w:szCs w:val="28"/>
        </w:rPr>
      </w:pPr>
      <w:r>
        <w:rPr>
          <w:rFonts w:ascii="Times New Roman" w:eastAsia="宋体" w:hAnsi="Times New Roman"/>
          <w:b/>
          <w:bCs/>
          <w:sz w:val="28"/>
          <w:szCs w:val="28"/>
        </w:rPr>
        <w:t xml:space="preserve">4001 </w:t>
      </w:r>
      <w:r>
        <w:rPr>
          <w:rFonts w:ascii="仿宋_GB2312" w:eastAsia="仿宋_GB2312" w:hAnsi="Times New Roman" w:cs="仿宋_GB2312" w:hint="eastAsia"/>
          <w:sz w:val="28"/>
          <w:szCs w:val="28"/>
        </w:rPr>
        <w:t>实收资本</w:t>
      </w:r>
    </w:p>
    <w:p w14:paraId="3C4E12F1"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一、本科目核算企业接受投资者投入的实收资本。股份有限公司应将本科目改为</w:t>
      </w:r>
      <w:r>
        <w:rPr>
          <w:rFonts w:ascii="Times New Roman" w:eastAsia="仿宋_GB2312" w:hAnsi="Times New Roman"/>
          <w:sz w:val="28"/>
          <w:szCs w:val="28"/>
        </w:rPr>
        <w:t xml:space="preserve">“4001 </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科目。企业收到投资者出资超过其在注册资本或股本中所占份额的部分，作为资本溢价或股本溢价，在</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1A396B83"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二、本科目可按投资者进行明细核算。企业（中外合作经营）在</w:t>
      </w:r>
      <w:r>
        <w:rPr>
          <w:rFonts w:ascii="仿宋_GB2312" w:eastAsia="仿宋_GB2312" w:hAnsi="Times New Roman" w:cs="仿宋_GB2312" w:hint="eastAsia"/>
          <w:sz w:val="28"/>
          <w:szCs w:val="28"/>
        </w:rPr>
        <w:lastRenderedPageBreak/>
        <w:t>合作期间归还投资者的投资，应在本科目设置</w:t>
      </w:r>
      <w:r>
        <w:rPr>
          <w:rFonts w:ascii="Times New Roman" w:eastAsia="仿宋_GB2312" w:hAnsi="Times New Roman"/>
          <w:sz w:val="28"/>
          <w:szCs w:val="28"/>
        </w:rPr>
        <w:t>“</w:t>
      </w:r>
      <w:r>
        <w:rPr>
          <w:rFonts w:ascii="仿宋_GB2312" w:eastAsia="仿宋_GB2312" w:hAnsi="Times New Roman" w:cs="仿宋_GB2312" w:hint="eastAsia"/>
          <w:sz w:val="28"/>
          <w:szCs w:val="28"/>
        </w:rPr>
        <w:t>已归还投资</w:t>
      </w:r>
      <w:r>
        <w:rPr>
          <w:rFonts w:ascii="Times New Roman" w:eastAsia="仿宋_GB2312" w:hAnsi="Times New Roman"/>
          <w:sz w:val="28"/>
          <w:szCs w:val="28"/>
        </w:rPr>
        <w:t>”</w:t>
      </w:r>
      <w:r>
        <w:rPr>
          <w:rFonts w:ascii="仿宋_GB2312" w:eastAsia="仿宋_GB2312" w:hAnsi="Times New Roman" w:cs="仿宋_GB2312" w:hint="eastAsia"/>
          <w:sz w:val="28"/>
          <w:szCs w:val="28"/>
        </w:rPr>
        <w:t>明细科目进行核算。</w:t>
      </w:r>
    </w:p>
    <w:p w14:paraId="27DE50C4"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三、实收资本的主要账务处理。</w:t>
      </w:r>
    </w:p>
    <w:p w14:paraId="16CD3052"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（一）企业接受投资者投入的资本，借记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无形资产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长期股权投资</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等科目，按其在注册资本或股本中所占份额，贷记本科目，按其差额，贷记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资本溢价或股本溢价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8C3675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（二）股东大会批准的利润分配方案中分配的股票股利，应在办理增资手续后，借记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5B608597"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经股东大会或类似机构决议，用资本公积转增资本，借记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资本溢价或股本溢价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科目，贷记本科目。</w:t>
      </w:r>
    </w:p>
    <w:p w14:paraId="20F1DDE7"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（三）可转换公司债券持有人行使转换权利，将其持有的债券转换为股票，按可转换公司债券的余额，借记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应付债券</w:t>
      </w:r>
      <w:r>
        <w:rPr>
          <w:rFonts w:ascii="Times New Roman" w:eastAsia="仿宋_GB2312" w:hAnsi="Times New Roman"/>
          <w:sz w:val="28"/>
          <w:szCs w:val="28"/>
        </w:rPr>
        <w:t>——</w:t>
      </w:r>
      <w:r>
        <w:rPr>
          <w:rFonts w:ascii="仿宋_GB2312" w:eastAsia="仿宋_GB2312" w:hAnsi="Times New Roman" w:cs="仿宋_GB2312" w:hint="eastAsia"/>
          <w:sz w:val="28"/>
          <w:szCs w:val="28"/>
        </w:rPr>
        <w:t>可转换公司债券（面值、利息调整）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科目，按其权益成份的金额，借记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科目，按股票面值和转换的股数计算的股票面值总额，贷记本科目，按其差额，贷记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股本溢价</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科目。如有现金支付不可转换股票，还应贷记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9DABDE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企业将重组债务转为资本的，应按重组债务的账面余额，借记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等科目，按债权人因放弃债权而享有本企业股份的面值总额，贷记本科目，按股份的公允价值总额与相应的实收资本或股本之间的差额，贷记或借记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资本溢价或股本溢价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营业外收入</w:t>
      </w:r>
      <w:r>
        <w:rPr>
          <w:rFonts w:ascii="Times New Roman" w:eastAsia="仿宋_GB2312" w:hAnsi="Times New Roman"/>
          <w:sz w:val="28"/>
          <w:szCs w:val="28"/>
        </w:rPr>
        <w:t>——</w:t>
      </w:r>
      <w:r>
        <w:rPr>
          <w:rFonts w:ascii="仿宋_GB2312" w:eastAsia="仿宋_GB2312" w:hAnsi="Times New Roman" w:cs="仿宋_GB2312" w:hint="eastAsia"/>
          <w:sz w:val="28"/>
          <w:szCs w:val="28"/>
        </w:rPr>
        <w:t>债务重组利得</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7B4691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（四）以权益结算的股份支付换取职工或其他方提供服务的，应在行权日，按根据实际行权情况确定的金额，借记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科目，按应计入实收资本或股本的金额，贷记本科目。</w:t>
      </w:r>
    </w:p>
    <w:p w14:paraId="3F2F6759"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四、企业按法定程序报经批准减少注册资本的，借记本科目，贷记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189CA7B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股份有限公司采用收购本公司股票方式减资的，按股票面值和注销股数计算的股票面值总额，借记本科目，按所注销库存股的账面余额，贷记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库存股</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股本溢价</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科目，股本溢价不足冲减的，应借记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科目；购回股票支付的价款低于面值总额的，应按股票面值总额，借记本科目，按所注销库存股的账面余额，贷记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库存股</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CD9C30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五、企业（中外合作经营）根据合同规定在合作期间归还投资者的投资，借记本科目（已归还投资），贷记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等科目；同时，借记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利润归还投资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利润归还投资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91CF229"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中外合作经营清算，借记本科目、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等科目，贷记本科目（已归还投资）、</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4682F552"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六、本科目期末贷方余额，反映企业实收资本或股本总额。</w:t>
      </w:r>
    </w:p>
    <w:p w14:paraId="290A303E" w14:textId="77777777" w:rsidR="00D630C4" w:rsidRDefault="00D630C4" w:rsidP="00D630C4">
      <w:pPr>
        <w:pStyle w:val="CM52"/>
        <w:ind w:right="140"/>
        <w:rPr>
          <w:rFonts w:ascii="仿宋_GB2312" w:eastAsia="仿宋_GB2312" w:hAnsi="Times New Roman" w:cs="仿宋_GB2312"/>
          <w:sz w:val="28"/>
          <w:szCs w:val="28"/>
        </w:rPr>
      </w:pPr>
      <w:r>
        <w:rPr>
          <w:rFonts w:ascii="Times New Roman" w:eastAsia="仿宋_GB2312" w:hAnsi="Times New Roman"/>
          <w:b/>
          <w:bCs/>
          <w:sz w:val="28"/>
          <w:szCs w:val="28"/>
        </w:rPr>
        <w:t xml:space="preserve">4002 </w:t>
      </w:r>
      <w:r>
        <w:rPr>
          <w:rFonts w:ascii="仿宋_GB2312" w:eastAsia="仿宋_GB2312" w:hAnsi="Times New Roman" w:cs="仿宋_GB2312" w:hint="eastAsia"/>
          <w:sz w:val="28"/>
          <w:szCs w:val="28"/>
        </w:rPr>
        <w:t>资本公积</w:t>
      </w:r>
    </w:p>
    <w:p w14:paraId="06E9921E"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一、本科目核算企业收到投资者出资额超出其在注册资本或股本中所占份额的部分。直接计入所有者权益的利得和损失，也通过本科目核算。</w:t>
      </w:r>
    </w:p>
    <w:p w14:paraId="49974956" w14:textId="77777777" w:rsidR="00D630C4" w:rsidRDefault="00D630C4" w:rsidP="00D630C4">
      <w:pPr>
        <w:pStyle w:val="CM52"/>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二、本科目应当分别</w:t>
      </w:r>
      <w:r>
        <w:rPr>
          <w:rFonts w:ascii="Times New Roman" w:eastAsia="仿宋_GB2312" w:hAnsi="Times New Roman"/>
          <w:sz w:val="28"/>
          <w:szCs w:val="28"/>
        </w:rPr>
        <w:t>“</w:t>
      </w:r>
      <w:r>
        <w:rPr>
          <w:rFonts w:ascii="仿宋_GB2312" w:eastAsia="仿宋_GB2312" w:hAnsi="Times New Roman" w:cs="仿宋_GB2312" w:hint="eastAsia"/>
          <w:sz w:val="28"/>
          <w:szCs w:val="28"/>
        </w:rPr>
        <w:t>资本溢价（股本溢价）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 xml:space="preserve">” </w:t>
      </w:r>
    </w:p>
    <w:p w14:paraId="4BE54A2C" w14:textId="77777777" w:rsidR="00D630C4" w:rsidRDefault="00D630C4" w:rsidP="00D630C4">
      <w:pPr>
        <w:pStyle w:val="Default"/>
        <w:spacing w:line="546" w:lineRule="atLeast"/>
        <w:ind w:left="563" w:right="40" w:hanging="562"/>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进行明细核算。</w:t>
      </w:r>
    </w:p>
    <w:p w14:paraId="365B6356" w14:textId="77777777" w:rsidR="00D630C4" w:rsidRDefault="00D630C4" w:rsidP="00D630C4">
      <w:pPr>
        <w:pStyle w:val="Default"/>
        <w:spacing w:line="546" w:lineRule="atLeast"/>
        <w:ind w:leftChars="100" w:left="210" w:right="40" w:firstLineChars="100" w:firstLine="2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三、资本公积的主要账务处理。</w:t>
      </w:r>
    </w:p>
    <w:p w14:paraId="6AFE9C8D"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（一）企业接受投资者投入的资本、可转换公司债券持有人行使转换权利、将债务转为资本等形成的资本公积，借记有关科目，贷记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实收资本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或</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股本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科目、本科目（资本溢价或股本溢价）等。</w:t>
      </w:r>
    </w:p>
    <w:p w14:paraId="44C8C3E9" w14:textId="77777777" w:rsidR="00D630C4" w:rsidRDefault="00D630C4" w:rsidP="00D630C4">
      <w:pPr>
        <w:pStyle w:val="Default"/>
        <w:spacing w:line="546" w:lineRule="atLeast"/>
        <w:ind w:right="40"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与发行权益性证券直接相关的手续费、佣金等交易费用，借记本科目（股本溢价）等，贷记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等科目。经股东大会或类似机构决议，用资本公积转增资本，借记本科目（资本溢价或股本溢价），贷记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实收资本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或</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股本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651090B1" w14:textId="77777777" w:rsidR="00D630C4" w:rsidRDefault="00D630C4" w:rsidP="00D630C4">
      <w:pPr>
        <w:pStyle w:val="Default"/>
        <w:spacing w:line="546" w:lineRule="atLeast"/>
        <w:ind w:right="40" w:firstLine="563"/>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（二）同一控制下控股合并形成的长期股权投资，应在合并日按取得被合并方所有者权益账面价值的份额，借记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长期股权投资</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w:t>
      </w:r>
      <w:r>
        <w:rPr>
          <w:rFonts w:ascii="仿宋_GB2312" w:eastAsia="仿宋_GB2312" w:hAnsi="Times New Roman" w:cs="仿宋_GB2312" w:hint="eastAsia"/>
          <w:sz w:val="28"/>
          <w:szCs w:val="28"/>
        </w:rPr>
        <w:t>目，按享有被投资单位已宣告但尚未发放的现金股利或利润，借记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科目，按支付的合并对价的账面价值，贷记有关资产科目或借记有关负债科目，按其差额，贷记本科目（资本溢价或股本溢价）；</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为借方差额的，借记本科目（资本溢价或股本溢价），资本公积（资本溢价或股本溢价）不足冲减的，借记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78BC857"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同一控制下吸收合并涉及的资本公积，比照上述原则进行处理。</w:t>
      </w:r>
    </w:p>
    <w:p w14:paraId="58919CFA"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（三）长期股权投资采用权益法核算的，在持股比例不变的情况下，被投资单位除净损益以外所有者权益的其他变动，企业按持股比例计算应享有的份额，借记或贷记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w:t>
      </w:r>
      <w:r>
        <w:rPr>
          <w:rFonts w:ascii="仿宋_GB2312" w:eastAsia="仿宋_GB2312" w:hAnsi="Times New Roman" w:cs="仿宋_GB2312" w:hint="eastAsia"/>
          <w:sz w:val="28"/>
          <w:szCs w:val="28"/>
        </w:rPr>
        <w:t>其他权益变动</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科目，贷记或借记本科目（其他资本公积）。</w:t>
      </w:r>
    </w:p>
    <w:p w14:paraId="654007D2"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处置采用权益法核算的长期股权投资，还应结转原记入资本公积的相关金额，借记或贷记本科目（其他资本公积），贷记或借记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6478FDCB"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（四）以权益结算的股份支付换取职工或其他方提供服务的，应按照确定的金额，借记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等科目，贷记本科目（其他资本公积）。</w:t>
      </w:r>
    </w:p>
    <w:p w14:paraId="10AD544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在行权日，应按实际行权的权益工具数量计算确定的金额，借记本科目（其他资本公积），按计入实收资本或股本的金额，贷记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实收资本</w:t>
      </w:r>
      <w:r>
        <w:rPr>
          <w:rFonts w:ascii="Times New Roman" w:eastAsia="仿宋_GB2312" w:hAnsi="Times New Roman"/>
          <w:sz w:val="28"/>
          <w:szCs w:val="28"/>
        </w:rPr>
        <w:t>”</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科目，按其差额，贷记本科目（资本溢价或股本溢价）。</w:t>
      </w:r>
    </w:p>
    <w:p w14:paraId="6486E11C"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（五）自用房地产或存货转换为采用公允价值模式计量的投资性房地产，按照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投资性房地产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科目的相关规定进行处理，相应调整资本公积。</w:t>
      </w:r>
    </w:p>
    <w:p w14:paraId="2576EDA7"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（六）将持有至到期投资重分类为可供出售金融资产，或将可供出售金融资产重分类为持有至到期投资的，按照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持有至到期投资</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可供出售金融资产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等科目的相关规定进行处理，相应调整资本公积。</w:t>
      </w:r>
    </w:p>
    <w:p w14:paraId="5E87EA8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将可供出售金融资产重分类为采用成本或摊余成本计量的金融资产的，对于原记入资本公积的相关金额，还应分别不同情况进行处</w:t>
      </w:r>
      <w:r>
        <w:rPr>
          <w:rFonts w:ascii="仿宋_GB2312" w:eastAsia="仿宋_GB2312" w:hAnsi="Times New Roman" w:cs="仿宋_GB2312" w:hint="eastAsia"/>
          <w:sz w:val="28"/>
          <w:szCs w:val="28"/>
        </w:rPr>
        <w:lastRenderedPageBreak/>
        <w:t>理：有固定到期日的，应在该项金融资产的剩余期限内，在资产负债表日，按采用实际利率法计算确定的摊销金额，借记或贷记本科目（其他资本公积），贷记或借记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科目；没有固定到期日的，应在处置该项金融资产时，借记或贷记本科目（其他资本公积），贷记或借记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投资收益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F3CDBC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可供出售金融资产的后续计量，按照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可供出售金融资产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科目的相关规定进行处理，相应调整资本公积。</w:t>
      </w:r>
    </w:p>
    <w:p w14:paraId="7CC7B3CF"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（七）股份有限公司采用收购本公司股票方式减资的，按股票面值和注销股数计算的股票面值总额，借记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股本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科目，按所注销的库存股的账面余额，贷记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库存股</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科目，按其差额，借记本科目（股本溢价），股本溢价不足冲减的，应借记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科目；购回股票支付的价款低于面值总额的，应按股票面值总额，借记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股本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科目，按所注销的库存股的账面余额，贷记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库存股</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科目，按其差额，贷记本科目（股本溢价）。</w:t>
      </w:r>
    </w:p>
    <w:p w14:paraId="144A0297"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八）资产负债表日，满足运用套期会计方法条件的现金流量套期和境外经营净投资套期产生的利得或损失，属于有效套期的，借记或贷记有关科目，贷记或借记本科目（其他资本公积）；属于无效套期的，借记或贷记有关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公允价值变动损益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6520E07" w14:textId="77777777" w:rsidR="00D630C4" w:rsidRDefault="00D630C4" w:rsidP="00D630C4">
      <w:pPr>
        <w:pStyle w:val="CM73"/>
        <w:spacing w:line="546" w:lineRule="atLeast"/>
        <w:ind w:left="563" w:right="164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四、本科目期末贷方余额，反映企业的资本公积。</w:t>
      </w:r>
    </w:p>
    <w:p w14:paraId="44F12511" w14:textId="77777777" w:rsidR="00D630C4" w:rsidRDefault="00D630C4" w:rsidP="00D630C4">
      <w:pPr>
        <w:pStyle w:val="CM67"/>
        <w:rPr>
          <w:rFonts w:ascii="仿宋_GB2312" w:eastAsia="仿宋_GB2312" w:hAnsi="Times New Roman" w:cs="仿宋_GB2312"/>
          <w:sz w:val="28"/>
          <w:szCs w:val="28"/>
        </w:rPr>
      </w:pPr>
      <w:r>
        <w:rPr>
          <w:rFonts w:ascii="Times New Roman" w:eastAsia="仿宋_GB2312" w:hAnsi="Times New Roman"/>
          <w:b/>
          <w:bCs/>
          <w:sz w:val="28"/>
          <w:szCs w:val="28"/>
        </w:rPr>
        <w:t xml:space="preserve">4101 </w:t>
      </w:r>
      <w:r>
        <w:rPr>
          <w:rFonts w:ascii="仿宋_GB2312" w:eastAsia="仿宋_GB2312" w:hAnsi="Times New Roman" w:cs="仿宋_GB2312" w:hint="eastAsia"/>
          <w:sz w:val="28"/>
          <w:szCs w:val="28"/>
        </w:rPr>
        <w:t>盈余公积</w:t>
      </w:r>
    </w:p>
    <w:p w14:paraId="7227E732"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一、本科目核算企业从净利润中提取的盈余公积。</w:t>
      </w:r>
    </w:p>
    <w:p w14:paraId="7FDD6A30"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二、本科目应当分别</w:t>
      </w:r>
      <w:r>
        <w:rPr>
          <w:rFonts w:ascii="Times New Roman" w:eastAsia="仿宋_GB2312" w:hAnsi="Times New Roman"/>
          <w:sz w:val="28"/>
          <w:szCs w:val="28"/>
        </w:rPr>
        <w:t>“</w:t>
      </w:r>
      <w:r>
        <w:rPr>
          <w:rFonts w:ascii="仿宋_GB2312" w:eastAsia="仿宋_GB2312" w:hAnsi="Times New Roman" w:cs="仿宋_GB2312" w:hint="eastAsia"/>
          <w:sz w:val="28"/>
          <w:szCs w:val="28"/>
        </w:rPr>
        <w:t>法定盈余公积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任意盈余公积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进行明细核算。</w:t>
      </w:r>
    </w:p>
    <w:p w14:paraId="6C3FAB8C"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外商投资企业还应分别</w:t>
      </w:r>
      <w:r>
        <w:rPr>
          <w:rFonts w:ascii="Times New Roman" w:eastAsia="仿宋_GB2312" w:hAnsi="Times New Roman"/>
          <w:sz w:val="28"/>
          <w:szCs w:val="28"/>
        </w:rPr>
        <w:t>“</w:t>
      </w:r>
      <w:r>
        <w:rPr>
          <w:rFonts w:ascii="仿宋_GB2312" w:eastAsia="仿宋_GB2312" w:hAnsi="Times New Roman" w:cs="仿宋_GB2312" w:hint="eastAsia"/>
          <w:sz w:val="28"/>
          <w:szCs w:val="28"/>
        </w:rPr>
        <w:t>储备基金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企业发展基金</w:t>
      </w:r>
      <w:r>
        <w:rPr>
          <w:rFonts w:ascii="Times New Roman" w:eastAsia="仿宋_GB2312" w:hAnsi="Times New Roman"/>
          <w:sz w:val="28"/>
          <w:szCs w:val="28"/>
        </w:rPr>
        <w:t>”</w:t>
      </w:r>
      <w:r>
        <w:rPr>
          <w:rFonts w:ascii="仿宋_GB2312" w:eastAsia="仿宋_GB2312" w:hAnsi="Times New Roman" w:cs="仿宋_GB2312" w:hint="eastAsia"/>
          <w:sz w:val="28"/>
          <w:szCs w:val="28"/>
        </w:rPr>
        <w:t>进行明细核算。中外合作经营在合作期间归还投资者的投资，应在本科目设置</w:t>
      </w:r>
      <w:r>
        <w:rPr>
          <w:rFonts w:ascii="Times New Roman" w:eastAsia="仿宋_GB2312" w:hAnsi="Times New Roman"/>
          <w:sz w:val="28"/>
          <w:szCs w:val="28"/>
        </w:rPr>
        <w:t>“</w:t>
      </w:r>
      <w:r>
        <w:rPr>
          <w:rFonts w:ascii="仿宋_GB2312" w:eastAsia="仿宋_GB2312" w:hAnsi="Times New Roman" w:cs="仿宋_GB2312" w:hint="eastAsia"/>
          <w:sz w:val="28"/>
          <w:szCs w:val="28"/>
        </w:rPr>
        <w:t>利润归还投资</w:t>
      </w:r>
      <w:r>
        <w:rPr>
          <w:rFonts w:ascii="Times New Roman" w:eastAsia="仿宋_GB2312" w:hAnsi="Times New Roman"/>
          <w:sz w:val="28"/>
          <w:szCs w:val="28"/>
        </w:rPr>
        <w:t>”</w:t>
      </w:r>
      <w:r>
        <w:rPr>
          <w:rFonts w:ascii="仿宋_GB2312" w:eastAsia="仿宋_GB2312" w:hAnsi="Times New Roman" w:cs="仿宋_GB2312" w:hint="eastAsia"/>
          <w:sz w:val="28"/>
          <w:szCs w:val="28"/>
        </w:rPr>
        <w:t>明细科目进行核算。</w:t>
      </w:r>
    </w:p>
    <w:p w14:paraId="61A4FA4A"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三、盈余公积的主要账务处理。</w:t>
      </w:r>
    </w:p>
    <w:p w14:paraId="1122E066"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（一）企业按规定提取的盈余公积，借记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提取法定盈余公积、提取任意盈余公积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科目，贷记本科目（法定盈余公积、任意盈余公积）。</w:t>
      </w:r>
    </w:p>
    <w:p w14:paraId="020751AC"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外商投资企业按规定提取的储备基金、企业发展基金、职工奖励及福利基金，借记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提取储备基金、提取企业发展基金、提取职工奖励及福利基金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科目，贷记本科目（储备基金、企业发展基金）、</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DD4D1D4"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（二）经股东大会或类似机构决议，用盈余公积弥补亏损或转增资本，借记本科目，贷记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盈余公积补亏</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实收资本</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或</w:t>
      </w:r>
      <w:r>
        <w:rPr>
          <w:rFonts w:ascii="Times New Roman" w:eastAsia="仿宋_GB2312" w:hAnsi="Times New Roman"/>
          <w:sz w:val="28"/>
          <w:szCs w:val="28"/>
        </w:rPr>
        <w:t>“</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882A18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经股东大会决议，用盈余公积派送新股，按派送新股计算的金额，借记本科目，按股票面值和派送新股总数计算的股票面值总额，贷记</w:t>
      </w:r>
      <w:r>
        <w:rPr>
          <w:rFonts w:ascii="Times New Roman" w:eastAsia="仿宋_GB2312" w:hAnsi="Times New Roman"/>
          <w:sz w:val="28"/>
          <w:szCs w:val="28"/>
        </w:rPr>
        <w:t>“</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67AF3E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中外合作经营根据合同规定在合作期间归还投资者的投资，应按实际归还投资的金额，借记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实收资本</w:t>
      </w:r>
      <w:r>
        <w:rPr>
          <w:rFonts w:ascii="Times New Roman" w:eastAsia="仿宋_GB2312" w:hAnsi="Times New Roman"/>
          <w:sz w:val="28"/>
          <w:szCs w:val="28"/>
        </w:rPr>
        <w:t>——</w:t>
      </w:r>
      <w:r>
        <w:rPr>
          <w:rFonts w:ascii="仿宋_GB2312" w:eastAsia="仿宋_GB2312" w:hAnsi="Times New Roman" w:cs="仿宋_GB2312" w:hint="eastAsia"/>
          <w:sz w:val="28"/>
          <w:szCs w:val="28"/>
        </w:rPr>
        <w:t>已归还投资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等科目；同时，借记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利润归还投资</w:t>
      </w:r>
      <w:r>
        <w:rPr>
          <w:rFonts w:ascii="Times New Roman" w:eastAsia="仿宋_GB2312" w:hAnsi="Times New Roman"/>
          <w:sz w:val="28"/>
          <w:szCs w:val="28"/>
        </w:rPr>
        <w:t>”</w:t>
      </w:r>
      <w:r>
        <w:rPr>
          <w:rFonts w:ascii="仿宋_GB2312" w:eastAsia="仿宋_GB2312" w:hAnsi="Times New Roman" w:cs="仿宋_GB2312" w:hint="eastAsia"/>
          <w:sz w:val="28"/>
          <w:szCs w:val="28"/>
        </w:rPr>
        <w:t>科</w:t>
      </w:r>
      <w:r>
        <w:rPr>
          <w:rFonts w:ascii="仿宋_GB2312" w:eastAsia="仿宋_GB2312" w:hAnsi="Times New Roman" w:cs="仿宋_GB2312" w:hint="eastAsia"/>
          <w:sz w:val="28"/>
          <w:szCs w:val="28"/>
        </w:rPr>
        <w:lastRenderedPageBreak/>
        <w:t>目，贷记本科目（利润归还投资）。</w:t>
      </w:r>
    </w:p>
    <w:p w14:paraId="15ECED6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四、本科目期末贷方余额，反映企业的盈余公积。</w:t>
      </w:r>
    </w:p>
    <w:p w14:paraId="3D5BFFCD" w14:textId="77777777" w:rsidR="00D630C4" w:rsidRDefault="00D630C4" w:rsidP="00D630C4">
      <w:pPr>
        <w:pStyle w:val="CM46"/>
        <w:ind w:right="1588"/>
        <w:rPr>
          <w:rFonts w:ascii="Times New Roman" w:eastAsia="仿宋_GB2312" w:hAnsi="Times New Roman"/>
          <w:b/>
          <w:bCs/>
          <w:sz w:val="28"/>
          <w:szCs w:val="28"/>
        </w:rPr>
      </w:pPr>
    </w:p>
    <w:p w14:paraId="0D713996" w14:textId="77777777" w:rsidR="00D630C4" w:rsidRDefault="00D630C4" w:rsidP="00D630C4">
      <w:pPr>
        <w:pStyle w:val="CM46"/>
        <w:ind w:right="1588"/>
        <w:rPr>
          <w:rFonts w:ascii="仿宋_GB2312" w:eastAsia="仿宋_GB2312" w:hAnsi="Times New Roman" w:cs="仿宋_GB2312"/>
          <w:sz w:val="28"/>
          <w:szCs w:val="28"/>
        </w:rPr>
      </w:pPr>
      <w:r>
        <w:rPr>
          <w:rFonts w:ascii="Times New Roman" w:eastAsia="仿宋_GB2312" w:hAnsi="Times New Roman"/>
          <w:b/>
          <w:bCs/>
          <w:sz w:val="28"/>
          <w:szCs w:val="28"/>
        </w:rPr>
        <w:t xml:space="preserve">4102 </w:t>
      </w:r>
      <w:r>
        <w:rPr>
          <w:rFonts w:ascii="仿宋_GB2312" w:eastAsia="仿宋_GB2312" w:hAnsi="Times New Roman" w:cs="仿宋_GB2312" w:hint="eastAsia"/>
          <w:sz w:val="28"/>
          <w:szCs w:val="28"/>
        </w:rPr>
        <w:t>一般风险准备</w:t>
      </w:r>
    </w:p>
    <w:p w14:paraId="4BBAE85D" w14:textId="77777777" w:rsidR="00D630C4" w:rsidRDefault="00D630C4" w:rsidP="00D630C4">
      <w:pPr>
        <w:pStyle w:val="CM46"/>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一、本科目核算企业（金融）按规定从净利润中提取的一般风险准备。</w:t>
      </w:r>
    </w:p>
    <w:p w14:paraId="5C710C74"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二、企业提取的一般风险准备，借记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提取一般风险准备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科目，贷记本科目。用一般风险准备弥补亏损，借记本科目，贷记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一般风险准备补亏</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7F7A1B8" w14:textId="77777777" w:rsidR="00D630C4" w:rsidRDefault="00D630C4" w:rsidP="00D630C4">
      <w:pPr>
        <w:pStyle w:val="CM73"/>
        <w:spacing w:line="546" w:lineRule="atLeast"/>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三、本科目期末贷方余额，反映企业的一般风险准备。</w:t>
      </w:r>
    </w:p>
    <w:p w14:paraId="7203F90A" w14:textId="77777777" w:rsidR="00D630C4" w:rsidRDefault="00D630C4" w:rsidP="00D630C4">
      <w:pPr>
        <w:pStyle w:val="CM52"/>
        <w:ind w:right="140"/>
        <w:rPr>
          <w:rFonts w:ascii="仿宋_GB2312" w:eastAsia="仿宋_GB2312" w:hAnsi="Times New Roman" w:cs="仿宋_GB2312"/>
          <w:sz w:val="28"/>
          <w:szCs w:val="28"/>
        </w:rPr>
      </w:pPr>
      <w:r>
        <w:rPr>
          <w:rFonts w:ascii="Times New Roman" w:eastAsia="仿宋_GB2312" w:hAnsi="Times New Roman"/>
          <w:b/>
          <w:bCs/>
          <w:sz w:val="28"/>
          <w:szCs w:val="28"/>
        </w:rPr>
        <w:t xml:space="preserve">4103 </w:t>
      </w:r>
      <w:r>
        <w:rPr>
          <w:rFonts w:ascii="仿宋_GB2312" w:eastAsia="仿宋_GB2312" w:hAnsi="Times New Roman" w:cs="仿宋_GB2312" w:hint="eastAsia"/>
          <w:sz w:val="28"/>
          <w:szCs w:val="28"/>
        </w:rPr>
        <w:t>本年利润</w:t>
      </w:r>
    </w:p>
    <w:p w14:paraId="1D75F5BD"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一、本科目核算企业当期实现的净利润</w:t>
      </w:r>
      <w:r>
        <w:rPr>
          <w:rFonts w:ascii="Times New Roman" w:eastAsia="仿宋_GB2312" w:hAnsi="Times New Roman"/>
          <w:sz w:val="28"/>
          <w:szCs w:val="28"/>
        </w:rPr>
        <w:t>(</w:t>
      </w:r>
      <w:r>
        <w:rPr>
          <w:rFonts w:ascii="仿宋_GB2312" w:eastAsia="仿宋_GB2312" w:hAnsi="Times New Roman" w:cs="仿宋_GB2312" w:hint="eastAsia"/>
          <w:sz w:val="28"/>
          <w:szCs w:val="28"/>
        </w:rPr>
        <w:t>或发生的净亏损</w:t>
      </w:r>
      <w:r>
        <w:rPr>
          <w:rFonts w:ascii="Times New Roman" w:eastAsia="仿宋_GB2312" w:hAnsi="Times New Roman"/>
          <w:sz w:val="28"/>
          <w:szCs w:val="28"/>
        </w:rPr>
        <w:t>)</w:t>
      </w:r>
      <w:r>
        <w:rPr>
          <w:rFonts w:ascii="仿宋_GB2312" w:eastAsia="仿宋_GB2312" w:hAnsi="Times New Roman" w:cs="仿宋_GB2312" w:hint="eastAsia"/>
          <w:sz w:val="28"/>
          <w:szCs w:val="28"/>
        </w:rPr>
        <w:t>。</w:t>
      </w:r>
    </w:p>
    <w:p w14:paraId="516105F0" w14:textId="77777777" w:rsidR="00D630C4" w:rsidRDefault="00D630C4" w:rsidP="00D630C4">
      <w:pPr>
        <w:pStyle w:val="CM52"/>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二、企业期（月）末结转利润时，应将各损益类科目的金额转入本科目，结平各损益类科目。结转后本科目的贷方余额为当期实现的净利润；借方余额为当期发生的净亏损。</w:t>
      </w:r>
    </w:p>
    <w:p w14:paraId="122D9D76"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三、年度终了，应将本年收入和支出相抵后结出的本年实现的净利润，转入</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科目，借记本科目，贷记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科目；如为净亏损做相反的会计分录。结转后本科目应无余额。</w:t>
      </w:r>
    </w:p>
    <w:p w14:paraId="7AFE601A" w14:textId="77777777" w:rsidR="00D630C4" w:rsidRDefault="00D630C4" w:rsidP="00D630C4">
      <w:pPr>
        <w:pStyle w:val="CM60"/>
        <w:ind w:right="1728"/>
        <w:rPr>
          <w:rFonts w:ascii="仿宋_GB2312" w:eastAsia="仿宋_GB2312" w:hAnsi="Times New Roman" w:cs="仿宋_GB2312"/>
          <w:sz w:val="28"/>
          <w:szCs w:val="28"/>
        </w:rPr>
      </w:pPr>
      <w:r>
        <w:rPr>
          <w:rFonts w:ascii="Times New Roman" w:eastAsia="仿宋_GB2312" w:hAnsi="Times New Roman"/>
          <w:b/>
          <w:bCs/>
          <w:sz w:val="28"/>
          <w:szCs w:val="28"/>
        </w:rPr>
        <w:t xml:space="preserve">4104 </w:t>
      </w:r>
      <w:r>
        <w:rPr>
          <w:rFonts w:ascii="仿宋_GB2312" w:eastAsia="仿宋_GB2312" w:hAnsi="Times New Roman" w:cs="仿宋_GB2312" w:hint="eastAsia"/>
          <w:sz w:val="28"/>
          <w:szCs w:val="28"/>
        </w:rPr>
        <w:t>利润分配</w:t>
      </w:r>
    </w:p>
    <w:p w14:paraId="0BB9B40B" w14:textId="77777777" w:rsidR="00D630C4" w:rsidRDefault="00D630C4" w:rsidP="00D630C4">
      <w:pPr>
        <w:pStyle w:val="CM60"/>
        <w:tabs>
          <w:tab w:val="left" w:pos="8647"/>
        </w:tabs>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一、本科目核算企业利润的分配</w:t>
      </w:r>
      <w:r>
        <w:rPr>
          <w:rFonts w:ascii="Times New Roman" w:eastAsia="仿宋_GB2312" w:hAnsi="Times New Roman"/>
          <w:sz w:val="28"/>
          <w:szCs w:val="28"/>
        </w:rPr>
        <w:t>(</w:t>
      </w:r>
      <w:r>
        <w:rPr>
          <w:rFonts w:ascii="仿宋_GB2312" w:eastAsia="仿宋_GB2312" w:hAnsi="Times New Roman" w:cs="仿宋_GB2312" w:hint="eastAsia"/>
          <w:sz w:val="28"/>
          <w:szCs w:val="28"/>
        </w:rPr>
        <w:t>或亏损的弥补</w:t>
      </w:r>
      <w:r>
        <w:rPr>
          <w:rFonts w:ascii="Times New Roman" w:eastAsia="仿宋_GB2312" w:hAnsi="Times New Roman"/>
          <w:sz w:val="28"/>
          <w:szCs w:val="28"/>
        </w:rPr>
        <w:t>)</w:t>
      </w:r>
      <w:r>
        <w:rPr>
          <w:rFonts w:ascii="仿宋_GB2312" w:eastAsia="仿宋_GB2312" w:hAnsi="Times New Roman" w:cs="仿宋_GB2312" w:hint="eastAsia"/>
          <w:sz w:val="28"/>
          <w:szCs w:val="28"/>
        </w:rPr>
        <w:t>和历年分配</w:t>
      </w:r>
      <w:r>
        <w:rPr>
          <w:rFonts w:ascii="Times New Roman" w:eastAsia="仿宋_GB2312" w:hAnsi="Times New Roman"/>
          <w:sz w:val="28"/>
          <w:szCs w:val="28"/>
        </w:rPr>
        <w:t>(</w:t>
      </w:r>
      <w:r>
        <w:rPr>
          <w:rFonts w:ascii="仿宋_GB2312" w:eastAsia="仿宋_GB2312" w:hAnsi="Times New Roman" w:cs="仿宋_GB2312" w:hint="eastAsia"/>
          <w:sz w:val="28"/>
          <w:szCs w:val="28"/>
        </w:rPr>
        <w:t>或弥</w:t>
      </w:r>
      <w:r>
        <w:rPr>
          <w:rFonts w:ascii="仿宋_GB2312" w:eastAsia="仿宋_GB2312" w:hAnsi="Times New Roman" w:cs="仿宋_GB2312" w:hint="eastAsia"/>
          <w:sz w:val="28"/>
          <w:szCs w:val="28"/>
        </w:rPr>
        <w:lastRenderedPageBreak/>
        <w:t>补</w:t>
      </w:r>
      <w:r>
        <w:rPr>
          <w:rFonts w:ascii="Times New Roman" w:eastAsia="仿宋_GB2312" w:hAnsi="Times New Roman"/>
          <w:sz w:val="28"/>
          <w:szCs w:val="28"/>
        </w:rPr>
        <w:t>)</w:t>
      </w:r>
      <w:r>
        <w:rPr>
          <w:rFonts w:ascii="仿宋_GB2312" w:eastAsia="仿宋_GB2312" w:hAnsi="Times New Roman" w:cs="仿宋_GB2312" w:hint="eastAsia"/>
          <w:sz w:val="28"/>
          <w:szCs w:val="28"/>
        </w:rPr>
        <w:t>后的余额。</w:t>
      </w:r>
    </w:p>
    <w:p w14:paraId="6E3CC15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二、本科目应当分别</w:t>
      </w:r>
      <w:r>
        <w:rPr>
          <w:rFonts w:ascii="Times New Roman" w:eastAsia="仿宋_GB2312" w:hAnsi="Times New Roman"/>
          <w:sz w:val="28"/>
          <w:szCs w:val="28"/>
        </w:rPr>
        <w:t>“</w:t>
      </w:r>
      <w:r>
        <w:rPr>
          <w:rFonts w:ascii="仿宋_GB2312" w:eastAsia="仿宋_GB2312" w:hAnsi="Times New Roman" w:cs="仿宋_GB2312" w:hint="eastAsia"/>
          <w:sz w:val="28"/>
          <w:szCs w:val="28"/>
        </w:rPr>
        <w:t>提取法定盈余公积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提取任意盈余公积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应付现金股利或利润</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转作股本的股利</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盈余公积补亏</w:t>
      </w:r>
      <w:r>
        <w:rPr>
          <w:rFonts w:ascii="Times New Roman" w:eastAsia="仿宋_GB2312" w:hAnsi="Times New Roman"/>
          <w:sz w:val="28"/>
          <w:szCs w:val="28"/>
        </w:rPr>
        <w:t>”</w:t>
      </w:r>
      <w:r>
        <w:rPr>
          <w:rFonts w:ascii="仿宋_GB2312" w:eastAsia="仿宋_GB2312" w:hAnsi="Times New Roman" w:cs="仿宋_GB2312" w:hint="eastAsia"/>
          <w:sz w:val="28"/>
          <w:szCs w:val="28"/>
        </w:rPr>
        <w:t>和</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等进行明细核算。</w:t>
      </w:r>
    </w:p>
    <w:p w14:paraId="2BD315E8" w14:textId="77777777" w:rsidR="00D630C4" w:rsidRDefault="00D630C4" w:rsidP="00D630C4">
      <w:pPr>
        <w:pStyle w:val="CM51"/>
        <w:tabs>
          <w:tab w:val="left" w:pos="8647"/>
        </w:tabs>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三、利润分配的主要账务处理。（一）企业按规定提取的盈余公积，借记本科目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提取法定盈余公积、提取任意盈余公积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法定盈余公积、任意盈余公积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BFC2857"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外商投资企业按规定提取的储备基金、企业发展基金、职工奖励及福利基金，借记本科目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提取储备基金、提取企业发展基金、提取职工奖励及福利基金</w:t>
      </w:r>
      <w:r>
        <w:rPr>
          <w:rFonts w:ascii="Times New Roman" w:eastAsia="仿宋_GB2312" w:hAnsi="Times New Roman"/>
          <w:sz w:val="28"/>
          <w:szCs w:val="28"/>
        </w:rPr>
        <w:t>)</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储备基金、企业发展基金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3A4813F"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企业（金融）按规定提取的一般风险准备，借记本科目（提取一般风险准备），贷记</w:t>
      </w:r>
      <w:r>
        <w:rPr>
          <w:rFonts w:ascii="Times New Roman" w:eastAsia="仿宋_GB2312" w:hAnsi="Times New Roman"/>
          <w:sz w:val="28"/>
          <w:szCs w:val="28"/>
        </w:rPr>
        <w:t>“</w:t>
      </w:r>
      <w:r>
        <w:rPr>
          <w:rFonts w:ascii="仿宋_GB2312" w:eastAsia="仿宋_GB2312" w:hAnsi="Times New Roman" w:cs="仿宋_GB2312" w:hint="eastAsia"/>
          <w:sz w:val="28"/>
          <w:szCs w:val="28"/>
        </w:rPr>
        <w:t>一般风险准备</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8FF407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（二）经股东大会或类似机构决议，分配给股东或投资者的现金股利或利润，借记本科目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应付现金股利或利润</w:t>
      </w:r>
      <w:r>
        <w:rPr>
          <w:rFonts w:ascii="Times New Roman" w:eastAsia="仿宋_GB2312" w:hAnsi="Times New Roman"/>
          <w:sz w:val="28"/>
          <w:szCs w:val="28"/>
        </w:rPr>
        <w:t>)</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35871A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经股东大会或类似机构决议，分配给股东的股票股利，应在办理增资手续后，借记本科目（转作股本的股利），贷记</w:t>
      </w:r>
      <w:r>
        <w:rPr>
          <w:rFonts w:ascii="Times New Roman" w:eastAsia="仿宋_GB2312" w:hAnsi="Times New Roman"/>
          <w:sz w:val="28"/>
          <w:szCs w:val="28"/>
        </w:rPr>
        <w:t>“</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30C6FB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用盈余公积弥补亏损，借记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法定盈余公积或任意盈余公积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盈余公积补亏</w:t>
      </w:r>
      <w:r>
        <w:rPr>
          <w:rFonts w:ascii="Times New Roman" w:eastAsia="仿宋_GB2312" w:hAnsi="Times New Roman"/>
          <w:sz w:val="28"/>
          <w:szCs w:val="28"/>
        </w:rPr>
        <w:t>)</w:t>
      </w:r>
      <w:r>
        <w:rPr>
          <w:rFonts w:ascii="仿宋_GB2312" w:eastAsia="仿宋_GB2312" w:hAnsi="Times New Roman" w:cs="仿宋_GB2312" w:hint="eastAsia"/>
          <w:sz w:val="28"/>
          <w:szCs w:val="28"/>
        </w:rPr>
        <w:t>。</w:t>
      </w:r>
    </w:p>
    <w:p w14:paraId="7F261F0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企业（金融）用一般风险准备弥补亏损，借记</w:t>
      </w:r>
      <w:r>
        <w:rPr>
          <w:rFonts w:ascii="Times New Roman" w:eastAsia="仿宋_GB2312" w:hAnsi="Times New Roman"/>
          <w:sz w:val="28"/>
          <w:szCs w:val="28"/>
        </w:rPr>
        <w:t>“</w:t>
      </w:r>
      <w:r>
        <w:rPr>
          <w:rFonts w:ascii="仿宋_GB2312" w:eastAsia="仿宋_GB2312" w:hAnsi="Times New Roman" w:cs="仿宋_GB2312" w:hint="eastAsia"/>
          <w:sz w:val="28"/>
          <w:szCs w:val="28"/>
        </w:rPr>
        <w:t>一般风险准备</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科目，贷记本科目（一般风险准备补亏）科目。</w:t>
      </w:r>
    </w:p>
    <w:p w14:paraId="7481838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四、年度终了，企业应将本年实现的净利润，自</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科目转入本科目，借记</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，为净亏损的做相反的会计分录；同时，将</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科目所属其他明细科目的余额转入本科目</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明细科目。结转后，本科目除</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明细科目外，其他明细科目应无余额。</w:t>
      </w:r>
    </w:p>
    <w:p w14:paraId="279F6AD9" w14:textId="77777777" w:rsidR="00D630C4" w:rsidRDefault="00D630C4" w:rsidP="00D630C4">
      <w:pPr>
        <w:pStyle w:val="CM73"/>
        <w:spacing w:line="546" w:lineRule="atLeast"/>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五、本科目年末余额，反映企业的未分配利润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或未弥补亏损</w:t>
      </w:r>
      <w:r>
        <w:rPr>
          <w:rFonts w:ascii="Times New Roman" w:eastAsia="仿宋_GB2312" w:hAnsi="Times New Roman"/>
          <w:sz w:val="28"/>
          <w:szCs w:val="28"/>
        </w:rPr>
        <w:t>)</w:t>
      </w:r>
      <w:r>
        <w:rPr>
          <w:rFonts w:ascii="仿宋_GB2312" w:eastAsia="仿宋_GB2312" w:hAnsi="Times New Roman" w:cs="仿宋_GB2312" w:hint="eastAsia"/>
          <w:sz w:val="28"/>
          <w:szCs w:val="28"/>
        </w:rPr>
        <w:t>。</w:t>
      </w:r>
    </w:p>
    <w:p w14:paraId="29D2BF1B" w14:textId="77777777" w:rsidR="00D630C4" w:rsidRDefault="00D630C4" w:rsidP="00D630C4">
      <w:pPr>
        <w:pStyle w:val="Default"/>
        <w:spacing w:line="546" w:lineRule="atLeast"/>
        <w:ind w:right="47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4201 </w:t>
      </w:r>
      <w:r>
        <w:rPr>
          <w:rFonts w:ascii="仿宋_GB2312" w:eastAsia="仿宋_GB2312" w:hAnsi="Times New Roman" w:cs="仿宋_GB2312" w:hint="eastAsia"/>
          <w:color w:val="auto"/>
          <w:sz w:val="28"/>
          <w:szCs w:val="28"/>
        </w:rPr>
        <w:t>库存股</w:t>
      </w:r>
    </w:p>
    <w:p w14:paraId="14FA3219" w14:textId="77777777" w:rsidR="00D630C4" w:rsidRDefault="00D630C4" w:rsidP="00D630C4">
      <w:pPr>
        <w:pStyle w:val="Default"/>
        <w:spacing w:line="546" w:lineRule="atLeast"/>
        <w:ind w:right="47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一、本科目核算企业收购、转让或注销的本公司股份金额。</w:t>
      </w:r>
    </w:p>
    <w:p w14:paraId="5D60A0E7"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二、库存股的主要账务处理。</w:t>
      </w:r>
    </w:p>
    <w:p w14:paraId="5F09A41E"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（一）企业为减少注册资本而收购本公司股份的，应按实际支付的金额，借记本科目，贷记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0FEA09D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（二）为奖励本公司职工而收购本公司股份的，应按实际支付的金额，借记本科目，贷记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等科目，同时做备查登记。</w:t>
      </w:r>
    </w:p>
    <w:p w14:paraId="20872E2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将收购的股份奖励给本公司职工属于以权益结算的股份支付，如有实际收到的金额，借记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科目，按根据职工获取奖励股份的实际情况确定的金额，借记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科目，按奖励库存股的账面余额，贷记本科目，按其差额，贷记或借记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资本公积</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股本溢价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7D0273D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（三）股东因对股东大会作出的公司合并、分立决议持有异议而要求企业收购本公司股份的，企业应按实际支付的金额，借记本科目，贷记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22311F7"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（四）转让库存股，应按实际收到的金额，借记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等科目，按转让库存股的账面余额，贷记本科目，按其差额，贷记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科目；为借方差额的，借记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科目，股本溢价不足冲减的，应借记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6750B2A"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（五）注销库存股，应按股票面值和注销股数计算的股票面值总额，借记</w:t>
      </w:r>
      <w:r>
        <w:rPr>
          <w:rFonts w:ascii="Times New Roman" w:eastAsia="仿宋_GB2312" w:hAnsi="Times New Roman"/>
          <w:sz w:val="28"/>
          <w:szCs w:val="28"/>
        </w:rPr>
        <w:t>“</w:t>
      </w:r>
      <w:r>
        <w:rPr>
          <w:rFonts w:ascii="仿宋_GB2312" w:eastAsia="仿宋_GB2312" w:hAnsi="Times New Roman" w:cs="仿宋_GB2312" w:hint="eastAsia"/>
          <w:sz w:val="28"/>
          <w:szCs w:val="28"/>
        </w:rPr>
        <w:t>股本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科目，按注销库存股的账面余额，贷记本科目，按其差额，借记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股本溢价</w:t>
      </w:r>
      <w:r>
        <w:rPr>
          <w:rFonts w:ascii="Times New Roman" w:eastAsia="仿宋_GB2312" w:hAnsi="Times New Roman"/>
          <w:sz w:val="28"/>
          <w:szCs w:val="28"/>
        </w:rPr>
        <w:t>”</w:t>
      </w:r>
      <w:r>
        <w:rPr>
          <w:rFonts w:ascii="仿宋_GB2312" w:eastAsia="仿宋_GB2312" w:hAnsi="Times New Roman" w:cs="仿宋_GB2312" w:hint="eastAsia"/>
          <w:sz w:val="28"/>
          <w:szCs w:val="28"/>
        </w:rPr>
        <w:t>科目，股本溢价不足冲减的，应借记</w:t>
      </w:r>
      <w:r>
        <w:rPr>
          <w:rFonts w:ascii="Times New Roman" w:eastAsia="仿宋_GB2312" w:hAnsi="Times New Roman"/>
          <w:sz w:val="28"/>
          <w:szCs w:val="28"/>
        </w:rPr>
        <w:t>“</w:t>
      </w:r>
      <w:r>
        <w:rPr>
          <w:rFonts w:ascii="仿宋_GB2312" w:eastAsia="仿宋_GB2312" w:hAnsi="Times New Roman" w:cs="仿宋_GB2312" w:hint="eastAsia"/>
          <w:sz w:val="28"/>
          <w:szCs w:val="28"/>
        </w:rPr>
        <w:t>盈余公积</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33A53AE" w14:textId="77777777" w:rsidR="00D630C4" w:rsidRDefault="00D630C4" w:rsidP="00D630C4">
      <w:pPr>
        <w:pStyle w:val="CM78"/>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三、本科目期末借方余额，反映企业持有尚未转让或注销的本公司股份金额。</w:t>
      </w:r>
    </w:p>
    <w:p w14:paraId="6FA8F2C7" w14:textId="77777777" w:rsidR="00D630C4" w:rsidRDefault="00D630C4" w:rsidP="00D630C4">
      <w:pPr>
        <w:pStyle w:val="CM76"/>
        <w:jc w:val="center"/>
        <w:rPr>
          <w:rFonts w:ascii="宋体" w:eastAsia="宋体" w:hAnsi="Times New Roman" w:cs="宋体"/>
          <w:sz w:val="30"/>
          <w:szCs w:val="30"/>
        </w:rPr>
      </w:pPr>
      <w:r>
        <w:rPr>
          <w:rFonts w:ascii="宋体" w:eastAsia="宋体" w:hAnsi="Times New Roman" w:cs="宋体" w:hint="eastAsia"/>
          <w:sz w:val="30"/>
          <w:szCs w:val="30"/>
        </w:rPr>
        <w:t>成本类</w:t>
      </w:r>
      <w:r>
        <w:rPr>
          <w:rFonts w:ascii="宋体" w:eastAsia="宋体" w:hAnsi="Times New Roman" w:cs="宋体"/>
          <w:sz w:val="30"/>
          <w:szCs w:val="30"/>
        </w:rPr>
        <w:t xml:space="preserve"> </w:t>
      </w:r>
    </w:p>
    <w:p w14:paraId="3F76C1D1" w14:textId="77777777" w:rsidR="00D630C4" w:rsidRDefault="00D630C4" w:rsidP="00D630C4">
      <w:pPr>
        <w:pStyle w:val="CM22"/>
        <w:rPr>
          <w:rFonts w:ascii="仿宋_GB2312" w:eastAsia="仿宋_GB2312" w:hAnsi="Times New Roman" w:cs="仿宋_GB2312"/>
          <w:sz w:val="28"/>
          <w:szCs w:val="28"/>
        </w:rPr>
      </w:pPr>
      <w:r>
        <w:rPr>
          <w:rFonts w:ascii="Times New Roman" w:eastAsia="宋体" w:hAnsi="Times New Roman"/>
          <w:b/>
          <w:bCs/>
          <w:sz w:val="28"/>
          <w:szCs w:val="28"/>
        </w:rPr>
        <w:t xml:space="preserve">5001 </w:t>
      </w:r>
      <w:r>
        <w:rPr>
          <w:rFonts w:ascii="仿宋_GB2312" w:eastAsia="仿宋_GB2312" w:hAnsi="Times New Roman" w:cs="仿宋_GB2312" w:hint="eastAsia"/>
          <w:sz w:val="28"/>
          <w:szCs w:val="28"/>
        </w:rPr>
        <w:t>生产成本</w:t>
      </w:r>
    </w:p>
    <w:p w14:paraId="49F653B4"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一、本科目核算企业进行工业性生产发生的各项生产成本，包括生产各种产品</w:t>
      </w:r>
      <w:r>
        <w:rPr>
          <w:rFonts w:ascii="Times New Roman" w:eastAsia="仿宋_GB2312" w:hAnsi="Times New Roman"/>
          <w:sz w:val="28"/>
          <w:szCs w:val="28"/>
        </w:rPr>
        <w:t>(</w:t>
      </w:r>
      <w:r>
        <w:rPr>
          <w:rFonts w:ascii="仿宋_GB2312" w:eastAsia="仿宋_GB2312" w:hAnsi="Times New Roman" w:cs="仿宋_GB2312" w:hint="eastAsia"/>
          <w:sz w:val="28"/>
          <w:szCs w:val="28"/>
        </w:rPr>
        <w:t>产成品、自制半成品等</w:t>
      </w:r>
      <w:r>
        <w:rPr>
          <w:rFonts w:ascii="Times New Roman" w:eastAsia="仿宋_GB2312" w:hAnsi="Times New Roman"/>
          <w:sz w:val="28"/>
          <w:szCs w:val="28"/>
        </w:rPr>
        <w:t>)</w:t>
      </w:r>
      <w:r>
        <w:rPr>
          <w:rFonts w:ascii="仿宋_GB2312" w:eastAsia="仿宋_GB2312" w:hAnsi="Times New Roman" w:cs="仿宋_GB2312" w:hint="eastAsia"/>
          <w:sz w:val="28"/>
          <w:szCs w:val="28"/>
        </w:rPr>
        <w:t>、自制材料、自制工具、自制设备等。</w:t>
      </w:r>
    </w:p>
    <w:p w14:paraId="09F605FF" w14:textId="77777777" w:rsidR="00D630C4" w:rsidRDefault="00D630C4" w:rsidP="00D630C4">
      <w:pPr>
        <w:pStyle w:val="CM34"/>
        <w:ind w:right="138" w:firstLine="623"/>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企业（农业）进行农业生产发生的各项生产成本，可将本科目改为</w:t>
      </w:r>
      <w:r>
        <w:rPr>
          <w:rFonts w:ascii="Times New Roman" w:eastAsia="仿宋_GB2312" w:hAnsi="Times New Roman"/>
          <w:sz w:val="28"/>
          <w:szCs w:val="28"/>
        </w:rPr>
        <w:t xml:space="preserve">“5001 </w:t>
      </w:r>
      <w:r>
        <w:rPr>
          <w:rFonts w:ascii="仿宋_GB2312" w:eastAsia="仿宋_GB2312" w:hAnsi="Times New Roman" w:cs="仿宋_GB2312" w:hint="eastAsia"/>
          <w:sz w:val="28"/>
          <w:szCs w:val="28"/>
        </w:rPr>
        <w:t>农业生产成本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科目，并分别种植业、畜牧养殖业、林业和水产业确定成本核算对象（消耗性生物资产、生产性生物资产、公益性生物资产和农产品）和成本项目，进行费用的归集和分配。</w:t>
      </w:r>
    </w:p>
    <w:p w14:paraId="3E50C6CD" w14:textId="77777777" w:rsidR="00D630C4" w:rsidRDefault="00D630C4" w:rsidP="00D630C4">
      <w:pPr>
        <w:pStyle w:val="CM69"/>
        <w:ind w:right="345" w:firstLine="563"/>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企业（房地产开发）可将本科目改为</w:t>
      </w:r>
      <w:r>
        <w:rPr>
          <w:rFonts w:ascii="Times New Roman" w:eastAsia="仿宋_GB2312" w:hAnsi="Times New Roman"/>
          <w:sz w:val="28"/>
          <w:szCs w:val="28"/>
        </w:rPr>
        <w:t xml:space="preserve">“5001 </w:t>
      </w:r>
      <w:r>
        <w:rPr>
          <w:rFonts w:ascii="仿宋_GB2312" w:eastAsia="仿宋_GB2312" w:hAnsi="Times New Roman" w:cs="仿宋_GB2312" w:hint="eastAsia"/>
          <w:sz w:val="28"/>
          <w:szCs w:val="28"/>
        </w:rPr>
        <w:t>开发成本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BE78508" w14:textId="77777777" w:rsidR="00D630C4" w:rsidRDefault="00D630C4" w:rsidP="00D630C4">
      <w:pPr>
        <w:pStyle w:val="CM69"/>
        <w:ind w:right="345" w:firstLine="563"/>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二、本科目可按基本生产成本和辅助生产成本进行明细核算。</w:t>
      </w:r>
    </w:p>
    <w:p w14:paraId="3BE76696"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基本生产成本应当分别按照基本生产车间和成本核算对象（产品的品种、类别、定单、批别、生产阶段等）设置明细账（或成本计算单，下同），并按照规定的成本项目设置专栏。</w:t>
      </w:r>
    </w:p>
    <w:p w14:paraId="37576ACD"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三、生产成本的主要账务处理。</w:t>
      </w:r>
    </w:p>
    <w:p w14:paraId="2FA8F9F0"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（一）企业发生的各项直接生产成本，借记本科目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基本生产成本、辅助生产成本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0894043"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各生产车间应负担的制造费用，借记本科目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基本生产成本、辅助生产成本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，贷记</w:t>
      </w:r>
      <w:r>
        <w:rPr>
          <w:rFonts w:ascii="Times New Roman" w:eastAsia="仿宋_GB2312" w:hAnsi="Times New Roman"/>
          <w:sz w:val="28"/>
          <w:szCs w:val="28"/>
        </w:rPr>
        <w:t>“</w:t>
      </w:r>
      <w:r>
        <w:rPr>
          <w:rFonts w:ascii="仿宋_GB2312" w:eastAsia="仿宋_GB2312" w:hAnsi="Times New Roman" w:cs="仿宋_GB2312" w:hint="eastAsia"/>
          <w:sz w:val="28"/>
          <w:szCs w:val="28"/>
        </w:rPr>
        <w:t>制造费用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C72F62D"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辅助生产车间为基本生产车间、企业管理部门和其他部门提供的劳务和产品，期（月）末按照一定的分配标准分配给各受益对象，借记本科目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基本生产成本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辅助生产成本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p>
    <w:p w14:paraId="515AD9CA"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企业已经生产完成并已验收入库的产成品以及入库的自制半成品，应于期（月）末，借记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r>
        <w:rPr>
          <w:rFonts w:ascii="Times New Roman" w:eastAsia="仿宋_GB2312" w:hAnsi="Times New Roman"/>
          <w:sz w:val="28"/>
          <w:szCs w:val="28"/>
        </w:rPr>
        <w:t>(</w:t>
      </w:r>
      <w:r>
        <w:rPr>
          <w:rFonts w:ascii="仿宋_GB2312" w:eastAsia="仿宋_GB2312" w:hAnsi="Times New Roman" w:cs="仿宋_GB2312" w:hint="eastAsia"/>
          <w:sz w:val="28"/>
          <w:szCs w:val="28"/>
        </w:rPr>
        <w:t>基本生产成本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p>
    <w:p w14:paraId="2561FDA1" w14:textId="77777777" w:rsidR="00D630C4" w:rsidRDefault="00D630C4" w:rsidP="00D630C4">
      <w:pPr>
        <w:pStyle w:val="Default"/>
        <w:spacing w:line="546" w:lineRule="atLeast"/>
        <w:ind w:right="138" w:firstLine="278"/>
        <w:jc w:val="both"/>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（二）生产性生物资产在产出农产品过程中发生的各项费用，借记</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农业生产成本</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库存现金</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原材料</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应付职工薪酬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生产性生物资产累计折旧</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3B4BC030"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农业生产过程中发生的应由农产品、消耗性生物资产、生产性</w:t>
      </w:r>
      <w:r>
        <w:rPr>
          <w:rFonts w:ascii="仿宋_GB2312" w:eastAsia="仿宋_GB2312" w:hAnsi="Times New Roman" w:cs="仿宋_GB2312" w:hint="eastAsia"/>
          <w:sz w:val="28"/>
          <w:szCs w:val="28"/>
        </w:rPr>
        <w:lastRenderedPageBreak/>
        <w:t>生物资产和公益性生物资产共同负担的费用，借记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农业生产成本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共同费用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农业生产成本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418BBD7"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期（月）末，可按一定的分配标准对上述共同负担的费用进行分配，借记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农业生产成本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农产品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消耗性生物资产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生产性生物资产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公益性生物资产</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农业生产成本</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共同费用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3EB0F1C"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应由生产性生物资产收获的农产品负担的费用，应当采用合理的方法在农产品各品种之间进行分配；如有尚未收获的农产品，还应当在已收获和尚未收获的农产品之间进行分配。</w:t>
      </w:r>
    </w:p>
    <w:p w14:paraId="0BAF5D26"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生产性生物资产收获的农产品验收入库时，按其实际成本，借记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农产品</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科目，贷记本科目（农产品）。</w:t>
      </w:r>
    </w:p>
    <w:p w14:paraId="61952237"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四、本科目期末借方余额，反映企业尚未加工完成的在产品成本或尚未收获的农产品成本。</w:t>
      </w:r>
    </w:p>
    <w:p w14:paraId="314E86A7" w14:textId="77777777" w:rsidR="00D630C4" w:rsidRDefault="00D630C4" w:rsidP="00D630C4">
      <w:pPr>
        <w:pStyle w:val="Default"/>
        <w:spacing w:line="546" w:lineRule="atLeast"/>
        <w:ind w:right="281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5101 </w:t>
      </w:r>
      <w:r>
        <w:rPr>
          <w:rFonts w:ascii="仿宋_GB2312" w:eastAsia="仿宋_GB2312" w:hAnsi="Times New Roman" w:cs="仿宋_GB2312" w:hint="eastAsia"/>
          <w:color w:val="auto"/>
          <w:sz w:val="28"/>
          <w:szCs w:val="28"/>
        </w:rPr>
        <w:t>制造费用</w:t>
      </w:r>
    </w:p>
    <w:p w14:paraId="2C90730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一、本科目核算企业生产车间（部门）为生产产品和提供劳务而发生的各项间接费用。企业行政管理部门为组织和管理生产经营活动而发生的管理费用，在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管理费用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科目核算。</w:t>
      </w:r>
    </w:p>
    <w:p w14:paraId="3C98F25D"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二、本科目可按不同的生产车间、部门和费用项目进行明细核算。</w:t>
      </w:r>
    </w:p>
    <w:p w14:paraId="52969D12"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三、制造费用的主要账务处理。</w:t>
      </w:r>
    </w:p>
    <w:p w14:paraId="771499B9"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（一）生产车间发生的机物料消耗，借记本科目，贷记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原材料</w:t>
      </w:r>
      <w:r>
        <w:rPr>
          <w:rFonts w:ascii="Times New Roman" w:eastAsia="仿宋_GB2312" w:hAnsi="Times New Roman" w:cs="Times New Roman"/>
          <w:color w:val="auto"/>
          <w:sz w:val="28"/>
          <w:szCs w:val="28"/>
        </w:rPr>
        <w:t xml:space="preserve">” </w:t>
      </w:r>
      <w:r>
        <w:rPr>
          <w:rFonts w:ascii="仿宋_GB2312" w:eastAsia="仿宋_GB2312" w:hAnsi="Times New Roman" w:cs="仿宋_GB2312" w:hint="eastAsia"/>
          <w:color w:val="auto"/>
          <w:sz w:val="28"/>
          <w:szCs w:val="28"/>
        </w:rPr>
        <w:lastRenderedPageBreak/>
        <w:t>等科目。</w:t>
      </w:r>
    </w:p>
    <w:p w14:paraId="6C5A3468"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（二）发生的生产车间管理人员的工资等职工薪酬，借记本科目，贷记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应付职工薪酬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5B9970B1"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（三）生产车间计提的固定资产折旧，借记本科目，贷记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累计折旧</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p>
    <w:p w14:paraId="28851A55"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（四）生产车间支付的办公费、水电费等，借记本科目，贷记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154FF52A"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（五）发生季节性的停工损失，借记本科目，贷记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原材料</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应付职工薪酬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377D0E45"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（六）将制造费用分配计入有关的成本核算对象，借记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生产成本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基本生产成本、辅助生产成本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劳务成本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等科目，贷记本科目。</w:t>
      </w:r>
    </w:p>
    <w:p w14:paraId="539947E1"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（七）季节性生产企业制造费用全年实际发生额与分配额的差额，除其中属于为下一年开工生产做准备的可留待下一年分配外，其余部分实际发生额大于分配额的差额，借记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基本生产成本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科目，贷记本科目；实际发生额小于分配额的差额做相反的会计分录。</w:t>
      </w:r>
    </w:p>
    <w:p w14:paraId="3A676246" w14:textId="77777777" w:rsidR="00D630C4" w:rsidRDefault="00D630C4" w:rsidP="00D630C4">
      <w:pPr>
        <w:pStyle w:val="CM73"/>
        <w:spacing w:line="546" w:lineRule="atLeast"/>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四、除季节性的生产性企业外，本科目期末应无余额。</w:t>
      </w:r>
    </w:p>
    <w:p w14:paraId="2B31E19C" w14:textId="77777777" w:rsidR="00D630C4" w:rsidRDefault="00D630C4" w:rsidP="00D630C4">
      <w:pPr>
        <w:pStyle w:val="CM67"/>
        <w:rPr>
          <w:rFonts w:ascii="仿宋_GB2312" w:eastAsia="仿宋_GB2312" w:hAnsi="Times New Roman" w:cs="仿宋_GB2312"/>
          <w:sz w:val="28"/>
          <w:szCs w:val="28"/>
        </w:rPr>
      </w:pPr>
      <w:r>
        <w:rPr>
          <w:rFonts w:ascii="Times New Roman" w:eastAsia="仿宋_GB2312" w:hAnsi="Times New Roman"/>
          <w:b/>
          <w:bCs/>
          <w:sz w:val="28"/>
          <w:szCs w:val="28"/>
        </w:rPr>
        <w:t xml:space="preserve">5201 </w:t>
      </w:r>
      <w:r>
        <w:rPr>
          <w:rFonts w:ascii="仿宋_GB2312" w:eastAsia="仿宋_GB2312" w:hAnsi="Times New Roman" w:cs="仿宋_GB2312" w:hint="eastAsia"/>
          <w:sz w:val="28"/>
          <w:szCs w:val="28"/>
        </w:rPr>
        <w:t>劳务成本</w:t>
      </w:r>
    </w:p>
    <w:p w14:paraId="33A8F0C5"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一、本科目核算企业对外提供劳务发生的成本。企业（证券）在为上市公司进行承销业务发生的各项相关支出，可将本科目改为</w:t>
      </w:r>
      <w:r>
        <w:rPr>
          <w:rFonts w:ascii="Times New Roman" w:eastAsia="仿宋_GB2312" w:hAnsi="Times New Roman"/>
          <w:sz w:val="28"/>
          <w:szCs w:val="28"/>
        </w:rPr>
        <w:t xml:space="preserve">“5201 </w:t>
      </w:r>
      <w:r>
        <w:rPr>
          <w:rFonts w:ascii="仿宋_GB2312" w:eastAsia="仿宋_GB2312" w:hAnsi="Times New Roman" w:cs="仿宋_GB2312" w:hint="eastAsia"/>
          <w:sz w:val="28"/>
          <w:szCs w:val="28"/>
        </w:rPr>
        <w:t>待转承销费用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科目，并按照客户进行明细核算。</w:t>
      </w:r>
    </w:p>
    <w:p w14:paraId="732979E6"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二、本科目可按提供劳务种类进行明细核算。</w:t>
      </w:r>
    </w:p>
    <w:p w14:paraId="19365F93" w14:textId="77777777" w:rsidR="00D630C4" w:rsidRDefault="00D630C4" w:rsidP="00D630C4">
      <w:pPr>
        <w:pStyle w:val="CM73"/>
        <w:spacing w:line="546" w:lineRule="atLeast"/>
        <w:ind w:right="4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三、企业发生的各项劳务成本，借记本科目，贷记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等科目。建造承包商对外单位、专项工程等提供机械作业（包括运输设备）的成本，借记本科目，贷记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机械作业</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科目。结转劳务的成本，借记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其他业务成本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等科目，贷记本科目。四、本科目期末借方余额，反映企业尚未完成或尚未结转的劳务成本。</w:t>
      </w:r>
    </w:p>
    <w:p w14:paraId="55FD36FC"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5301 </w:t>
      </w:r>
      <w:r>
        <w:rPr>
          <w:rFonts w:ascii="仿宋_GB2312" w:eastAsia="仿宋_GB2312" w:hAnsi="Times New Roman" w:cs="仿宋_GB2312" w:hint="eastAsia"/>
          <w:color w:val="auto"/>
          <w:sz w:val="28"/>
          <w:szCs w:val="28"/>
        </w:rPr>
        <w:t>研发支出</w:t>
      </w:r>
    </w:p>
    <w:p w14:paraId="6E333E4E"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一、本科目核算企业进行研究与开发无形资产过程中发生的各项支出。</w:t>
      </w:r>
    </w:p>
    <w:p w14:paraId="3EEA3198"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二、本科目可按研究开发项目，分别</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费用化支出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资本化支出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进行明细核算。</w:t>
      </w:r>
    </w:p>
    <w:p w14:paraId="397D666A"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三、研发支出的主要账务处理。</w:t>
      </w:r>
    </w:p>
    <w:p w14:paraId="1ACED451" w14:textId="77777777" w:rsidR="00D630C4" w:rsidRDefault="00D630C4" w:rsidP="00D630C4">
      <w:pPr>
        <w:pStyle w:val="Default"/>
        <w:spacing w:line="546" w:lineRule="atLeast"/>
        <w:ind w:firstLine="358"/>
        <w:jc w:val="both"/>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（一）企业自行开发无形资产发生的研发支出，不满足资本化条件的，借记本科目（费用化支出），满足资本化条件的，借记本科目（资本化支出），贷记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原材料</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银行存款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应付职工薪酬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0BB3D8CF"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（二）研究开发项目达到预定用途形成无形资产的，应按本科目（资本化支出）的余额，借记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无形资产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科目，贷记本科目（资本化支出）。</w:t>
      </w:r>
    </w:p>
    <w:p w14:paraId="0D912537"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期（月）末，应将本科目归集的费用化支出金额转入</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lastRenderedPageBreak/>
        <w:t>科目，借记</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科目，贷记本科目（费用化支出）。</w:t>
      </w:r>
    </w:p>
    <w:p w14:paraId="144D624F"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四、本科目期末借方余额，反映企业正在进行无形资产研究开发项目满足资本化条件的支出。</w:t>
      </w:r>
    </w:p>
    <w:p w14:paraId="77C1346E" w14:textId="77777777" w:rsidR="00D630C4" w:rsidRDefault="00D630C4" w:rsidP="00D630C4">
      <w:pPr>
        <w:pStyle w:val="Default"/>
        <w:spacing w:line="546" w:lineRule="atLeast"/>
        <w:ind w:right="3605"/>
        <w:rPr>
          <w:rFonts w:ascii="Times New Roman" w:eastAsia="仿宋_GB2312" w:hAnsi="Times New Roman" w:cs="Times New Roman"/>
          <w:b/>
          <w:bCs/>
          <w:color w:val="auto"/>
          <w:sz w:val="28"/>
          <w:szCs w:val="28"/>
        </w:rPr>
      </w:pPr>
    </w:p>
    <w:p w14:paraId="4A0567F5" w14:textId="77777777" w:rsidR="00D630C4" w:rsidRDefault="00D630C4" w:rsidP="00D630C4">
      <w:pPr>
        <w:pStyle w:val="Default"/>
        <w:spacing w:line="546" w:lineRule="atLeast"/>
        <w:ind w:right="360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5401 </w:t>
      </w:r>
      <w:r>
        <w:rPr>
          <w:rFonts w:ascii="仿宋_GB2312" w:eastAsia="仿宋_GB2312" w:hAnsi="Times New Roman" w:cs="仿宋_GB2312" w:hint="eastAsia"/>
          <w:color w:val="auto"/>
          <w:sz w:val="28"/>
          <w:szCs w:val="28"/>
        </w:rPr>
        <w:t>工程施工</w:t>
      </w:r>
    </w:p>
    <w:p w14:paraId="4C71EF8E"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一、本科目核算企业（建造承包商）实际发生的合同成本和合同毛利。</w:t>
      </w:r>
    </w:p>
    <w:p w14:paraId="49FFF45A"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二、本科目可按建造合同，分别</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合同成本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间接费用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合同</w:t>
      </w:r>
      <w:r>
        <w:rPr>
          <w:rFonts w:ascii="仿宋_GB2312" w:eastAsia="仿宋_GB2312" w:hAnsi="Times New Roman" w:cs="仿宋_GB2312" w:hint="eastAsia"/>
          <w:sz w:val="28"/>
          <w:szCs w:val="28"/>
        </w:rPr>
        <w:t>毛利</w:t>
      </w:r>
      <w:r>
        <w:rPr>
          <w:rFonts w:ascii="Times New Roman" w:eastAsia="仿宋_GB2312" w:hAnsi="Times New Roman"/>
          <w:sz w:val="28"/>
          <w:szCs w:val="28"/>
        </w:rPr>
        <w:t>”</w:t>
      </w:r>
      <w:r>
        <w:rPr>
          <w:rFonts w:ascii="仿宋_GB2312" w:eastAsia="仿宋_GB2312" w:hAnsi="Times New Roman" w:cs="仿宋_GB2312" w:hint="eastAsia"/>
          <w:sz w:val="28"/>
          <w:szCs w:val="28"/>
        </w:rPr>
        <w:t>进行明细核算。</w:t>
      </w:r>
    </w:p>
    <w:p w14:paraId="7B4DEB65"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三、工程施工的主要账务处理。</w:t>
      </w:r>
    </w:p>
    <w:p w14:paraId="774C859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（一）企业进行合同建造时发生的人工费、材料费、机械使用费以及施工现场材料的二次搬运费、生产工具和用具使用费、检验试验费、临时设施折旧费等其他直接费用，借记本科目（合同成本），贷记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等科目。发生的施工、生产单位管理人员职工薪酬、固定资产折旧费、财产保险费、工程保修费、排污费等间接费用，借记本科目（间接费用），贷记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4DACD987"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期（月）末，将间接费用分配计入有关合同成本，借记本科目（合同成本），贷记本科目（间接费用）。</w:t>
      </w:r>
    </w:p>
    <w:p w14:paraId="7B21DF64" w14:textId="77777777" w:rsidR="00D630C4" w:rsidRDefault="00D630C4" w:rsidP="00D630C4">
      <w:pPr>
        <w:pStyle w:val="Default"/>
        <w:spacing w:line="546" w:lineRule="atLeast"/>
        <w:ind w:firstLine="42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（二）确认合同收入、合同费用时，借记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主营业务成本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主营业务收入</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科目，按其差额，借记或贷记本科目（合同毛利）。</w:t>
      </w:r>
    </w:p>
    <w:p w14:paraId="5D83E6E1" w14:textId="77777777" w:rsidR="00D630C4" w:rsidRDefault="00D630C4" w:rsidP="00D630C4">
      <w:pPr>
        <w:pStyle w:val="Default"/>
        <w:spacing w:line="546" w:lineRule="atLeast"/>
        <w:ind w:firstLine="42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（三）合同完工时，应将本科目余额与相关工程施工合同的</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工程</w:t>
      </w:r>
      <w:r>
        <w:rPr>
          <w:rFonts w:ascii="仿宋_GB2312" w:eastAsia="仿宋_GB2312" w:hAnsi="Times New Roman" w:cs="仿宋_GB2312" w:hint="eastAsia"/>
          <w:sz w:val="28"/>
          <w:szCs w:val="28"/>
        </w:rPr>
        <w:lastRenderedPageBreak/>
        <w:t>结算</w:t>
      </w:r>
      <w:r>
        <w:rPr>
          <w:rFonts w:ascii="Times New Roman" w:eastAsia="仿宋_GB2312" w:hAnsi="Times New Roman"/>
          <w:sz w:val="28"/>
          <w:szCs w:val="28"/>
        </w:rPr>
        <w:t>”</w:t>
      </w:r>
      <w:r>
        <w:rPr>
          <w:rFonts w:ascii="仿宋_GB2312" w:eastAsia="仿宋_GB2312" w:hAnsi="Times New Roman" w:cs="仿宋_GB2312" w:hint="eastAsia"/>
          <w:sz w:val="28"/>
          <w:szCs w:val="28"/>
        </w:rPr>
        <w:t>科目对冲，借记</w:t>
      </w:r>
      <w:r>
        <w:rPr>
          <w:rFonts w:ascii="Times New Roman" w:eastAsia="仿宋_GB2312" w:hAnsi="Times New Roman"/>
          <w:sz w:val="28"/>
          <w:szCs w:val="28"/>
        </w:rPr>
        <w:t>“</w:t>
      </w:r>
      <w:r>
        <w:rPr>
          <w:rFonts w:ascii="仿宋_GB2312" w:eastAsia="仿宋_GB2312" w:hAnsi="Times New Roman" w:cs="仿宋_GB2312" w:hint="eastAsia"/>
          <w:sz w:val="28"/>
          <w:szCs w:val="28"/>
        </w:rPr>
        <w:t>工程结算</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83D20C7" w14:textId="77777777" w:rsidR="00D630C4" w:rsidRDefault="00D630C4" w:rsidP="00D630C4">
      <w:pPr>
        <w:pStyle w:val="Default"/>
        <w:spacing w:line="546" w:lineRule="atLeast"/>
        <w:ind w:firstLine="42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四、本科目期末借方余额，反映企业尚未完工的建造合同成本和合同毛利。</w:t>
      </w:r>
    </w:p>
    <w:p w14:paraId="4C1F405E" w14:textId="77777777" w:rsidR="00D630C4" w:rsidRDefault="00D630C4" w:rsidP="00D630C4">
      <w:pPr>
        <w:pStyle w:val="Default"/>
        <w:spacing w:line="546" w:lineRule="atLeast"/>
        <w:ind w:right="3045"/>
        <w:rPr>
          <w:rFonts w:ascii="Times New Roman" w:eastAsia="仿宋_GB2312" w:hAnsi="Times New Roman" w:cs="Times New Roman"/>
          <w:b/>
          <w:bCs/>
          <w:color w:val="auto"/>
          <w:sz w:val="28"/>
          <w:szCs w:val="28"/>
        </w:rPr>
      </w:pPr>
    </w:p>
    <w:p w14:paraId="65F53A53" w14:textId="77777777" w:rsidR="00D630C4" w:rsidRDefault="00D630C4" w:rsidP="00D630C4">
      <w:pPr>
        <w:pStyle w:val="Default"/>
        <w:spacing w:line="546" w:lineRule="atLeast"/>
        <w:ind w:right="3045"/>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5402 </w:t>
      </w:r>
      <w:r>
        <w:rPr>
          <w:rFonts w:ascii="仿宋_GB2312" w:eastAsia="仿宋_GB2312" w:hAnsi="Times New Roman" w:cs="仿宋_GB2312" w:hint="eastAsia"/>
          <w:color w:val="auto"/>
          <w:sz w:val="28"/>
          <w:szCs w:val="28"/>
        </w:rPr>
        <w:t>工程结算</w:t>
      </w:r>
    </w:p>
    <w:p w14:paraId="0BCB7CBD"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一、本科目核算企业（建造承包商）根据建造合同约定向业主办理结算的累计金额。</w:t>
      </w:r>
    </w:p>
    <w:p w14:paraId="187D186F"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二、本科目可按建造合同进行明细核算。</w:t>
      </w:r>
    </w:p>
    <w:p w14:paraId="121F0F87"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三、企业向业主办理工程价款结算，按应结算的金额，借记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应收账款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4CA3602B"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合同完工时，应将本科目余额与相关工程施工合同的</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科目对冲，借记本科目，贷记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2AD3F51" w14:textId="77777777" w:rsidR="00D630C4" w:rsidRDefault="00D630C4" w:rsidP="00D630C4">
      <w:pPr>
        <w:pStyle w:val="CM73"/>
        <w:spacing w:line="546" w:lineRule="atLeast"/>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四、本科目期末贷方余额，反映企业尚未完工建造合同已办理结算的累计金额。</w:t>
      </w:r>
    </w:p>
    <w:p w14:paraId="3B62DD45"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5403 </w:t>
      </w:r>
      <w:r>
        <w:rPr>
          <w:rFonts w:ascii="仿宋_GB2312" w:eastAsia="仿宋_GB2312" w:hAnsi="Times New Roman" w:cs="仿宋_GB2312" w:hint="eastAsia"/>
          <w:sz w:val="28"/>
          <w:szCs w:val="28"/>
        </w:rPr>
        <w:t>机械作业</w:t>
      </w:r>
    </w:p>
    <w:p w14:paraId="5ACF678C" w14:textId="77777777" w:rsidR="00D630C4" w:rsidRDefault="00D630C4" w:rsidP="00D630C4">
      <w:pPr>
        <w:pStyle w:val="CM34"/>
        <w:ind w:right="138" w:firstLine="623"/>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一、本科目核算企业（建造承包商）及其内部独立核算的施工单位、机械站和运输队使用自有施工机械和运输设备进行机械作业（包括机械化施工和运输作业等）所发生的各项费用。</w:t>
      </w:r>
    </w:p>
    <w:p w14:paraId="61C44AA3"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企业及其内部独立核算的施工单位，从外单位或本企业其他内部独立核算的机械站租入施工机械发生的机械租赁费，在</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科目核算。</w:t>
      </w:r>
    </w:p>
    <w:p w14:paraId="427034D1" w14:textId="77777777" w:rsidR="00D630C4" w:rsidRDefault="00D630C4" w:rsidP="00D630C4">
      <w:pPr>
        <w:pStyle w:val="CM13"/>
        <w:ind w:right="138" w:firstLineChars="200" w:firstLine="56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二、本科目可按施工机械或运输设备的种类等进行明细核算。</w:t>
      </w:r>
    </w:p>
    <w:p w14:paraId="65A71B74"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施工企业内部独立核算的机械施工、运输单位使用自有施工机械或运输设备进行机械作业所发生的各项费用，可按成本核算对象和成本项目进行归集。</w:t>
      </w:r>
    </w:p>
    <w:p w14:paraId="56D50FB3" w14:textId="77777777" w:rsidR="00D630C4" w:rsidRDefault="00D630C4" w:rsidP="00D630C4">
      <w:pPr>
        <w:pStyle w:val="Default"/>
        <w:spacing w:line="546" w:lineRule="atLeast"/>
        <w:ind w:right="40"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成本项目一般分为：人工费、燃料及动力费、折旧及修理费、其他直接费用、间接费用（为组织和管理机械作业生产所发生的费用）。</w:t>
      </w:r>
    </w:p>
    <w:p w14:paraId="46C828B5" w14:textId="77777777" w:rsidR="00D630C4" w:rsidRDefault="00D630C4" w:rsidP="00D630C4">
      <w:pPr>
        <w:pStyle w:val="Default"/>
        <w:spacing w:line="546" w:lineRule="atLeast"/>
        <w:ind w:right="40"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三、机械作业的主要账务处理。</w:t>
      </w:r>
    </w:p>
    <w:p w14:paraId="07CE8A10" w14:textId="77777777" w:rsidR="00D630C4" w:rsidRDefault="00D630C4" w:rsidP="00D630C4">
      <w:pPr>
        <w:pStyle w:val="Default"/>
        <w:spacing w:line="546" w:lineRule="atLeast"/>
        <w:ind w:right="40" w:firstLine="4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（一）企业发生的机械作业支出，借记本科目，贷记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原材料</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应付职工薪酬</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累计折旧</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等科目。</w:t>
      </w:r>
    </w:p>
    <w:p w14:paraId="19934748"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（二）期（月）末，企业及其内部独立核算的施工单位、机械站和运输队为本单位承包的工程进行机械化施工和运输作业的成本，应转入承包工程的成本，借记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科目，贷记本科目。对外单位、专项工程等提供机械作业（包括运输设备）的成本，借记</w:t>
      </w:r>
      <w:r>
        <w:rPr>
          <w:rFonts w:ascii="Times New Roman" w:eastAsia="仿宋_GB2312" w:hAnsi="Times New Roman"/>
          <w:sz w:val="28"/>
          <w:szCs w:val="28"/>
        </w:rPr>
        <w:t>“</w:t>
      </w:r>
      <w:r>
        <w:rPr>
          <w:rFonts w:ascii="仿宋_GB2312" w:eastAsia="仿宋_GB2312" w:hAnsi="Times New Roman" w:cs="仿宋_GB2312" w:hint="eastAsia"/>
          <w:sz w:val="28"/>
          <w:szCs w:val="28"/>
        </w:rPr>
        <w:t>劳务成本</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科目，贷记本科目。</w:t>
      </w:r>
    </w:p>
    <w:p w14:paraId="422242DD" w14:textId="77777777" w:rsidR="00D630C4" w:rsidRDefault="00D630C4" w:rsidP="00D630C4">
      <w:pPr>
        <w:pStyle w:val="CM78"/>
        <w:spacing w:line="546" w:lineRule="atLeast"/>
        <w:ind w:left="625"/>
        <w:rPr>
          <w:rFonts w:ascii="仿宋_GB2312" w:eastAsia="仿宋_GB2312" w:hAnsi="Times New Roman" w:cs="仿宋_GB2312"/>
          <w:sz w:val="28"/>
          <w:szCs w:val="28"/>
        </w:rPr>
      </w:pPr>
      <w:r>
        <w:rPr>
          <w:rFonts w:ascii="仿宋_GB2312" w:eastAsia="仿宋_GB2312" w:hAnsi="Times New Roman" w:cs="仿宋_GB2312" w:hint="eastAsia"/>
          <w:sz w:val="28"/>
          <w:szCs w:val="28"/>
        </w:rPr>
        <w:t>四、本科目期末应无余额。</w:t>
      </w:r>
    </w:p>
    <w:p w14:paraId="376BEA7B" w14:textId="77777777" w:rsidR="00D630C4" w:rsidRDefault="00D630C4" w:rsidP="00D630C4">
      <w:pPr>
        <w:pStyle w:val="CM73"/>
        <w:jc w:val="center"/>
        <w:rPr>
          <w:rFonts w:ascii="宋体" w:eastAsia="宋体" w:hAnsi="Times New Roman" w:cs="宋体"/>
          <w:sz w:val="30"/>
          <w:szCs w:val="30"/>
        </w:rPr>
      </w:pPr>
      <w:r>
        <w:rPr>
          <w:rFonts w:ascii="宋体" w:eastAsia="宋体" w:hAnsi="Times New Roman" w:cs="宋体" w:hint="eastAsia"/>
          <w:sz w:val="30"/>
          <w:szCs w:val="30"/>
        </w:rPr>
        <w:t>损益类</w:t>
      </w:r>
      <w:r>
        <w:rPr>
          <w:rFonts w:ascii="宋体" w:eastAsia="宋体" w:hAnsi="Times New Roman" w:cs="宋体"/>
          <w:sz w:val="30"/>
          <w:szCs w:val="30"/>
        </w:rPr>
        <w:t xml:space="preserve"> </w:t>
      </w:r>
    </w:p>
    <w:p w14:paraId="420F547D" w14:textId="77777777" w:rsidR="00D630C4" w:rsidRDefault="00D630C4" w:rsidP="00D630C4">
      <w:pPr>
        <w:pStyle w:val="CM22"/>
        <w:rPr>
          <w:rFonts w:ascii="仿宋_GB2312" w:eastAsia="仿宋_GB2312" w:hAnsi="Times New Roman" w:cs="仿宋_GB2312"/>
          <w:sz w:val="28"/>
          <w:szCs w:val="28"/>
        </w:rPr>
      </w:pPr>
      <w:r>
        <w:rPr>
          <w:rFonts w:ascii="Times New Roman" w:eastAsia="宋体" w:hAnsi="Times New Roman"/>
          <w:b/>
          <w:bCs/>
          <w:sz w:val="28"/>
          <w:szCs w:val="28"/>
        </w:rPr>
        <w:t xml:space="preserve">6001 </w:t>
      </w:r>
      <w:r>
        <w:rPr>
          <w:rFonts w:ascii="仿宋_GB2312" w:eastAsia="仿宋_GB2312" w:hAnsi="Times New Roman" w:cs="仿宋_GB2312" w:hint="eastAsia"/>
          <w:sz w:val="28"/>
          <w:szCs w:val="28"/>
        </w:rPr>
        <w:t>主营业务收入</w:t>
      </w:r>
    </w:p>
    <w:p w14:paraId="61291726"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一、本科目核算企业确认的销售商品、提供劳务等主营业务的收入。</w:t>
      </w:r>
    </w:p>
    <w:p w14:paraId="006A018C"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二、本科目可按主营业务的种类进行明细核算。</w:t>
      </w:r>
    </w:p>
    <w:p w14:paraId="7DCA0B2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三、主营业务收入的主要账务处理。</w:t>
      </w:r>
    </w:p>
    <w:p w14:paraId="4B1BF42C"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（一）企业销售商品或提供劳务实现的收入，应按实际收到或应收的金额，借记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应收账款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应收票据</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等科目，按确认的营业收入，贷记本科目。</w:t>
      </w:r>
    </w:p>
    <w:p w14:paraId="0A732C0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采用递延方式分期收款、具有融资性质的销售商品或提供劳务满足收入确认条件的，按应收合同或协议价款，借记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长期应收款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科目，按应收合同或协议价款的公允价值（折现值），贷记本科目，按其差额，贷记</w:t>
      </w:r>
      <w:r>
        <w:rPr>
          <w:rFonts w:ascii="Times New Roman" w:eastAsia="仿宋_GB2312" w:hAnsi="Times New Roman"/>
          <w:sz w:val="28"/>
          <w:szCs w:val="28"/>
        </w:rPr>
        <w:t>“</w:t>
      </w:r>
      <w:r>
        <w:rPr>
          <w:rFonts w:ascii="仿宋_GB2312" w:eastAsia="仿宋_GB2312" w:hAnsi="Times New Roman" w:cs="仿宋_GB2312" w:hint="eastAsia"/>
          <w:sz w:val="28"/>
          <w:szCs w:val="28"/>
        </w:rPr>
        <w:t>未实现融资收益</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F6BEB0A"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以库存商品进行非货币性资产交换（非货币性资产交换具有商业实质且公允价值能够可靠计量）、债务重组的，应按该产成品、商品的公允价值，借记有关科目，贷记本科目。</w:t>
      </w:r>
    </w:p>
    <w:p w14:paraId="6A24E62D"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本期（月）发生的销售退回或销售折让，按应冲减的营业收入，借记本科目，按实际支付或应退还的金额，贷记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应收账款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49F3CD1"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上述销售业务涉及增值税销项税额的，还应进行相应的处理。</w:t>
      </w:r>
    </w:p>
    <w:p w14:paraId="0BECEA0E" w14:textId="77777777" w:rsidR="00D630C4" w:rsidRDefault="00D630C4" w:rsidP="00D630C4">
      <w:pPr>
        <w:pStyle w:val="CM22"/>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（二）确认建造合同收入，按应确认的合同费用，借记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w:t>
      </w:r>
    </w:p>
    <w:p w14:paraId="1ADBE38B" w14:textId="77777777" w:rsidR="00D630C4" w:rsidRDefault="00D630C4" w:rsidP="00D630C4">
      <w:pPr>
        <w:pStyle w:val="CM20"/>
        <w:ind w:right="138"/>
        <w:rPr>
          <w:rFonts w:ascii="仿宋_GB2312" w:eastAsia="仿宋_GB2312" w:hAnsi="Times New Roman" w:cs="仿宋_GB2312"/>
          <w:sz w:val="28"/>
          <w:szCs w:val="28"/>
        </w:rPr>
      </w:pPr>
      <w:r>
        <w:rPr>
          <w:rFonts w:ascii="仿宋_GB2312" w:eastAsia="仿宋_GB2312" w:hAnsi="Times New Roman" w:cs="仿宋_GB2312" w:hint="eastAsia"/>
          <w:sz w:val="28"/>
          <w:szCs w:val="28"/>
        </w:rPr>
        <w:t>成本</w:t>
      </w:r>
      <w:r>
        <w:rPr>
          <w:rFonts w:ascii="Times New Roman" w:eastAsia="仿宋_GB2312" w:hAnsi="Times New Roman"/>
          <w:sz w:val="28"/>
          <w:szCs w:val="28"/>
        </w:rPr>
        <w:t>”</w:t>
      </w:r>
      <w:r>
        <w:rPr>
          <w:rFonts w:ascii="仿宋_GB2312" w:eastAsia="仿宋_GB2312" w:hAnsi="Times New Roman" w:cs="仿宋_GB2312" w:hint="eastAsia"/>
          <w:sz w:val="28"/>
          <w:szCs w:val="28"/>
        </w:rPr>
        <w:t>科目，按应确认的合同收入，贷记本科目，按其差额，借记或贷记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合同毛利</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0B517C7"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四、期末，应将本科目的余额转入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科目，结转后本科目应无余额。</w:t>
      </w:r>
    </w:p>
    <w:p w14:paraId="3E5DDD53"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6011  </w:t>
      </w:r>
      <w:r>
        <w:rPr>
          <w:rFonts w:ascii="仿宋_GB2312" w:eastAsia="仿宋_GB2312" w:hAnsi="Times New Roman" w:cs="仿宋_GB2312" w:hint="eastAsia"/>
          <w:sz w:val="28"/>
          <w:szCs w:val="28"/>
        </w:rPr>
        <w:t>利息收入</w:t>
      </w:r>
    </w:p>
    <w:p w14:paraId="32007D3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本科目核算企业（金融）确认的利息收入，包括发放的各类贷款（银团贷款、贸易融资、贴现和转贴现融出资金、协议透支、信用卡透支、转贷款、垫款等）、与其他金融机构（中央银行、同业等）之间发生资金往来业务、买入返售金融资产等实现的利息收入等。</w:t>
      </w:r>
    </w:p>
    <w:p w14:paraId="57CF7D0B"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二、本科目可按业务类别进行明细核算。</w:t>
      </w:r>
    </w:p>
    <w:p w14:paraId="4DFCEA5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三、资产负债表日，企业应按合同利率计算确定的应收未收利息，借记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应收利息</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等科目，按摊余成本和实际利率计算确定的利息收入，贷记本科目，按其差额，借记或贷记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贷款</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AB6A8D3"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实际利率与合同利率差异较小的，也可以采用合同利率计算确定利息收入。</w:t>
      </w:r>
    </w:p>
    <w:p w14:paraId="4C77A0B6"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245D3BE9"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6021 </w:t>
      </w:r>
      <w:r>
        <w:rPr>
          <w:rFonts w:ascii="仿宋_GB2312" w:eastAsia="仿宋_GB2312" w:hAnsi="Times New Roman" w:cs="仿宋_GB2312" w:hint="eastAsia"/>
          <w:sz w:val="28"/>
          <w:szCs w:val="28"/>
        </w:rPr>
        <w:t>手续费及佣金收入</w:t>
      </w:r>
    </w:p>
    <w:p w14:paraId="27D032A9"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金融）确认的手续费及佣金收入，包括办理结算业务、咨询业务、担保业务、代保管等代理业务以及办理受托贷款及投资业务等取得的手续费及佣金，如结算手续费收入、佣金收入、业务代办手续费收入、基金托管收入、咨询服务收入、担保收入、受托贷款手续费收入、代保管收入，代理买卖证券、代理承销证券、代理兑付证券、代理保管证券、代理保险业务等代理业务以及其他相</w:t>
      </w:r>
    </w:p>
    <w:p w14:paraId="79344F23" w14:textId="77777777" w:rsidR="00D630C4" w:rsidRDefault="00D630C4" w:rsidP="00D630C4">
      <w:pPr>
        <w:pStyle w:val="CM19"/>
        <w:ind w:left="555" w:right="140" w:hanging="555"/>
        <w:rPr>
          <w:rFonts w:ascii="仿宋_GB2312" w:eastAsia="仿宋_GB2312" w:hAnsi="Times New Roman" w:cs="仿宋_GB2312"/>
          <w:sz w:val="28"/>
          <w:szCs w:val="28"/>
        </w:rPr>
      </w:pPr>
      <w:r>
        <w:rPr>
          <w:rFonts w:ascii="仿宋_GB2312" w:eastAsia="仿宋_GB2312" w:hAnsi="Times New Roman" w:cs="仿宋_GB2312" w:hint="eastAsia"/>
          <w:sz w:val="28"/>
          <w:szCs w:val="28"/>
        </w:rPr>
        <w:t>关服务实现的手续费及佣金收入等。</w:t>
      </w:r>
    </w:p>
    <w:p w14:paraId="66CCF86F" w14:textId="77777777" w:rsidR="00D630C4" w:rsidRDefault="00D630C4" w:rsidP="00D630C4">
      <w:pPr>
        <w:pStyle w:val="CM19"/>
        <w:ind w:leftChars="100" w:left="210"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二、本科目可按手续费及佣金收入类别进行明细核算。</w:t>
      </w:r>
    </w:p>
    <w:p w14:paraId="6063AAF1" w14:textId="77777777" w:rsidR="00D630C4" w:rsidRDefault="00D630C4" w:rsidP="00D630C4">
      <w:pPr>
        <w:pStyle w:val="CM19"/>
        <w:ind w:leftChars="100" w:left="210"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三、企业确认的手续费及佣金收入，按应收的金额，借记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应收手续费及佣金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代理承销证券款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等科目，贷记本科目。实际收到手续费及佣金，借记</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应收手续费及佣金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AA1B99D"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595AA29C" w14:textId="77777777" w:rsidR="00D630C4" w:rsidRDefault="00D630C4" w:rsidP="00D630C4">
      <w:pPr>
        <w:pStyle w:val="Default"/>
        <w:spacing w:line="546" w:lineRule="atLeast"/>
        <w:ind w:right="1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6031 </w:t>
      </w:r>
      <w:r>
        <w:rPr>
          <w:rFonts w:ascii="仿宋_GB2312" w:eastAsia="仿宋_GB2312" w:hAnsi="Times New Roman" w:cs="仿宋_GB2312" w:hint="eastAsia"/>
          <w:color w:val="auto"/>
          <w:sz w:val="28"/>
          <w:szCs w:val="28"/>
        </w:rPr>
        <w:t>保费收入</w:t>
      </w:r>
    </w:p>
    <w:p w14:paraId="051D2E11"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一、本科目核算企业（保险）确认的保费收入。</w:t>
      </w:r>
    </w:p>
    <w:p w14:paraId="4B7CEB29"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二、本科目可按保险合同和险种进行明细核算。</w:t>
      </w:r>
    </w:p>
    <w:p w14:paraId="12566B73"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三、保费收入的主要账务处理。</w:t>
      </w:r>
    </w:p>
    <w:p w14:paraId="1864CF4E" w14:textId="77777777" w:rsidR="00D630C4" w:rsidRDefault="00D630C4" w:rsidP="00D630C4">
      <w:pPr>
        <w:pStyle w:val="Default"/>
        <w:spacing w:line="546" w:lineRule="atLeast"/>
        <w:ind w:right="1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（一）企业确认的原保险合同保费收入，借记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应收保费</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预</w:t>
      </w:r>
      <w:r>
        <w:rPr>
          <w:rFonts w:ascii="仿宋_GB2312" w:eastAsia="仿宋_GB2312" w:hAnsi="Times New Roman" w:cs="仿宋_GB2312" w:hint="eastAsia"/>
          <w:sz w:val="28"/>
          <w:szCs w:val="28"/>
        </w:rPr>
        <w:t>收保费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6E71A379"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非寿险原保险合同提前解除的，按原保险合同约定计算确定的应退还投保人的金额，借记本科目，贷记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1899456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（二）确认的再保险合同分保费收入，借记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4B076DC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收到分保业务账单，按账单标明的金额对分保费收入进行调整，按调整增加额，借记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科目，贷记本科目；调整减少额做相反的会计分录。</w:t>
      </w:r>
    </w:p>
    <w:p w14:paraId="770B7FCC"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w:t>
      </w:r>
      <w:r>
        <w:rPr>
          <w:rFonts w:ascii="仿宋_GB2312" w:eastAsia="仿宋_GB2312" w:hAnsi="Times New Roman" w:cs="仿宋_GB2312" w:hint="eastAsia"/>
          <w:sz w:val="28"/>
          <w:szCs w:val="28"/>
        </w:rPr>
        <w:lastRenderedPageBreak/>
        <w:t>目无余额。</w:t>
      </w:r>
    </w:p>
    <w:p w14:paraId="0F32B5C4" w14:textId="77777777" w:rsidR="00D630C4" w:rsidRDefault="00D630C4" w:rsidP="00D630C4">
      <w:pPr>
        <w:pStyle w:val="CM67"/>
        <w:rPr>
          <w:rFonts w:ascii="Times New Roman" w:eastAsia="仿宋_GB2312" w:hAnsi="Times New Roman"/>
          <w:b/>
          <w:bCs/>
          <w:sz w:val="28"/>
          <w:szCs w:val="28"/>
        </w:rPr>
      </w:pPr>
    </w:p>
    <w:p w14:paraId="2773CF09" w14:textId="77777777" w:rsidR="00D630C4" w:rsidRDefault="00D630C4" w:rsidP="00D630C4">
      <w:pPr>
        <w:pStyle w:val="CM67"/>
        <w:rPr>
          <w:rFonts w:ascii="仿宋_GB2312" w:eastAsia="仿宋_GB2312" w:hAnsi="Times New Roman" w:cs="仿宋_GB2312"/>
          <w:sz w:val="28"/>
          <w:szCs w:val="28"/>
        </w:rPr>
      </w:pPr>
      <w:r>
        <w:rPr>
          <w:rFonts w:ascii="Times New Roman" w:eastAsia="仿宋_GB2312" w:hAnsi="Times New Roman"/>
          <w:b/>
          <w:bCs/>
          <w:sz w:val="28"/>
          <w:szCs w:val="28"/>
        </w:rPr>
        <w:t xml:space="preserve">6041 </w:t>
      </w:r>
      <w:r>
        <w:rPr>
          <w:rFonts w:ascii="仿宋_GB2312" w:eastAsia="仿宋_GB2312" w:hAnsi="Times New Roman" w:cs="仿宋_GB2312" w:hint="eastAsia"/>
          <w:sz w:val="28"/>
          <w:szCs w:val="28"/>
        </w:rPr>
        <w:t>租赁收入</w:t>
      </w:r>
    </w:p>
    <w:p w14:paraId="20DA53E7"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一、本科目核算企业（租赁）确认的租赁收入。</w:t>
      </w:r>
    </w:p>
    <w:p w14:paraId="72D19144"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二、本科目可按租赁资产类别进行明细核算。</w:t>
      </w:r>
    </w:p>
    <w:p w14:paraId="6CBEE16D"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三、企业确认的租赁收入，借记</w:t>
      </w:r>
      <w:r>
        <w:rPr>
          <w:rFonts w:ascii="Times New Roman" w:eastAsia="仿宋_GB2312" w:hAnsi="Times New Roman"/>
          <w:sz w:val="28"/>
          <w:szCs w:val="28"/>
        </w:rPr>
        <w:t>“</w:t>
      </w:r>
      <w:r>
        <w:rPr>
          <w:rFonts w:ascii="仿宋_GB2312" w:eastAsia="仿宋_GB2312" w:hAnsi="Times New Roman" w:cs="仿宋_GB2312" w:hint="eastAsia"/>
          <w:sz w:val="28"/>
          <w:szCs w:val="28"/>
        </w:rPr>
        <w:t>未实现融资收益</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等科目，贷记本科目。取得或有租金，借记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71DAF906" w14:textId="77777777" w:rsidR="00D630C4" w:rsidRDefault="00D630C4" w:rsidP="00D630C4">
      <w:pPr>
        <w:pStyle w:val="CM67"/>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789040B4" w14:textId="77777777" w:rsidR="00D630C4" w:rsidRDefault="00D630C4" w:rsidP="00D630C4">
      <w:pPr>
        <w:pStyle w:val="CM22"/>
        <w:rPr>
          <w:rFonts w:ascii="Times New Roman" w:eastAsia="仿宋_GB2312" w:hAnsi="Times New Roman"/>
          <w:b/>
          <w:bCs/>
          <w:sz w:val="28"/>
          <w:szCs w:val="28"/>
        </w:rPr>
      </w:pPr>
    </w:p>
    <w:p w14:paraId="510F3E63"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6051 </w:t>
      </w:r>
      <w:r>
        <w:rPr>
          <w:rFonts w:ascii="仿宋_GB2312" w:eastAsia="仿宋_GB2312" w:hAnsi="Times New Roman" w:cs="仿宋_GB2312" w:hint="eastAsia"/>
          <w:sz w:val="28"/>
          <w:szCs w:val="28"/>
        </w:rPr>
        <w:t>其他业务收入</w:t>
      </w:r>
    </w:p>
    <w:p w14:paraId="50D945B0" w14:textId="77777777" w:rsidR="00D630C4" w:rsidRDefault="00D630C4" w:rsidP="00D630C4">
      <w:pPr>
        <w:pStyle w:val="CM2"/>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除主营业务活动以外的其他经营活动实现的收入，包括出租固定资产、出租无形资产、出租包装物和商品、销售材料、用材料进行非货币性交换（非货币性资产交换具有商业实质且公允价值能够可靠计量）或债务重组等实现的收入。</w:t>
      </w:r>
    </w:p>
    <w:p w14:paraId="3A53561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企业（保险）经营受托管理业务收取的管理费收入，也通过本科目核算。</w:t>
      </w:r>
    </w:p>
    <w:p w14:paraId="2A1A9270" w14:textId="77777777" w:rsidR="00D630C4" w:rsidRDefault="00D630C4" w:rsidP="00D630C4">
      <w:pPr>
        <w:pStyle w:val="CM9"/>
        <w:ind w:leftChars="100" w:left="21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二、本科目可按其他业务收入种类进行明细核算。</w:t>
      </w:r>
    </w:p>
    <w:p w14:paraId="5870A39C" w14:textId="77777777" w:rsidR="00D630C4" w:rsidRDefault="00D630C4" w:rsidP="00D630C4">
      <w:pPr>
        <w:pStyle w:val="CM9"/>
        <w:ind w:leftChars="100" w:left="21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三、企业确认的其他业务收入，借记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其他应收款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等科目，贷记本科目等。</w:t>
      </w:r>
    </w:p>
    <w:p w14:paraId="7441781A" w14:textId="77777777" w:rsidR="00D630C4" w:rsidRDefault="00D630C4" w:rsidP="00D630C4">
      <w:pPr>
        <w:pStyle w:val="CM9"/>
        <w:ind w:leftChars="100" w:left="210"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w:t>
      </w:r>
      <w:r>
        <w:rPr>
          <w:rFonts w:ascii="仿宋_GB2312" w:eastAsia="仿宋_GB2312" w:hAnsi="Times New Roman" w:cs="仿宋_GB2312" w:hint="eastAsia"/>
          <w:sz w:val="28"/>
          <w:szCs w:val="28"/>
        </w:rPr>
        <w:lastRenderedPageBreak/>
        <w:t>目应无余额。</w:t>
      </w:r>
    </w:p>
    <w:p w14:paraId="0EA974E2" w14:textId="77777777" w:rsidR="00D630C4" w:rsidRDefault="00D630C4" w:rsidP="00D630C4">
      <w:pPr>
        <w:pStyle w:val="Default"/>
        <w:spacing w:line="546" w:lineRule="atLeast"/>
        <w:ind w:right="3313"/>
        <w:rPr>
          <w:rFonts w:ascii="Times New Roman" w:eastAsia="仿宋_GB2312" w:hAnsi="Times New Roman" w:cs="Times New Roman"/>
          <w:b/>
          <w:bCs/>
          <w:color w:val="auto"/>
          <w:sz w:val="28"/>
          <w:szCs w:val="28"/>
        </w:rPr>
      </w:pPr>
    </w:p>
    <w:p w14:paraId="15F5CA43" w14:textId="77777777" w:rsidR="00D630C4" w:rsidRDefault="00D630C4" w:rsidP="00D630C4">
      <w:pPr>
        <w:pStyle w:val="Default"/>
        <w:spacing w:line="546" w:lineRule="atLeast"/>
        <w:ind w:right="331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6061 </w:t>
      </w:r>
      <w:r>
        <w:rPr>
          <w:rFonts w:ascii="仿宋_GB2312" w:eastAsia="仿宋_GB2312" w:hAnsi="Times New Roman" w:cs="仿宋_GB2312" w:hint="eastAsia"/>
          <w:color w:val="auto"/>
          <w:sz w:val="28"/>
          <w:szCs w:val="28"/>
        </w:rPr>
        <w:t>汇兑损益</w:t>
      </w:r>
    </w:p>
    <w:p w14:paraId="115D1CBF"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一、本科目核算企业（金融）发生的外币交易因汇率变动而产生的汇兑损益。</w:t>
      </w:r>
    </w:p>
    <w:p w14:paraId="3C248BE7"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二、采用统账制核算的，各外币货币性项目的外币期（月）末余额，</w:t>
      </w:r>
      <w:r>
        <w:rPr>
          <w:rFonts w:ascii="仿宋_GB2312" w:eastAsia="仿宋_GB2312" w:hAnsi="Times New Roman" w:cs="仿宋_GB2312" w:hint="eastAsia"/>
          <w:sz w:val="28"/>
          <w:szCs w:val="28"/>
        </w:rPr>
        <w:t>应当按照期（月）末汇率折算为记账本位币金额。按照期（月）末汇率折算的记账本位币金额与原账面记账本位币金额之间的差额，如为汇兑收益，借记有关科目，贷记本科目；如为汇兑损失做相反的会计分录。</w:t>
      </w:r>
    </w:p>
    <w:p w14:paraId="6117DF74"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采用分账制核算的，期（月）末将所有以外币表示的</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货币兑换</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科目余额按期（月）末汇率折算为记账本位币金额，折算后的记账本位币金额与</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货币兑换</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记账本位币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科目余额进行比较，为贷方差额的，借记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货币兑换</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记账本位币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汇兑损益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科目；为借方差额的做相反的会计分录。</w:t>
      </w:r>
    </w:p>
    <w:p w14:paraId="6BE44A5E" w14:textId="77777777" w:rsidR="00D630C4" w:rsidRDefault="00D630C4" w:rsidP="00D630C4">
      <w:pPr>
        <w:pStyle w:val="CM73"/>
        <w:spacing w:line="546" w:lineRule="atLeast"/>
        <w:ind w:right="138" w:firstLine="628"/>
        <w:rPr>
          <w:rFonts w:ascii="仿宋_GB2312" w:eastAsia="仿宋_GB2312" w:hAnsi="Times New Roman" w:cs="仿宋_GB2312"/>
          <w:sz w:val="28"/>
          <w:szCs w:val="28"/>
        </w:rPr>
      </w:pPr>
      <w:r>
        <w:rPr>
          <w:rFonts w:ascii="仿宋_GB2312" w:eastAsia="仿宋_GB2312" w:hAnsi="Times New Roman" w:cs="仿宋_GB2312" w:hint="eastAsia"/>
          <w:sz w:val="28"/>
          <w:szCs w:val="28"/>
        </w:rPr>
        <w:t>三、期末，应将本科目的余额转入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科目，结转后本科目应无余额。</w:t>
      </w:r>
    </w:p>
    <w:p w14:paraId="3005E133"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6101 </w:t>
      </w:r>
      <w:r>
        <w:rPr>
          <w:rFonts w:ascii="仿宋_GB2312" w:eastAsia="仿宋_GB2312" w:hAnsi="Times New Roman" w:cs="仿宋_GB2312" w:hint="eastAsia"/>
          <w:sz w:val="28"/>
          <w:szCs w:val="28"/>
        </w:rPr>
        <w:t>公允价值变动损益</w:t>
      </w:r>
    </w:p>
    <w:p w14:paraId="6C9D2E7A"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一、本科目核算企业交易性金融资产、交易性金融负债，以及采用公允价值模式计量的投资性房地产、衍生工具、套期保值业务等公允价值变动形成的应计入当期损益的利得或损失。指定为以公</w:t>
      </w:r>
      <w:r>
        <w:rPr>
          <w:rFonts w:ascii="仿宋_GB2312" w:eastAsia="仿宋_GB2312" w:hAnsi="Times New Roman" w:cs="仿宋_GB2312" w:hint="eastAsia"/>
          <w:sz w:val="28"/>
          <w:szCs w:val="28"/>
        </w:rPr>
        <w:lastRenderedPageBreak/>
        <w:t>允价值计量且其变动计入当期损益的金融资产或金融负债公允价值变动形成的应计入当期损益的利得或损失，也在本科目核算。</w:t>
      </w:r>
    </w:p>
    <w:p w14:paraId="650CED10"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企业开展套期保值业务的，有效套期关系中套期工具或被套期项目的公允价值变动，也可以单独设置</w:t>
      </w:r>
      <w:r>
        <w:rPr>
          <w:rFonts w:ascii="Times New Roman" w:eastAsia="仿宋_GB2312" w:hAnsi="Times New Roman" w:cs="Times New Roman"/>
          <w:color w:val="auto"/>
          <w:sz w:val="28"/>
          <w:szCs w:val="28"/>
        </w:rPr>
        <w:t xml:space="preserve">“6102 </w:t>
      </w:r>
      <w:r>
        <w:rPr>
          <w:rFonts w:ascii="仿宋_GB2312" w:eastAsia="仿宋_GB2312" w:hAnsi="Times New Roman" w:cs="仿宋_GB2312" w:hint="eastAsia"/>
          <w:color w:val="auto"/>
          <w:sz w:val="28"/>
          <w:szCs w:val="28"/>
        </w:rPr>
        <w:t>套期损益</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科目核算。</w:t>
      </w:r>
    </w:p>
    <w:p w14:paraId="3BEF6AA3"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二、本科目可按交易性金融资产、交易性金融负债、投资性房地产等进行明细核算。</w:t>
      </w:r>
    </w:p>
    <w:p w14:paraId="6ADAB14D"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三、公允价值变动损益的主要账务处理。</w:t>
      </w:r>
    </w:p>
    <w:p w14:paraId="62D0B8C1"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（一）资产负债表日，企业应按交易性金融资产的公允价值高于其账面余额的差额，借记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交易性金融资产</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公允价值变动</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w:t>
      </w:r>
      <w:r>
        <w:rPr>
          <w:rFonts w:ascii="仿宋_GB2312" w:eastAsia="仿宋_GB2312" w:hAnsi="Times New Roman" w:cs="仿宋_GB2312" w:hint="eastAsia"/>
          <w:sz w:val="28"/>
          <w:szCs w:val="28"/>
        </w:rPr>
        <w:t>贷记本科目；公允价值低于其账面余额的差额做相反的会计分录。</w:t>
      </w:r>
    </w:p>
    <w:p w14:paraId="7C4C9F99"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出售交易性金融资产时，应按实际收到的金额，借记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等科目，按该金融资产的账面余额，贷记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交易性金融资产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科目，按其差额，借记或贷记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科目。同时，将原计入该金融资产的公允价值变动转出，借记或贷记本科目，贷记或借记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2293A878" w14:textId="77777777" w:rsidR="00D630C4" w:rsidRDefault="00D630C4" w:rsidP="00D630C4">
      <w:pPr>
        <w:pStyle w:val="CM31"/>
        <w:ind w:right="138" w:firstLine="628"/>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（二）资产负债表日，交易性金融负债的公允价值高于其账面余额的差额，借记本科目，贷记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交易性金融负债</w:t>
      </w:r>
      <w:r>
        <w:rPr>
          <w:rFonts w:ascii="Times New Roman" w:eastAsia="仿宋_GB2312" w:hAnsi="Times New Roman"/>
          <w:sz w:val="28"/>
          <w:szCs w:val="28"/>
        </w:rPr>
        <w:t>”</w:t>
      </w:r>
      <w:r>
        <w:rPr>
          <w:rFonts w:ascii="仿宋_GB2312" w:eastAsia="仿宋_GB2312" w:hAnsi="Times New Roman" w:cs="仿宋_GB2312" w:hint="eastAsia"/>
          <w:sz w:val="28"/>
          <w:szCs w:val="28"/>
        </w:rPr>
        <w:t>等科目；公允价值低于其账面余额的差额做相反的会计分录。</w:t>
      </w:r>
    </w:p>
    <w:p w14:paraId="15B2CF0D"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处置交易性金融负债，应按该金融负债的账面余额，借记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交易性金融负债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科目，按实际支付的金额，贷记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结算备付金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等科目，按其差额，贷记或借记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科目。同时，按该金融负债的公允价值变动，贷记或借记本科</w:t>
      </w:r>
      <w:r>
        <w:rPr>
          <w:rFonts w:ascii="仿宋_GB2312" w:eastAsia="仿宋_GB2312" w:hAnsi="Times New Roman" w:cs="仿宋_GB2312" w:hint="eastAsia"/>
          <w:sz w:val="28"/>
          <w:szCs w:val="28"/>
        </w:rPr>
        <w:lastRenderedPageBreak/>
        <w:t>目，借记或贷记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07BDD5D5"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（三）采用公允价值模式计量的投资性房地产、衍生工具、套期工具、被套期项目等形成的公允价值变动，按照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投资性房地产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衍生工具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套期工具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被套期项目</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等科目的相关规定进行处理。</w:t>
      </w:r>
    </w:p>
    <w:p w14:paraId="18C0F106"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3CEB1FD6"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6111 </w:t>
      </w:r>
      <w:r>
        <w:rPr>
          <w:rFonts w:ascii="仿宋_GB2312" w:eastAsia="仿宋_GB2312" w:hAnsi="Times New Roman" w:cs="仿宋_GB2312" w:hint="eastAsia"/>
          <w:sz w:val="28"/>
          <w:szCs w:val="28"/>
        </w:rPr>
        <w:t>投资收益</w:t>
      </w:r>
    </w:p>
    <w:p w14:paraId="23313879"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一、本科目核算企业确认的投资收益或投资损失。</w:t>
      </w:r>
    </w:p>
    <w:p w14:paraId="32504AB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企业（金融）债券投资持有期间取得的利息收入，也可在</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利息收入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科目核算。</w:t>
      </w:r>
    </w:p>
    <w:p w14:paraId="4D4FBA6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二、本科目可按投资项目进行明细核算。</w:t>
      </w:r>
    </w:p>
    <w:p w14:paraId="06AFE747"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三、投资收益的主要账务处理。</w:t>
      </w:r>
    </w:p>
    <w:p w14:paraId="2548560D"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（一）长期股权投资采用成本法核算的，企业应按被投资单位宣告发放的现金股利或利润中属于本企业的部分，借记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科目，贷记本科目；属于被投资单位在取得本企业投资前实现净利润的分配额，应作为投资成本的收回，借记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应收股利</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31A0098"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长期股权投资采用权益法核算的，应按根据被投资单位实现的净利润或经调整的净利润计算应享有的份额，借记</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损益调整</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科目，贷记本科目。被投资单位发生净亏损的，比照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长期股权投资</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科目的相关规定进行处理。</w:t>
      </w:r>
    </w:p>
    <w:p w14:paraId="7795B92E"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处置长期股权投资时，应按实际收到的金额，借记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等科目，按其账面余额，贷记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w:t>
      </w:r>
      <w:r>
        <w:rPr>
          <w:rFonts w:ascii="Times New Roman" w:eastAsia="仿宋_GB2312" w:hAnsi="Times New Roman"/>
          <w:sz w:val="28"/>
          <w:szCs w:val="28"/>
        </w:rPr>
        <w:t>”</w:t>
      </w:r>
      <w:r>
        <w:rPr>
          <w:rFonts w:ascii="仿宋_GB2312" w:eastAsia="仿宋_GB2312" w:hAnsi="Times New Roman" w:cs="仿宋_GB2312" w:hint="eastAsia"/>
          <w:sz w:val="28"/>
          <w:szCs w:val="28"/>
        </w:rPr>
        <w:t>科目，按尚未领取的现金股利或利润，贷记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应收股利</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科目，按其差额，贷记或借记本科目。已计提减值准备的，还应同时结转减值准备。</w:t>
      </w:r>
    </w:p>
    <w:p w14:paraId="45EE247A"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处置采用权益法核算的长期股权投资，除上述规定外，还应结转原记入资本公积的相关金额，借记或贷记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科目，贷记或借记本科目。</w:t>
      </w:r>
    </w:p>
    <w:p w14:paraId="5BFA4571"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持有交易性金融资产、持有至到期投资、可供出售金融资产期间取得的投资收益以及处置交易性金融资产、交易性金融负债、指定为以公允价值计量且其变动计入当期损益的金融资产或金融负债、持有至到期投资、可供出售金融资产实现的损益，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交易性金融资产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持有至到期投资</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可供出售金融资产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交易性金融负债</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等科目的相关规定进行处理。</w:t>
      </w:r>
    </w:p>
    <w:p w14:paraId="2B46FA2F"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科目，本科目结转后应无余额。</w:t>
      </w:r>
    </w:p>
    <w:p w14:paraId="5CF8B9C2"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6201 </w:t>
      </w:r>
      <w:r>
        <w:rPr>
          <w:rFonts w:ascii="仿宋_GB2312" w:eastAsia="仿宋_GB2312" w:hAnsi="Times New Roman" w:cs="仿宋_GB2312" w:hint="eastAsia"/>
          <w:sz w:val="28"/>
          <w:szCs w:val="28"/>
        </w:rPr>
        <w:t>摊回保险责任准备金</w:t>
      </w:r>
    </w:p>
    <w:p w14:paraId="4CFB3BC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一、本科目核算企业（再保险分出人）从事再保险业务应向再保险接受人摊回的保险责任准备金，包括未决赔款准备金、寿险责任准备金、长期健康险责任准备金。</w:t>
      </w:r>
    </w:p>
    <w:p w14:paraId="5D30A47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企业（再保险分出人）也可以单独设置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摊回未决赔款准备金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摊回寿险责任准备金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摊回长期健康险责任准备金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E2185E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二、本科目可按保险责任准备金类别和险种进行明细核算。</w:t>
      </w:r>
    </w:p>
    <w:p w14:paraId="5719C1C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三、摊回保险责任准备金的主要账务处理。</w:t>
      </w:r>
    </w:p>
    <w:p w14:paraId="122B1216"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（一）企业在提取原保险合同保险责任准备金的当期，应按相关再保险合同约定计算确定的应向再保险接受人摊回的保险责任准备金，借记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应收分保合同准备金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19618AF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对原保险合同保险责任准备金进行充足性测试补提保险责任准备金，应按相关再保险合同约定计算确定的应收分保保险责任准备金的相应增加额，借记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应收分保合同准备金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4E1D0FAE"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（二）在确定支付赔付款项金额或实际发生理赔费用而冲减原保险合同相应保险责任准备金余额的当期，应按相关应收分保保险责任准备金的相应冲减金额，借记本科目，贷记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应收分保合同准备金</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4BEF59E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（三）在寿险原保险合同提前解除而转销相关寿险责任准备金、长期健康险责任准备金余额的当期，应按相关应收分保保险责任准备金余额，借记本科目，贷记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应收分保合同准备金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858EF00"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46D5A50C" w14:textId="77777777" w:rsidR="00D630C4" w:rsidRDefault="00D630C4" w:rsidP="00D630C4">
      <w:pPr>
        <w:pStyle w:val="CM3"/>
        <w:rPr>
          <w:rFonts w:ascii="仿宋_GB2312" w:eastAsia="仿宋_GB2312" w:hAnsi="Times New Roman" w:cs="仿宋_GB2312"/>
          <w:sz w:val="28"/>
          <w:szCs w:val="28"/>
        </w:rPr>
      </w:pPr>
      <w:r>
        <w:rPr>
          <w:rFonts w:ascii="Times New Roman" w:eastAsia="仿宋_GB2312" w:hAnsi="Times New Roman"/>
          <w:b/>
          <w:bCs/>
          <w:sz w:val="28"/>
          <w:szCs w:val="28"/>
        </w:rPr>
        <w:t xml:space="preserve">6202 </w:t>
      </w:r>
      <w:r>
        <w:rPr>
          <w:rFonts w:ascii="仿宋_GB2312" w:eastAsia="仿宋_GB2312" w:hAnsi="Times New Roman" w:cs="仿宋_GB2312" w:hint="eastAsia"/>
          <w:sz w:val="28"/>
          <w:szCs w:val="28"/>
        </w:rPr>
        <w:t>摊回赔付支出</w:t>
      </w:r>
    </w:p>
    <w:p w14:paraId="0D29933B"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一、本科目核算企业（再保险分出人）向再保险接受人摊回的赔付成本。企业（再保险分出人）也可以单独设置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摊回赔款支出</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摊回年金给付</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摊回满期给付</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摊回死伤医疗给付</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F01F80F"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二、本科目可按险种进行明细核算。</w:t>
      </w:r>
    </w:p>
    <w:p w14:paraId="5995FEB6"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三、摊回赔付支出的主要账务处理。</w:t>
      </w:r>
    </w:p>
    <w:p w14:paraId="6A596CD9"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（一）企业在确定支付赔付款项金额或实际发生理赔费用而确认原保险合同赔付成本的当期，应按相关再保险合同约定计算确定的应向再保险接受人摊回的赔付成本金额，借记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3B1ADC8"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（二）在因取得和处置损余物资、确认和收到应收代位追偿款等而调整原保险合同赔付成本的当期，应按相关再保险合同约定计算确定的摊回赔付成本的调整金额，借记或贷记本科目，贷记或借记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264892D" w14:textId="77777777" w:rsidR="00D630C4" w:rsidRDefault="00D630C4" w:rsidP="00D630C4">
      <w:pPr>
        <w:pStyle w:val="Default"/>
        <w:spacing w:line="546" w:lineRule="atLeast"/>
        <w:ind w:firstLine="28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（三）对于超额赔款再保险等非比例再保险合同，计算确定应向再保险接受人摊回的赔付成本的，应按摊回的赔付成本金额，借记</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应收分保账款</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科目，贷记本科目。</w:t>
      </w:r>
    </w:p>
    <w:p w14:paraId="75EF7409"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7E4384A9" w14:textId="77777777" w:rsidR="00D630C4" w:rsidRDefault="00D630C4" w:rsidP="00D630C4">
      <w:pPr>
        <w:pStyle w:val="CM3"/>
        <w:rPr>
          <w:rFonts w:ascii="仿宋_GB2312" w:eastAsia="仿宋_GB2312" w:hAnsi="Times New Roman" w:cs="仿宋_GB2312"/>
          <w:sz w:val="28"/>
          <w:szCs w:val="28"/>
        </w:rPr>
      </w:pPr>
      <w:r>
        <w:rPr>
          <w:rFonts w:ascii="Times New Roman" w:eastAsia="仿宋_GB2312" w:hAnsi="Times New Roman"/>
          <w:b/>
          <w:bCs/>
          <w:sz w:val="28"/>
          <w:szCs w:val="28"/>
        </w:rPr>
        <w:t xml:space="preserve">6203 </w:t>
      </w:r>
      <w:r>
        <w:rPr>
          <w:rFonts w:ascii="仿宋_GB2312" w:eastAsia="仿宋_GB2312" w:hAnsi="Times New Roman" w:cs="仿宋_GB2312" w:hint="eastAsia"/>
          <w:sz w:val="28"/>
          <w:szCs w:val="28"/>
        </w:rPr>
        <w:t>摊回分保费用</w:t>
      </w:r>
    </w:p>
    <w:p w14:paraId="7F455049"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一、本科目核算企业（再保险分出人）向再保险接受人摊回的分保费用。</w:t>
      </w:r>
    </w:p>
    <w:p w14:paraId="2125FB54"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二、本科目可按险种进行明细核算。</w:t>
      </w:r>
    </w:p>
    <w:p w14:paraId="49279444" w14:textId="77777777" w:rsidR="00D630C4" w:rsidRDefault="00D630C4" w:rsidP="00D630C4">
      <w:pPr>
        <w:pStyle w:val="CM3"/>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三、摊回分保费用的主要账务处理。</w:t>
      </w:r>
    </w:p>
    <w:p w14:paraId="0E6FCAE0"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（一）企业在确认原保险合同保费收入的当期，应按相关再保险合同约定计算确定的应向再保险接受人摊回的分保费用，借记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w:t>
      </w:r>
      <w:r>
        <w:rPr>
          <w:rFonts w:ascii="仿宋_GB2312" w:eastAsia="仿宋_GB2312" w:hAnsi="Times New Roman" w:cs="仿宋_GB2312" w:hint="eastAsia"/>
          <w:sz w:val="28"/>
          <w:szCs w:val="28"/>
        </w:rPr>
        <w:lastRenderedPageBreak/>
        <w:t>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71C6A281"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（二）计算确定应向再保险接受人收取的纯益手续费的，应按相关再保险合同约定计算确定的纯益手续费，借记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6C55125E"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（三）在原保险合同提前解除的当期，应按相关再保险合同约定计算确定的摊回分保费用的调整金额，借记本科目，贷记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6AE8262"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3FCCA22C"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6301 </w:t>
      </w:r>
      <w:r>
        <w:rPr>
          <w:rFonts w:ascii="仿宋_GB2312" w:eastAsia="仿宋_GB2312" w:hAnsi="Times New Roman" w:cs="仿宋_GB2312" w:hint="eastAsia"/>
          <w:sz w:val="28"/>
          <w:szCs w:val="28"/>
        </w:rPr>
        <w:t>营业外收入</w:t>
      </w:r>
    </w:p>
    <w:p w14:paraId="2876512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一、本科目核算企业发生的各项营业外收入，主要包括非流动资产处置利得、非货币性资产交换利得、债务重组利得、政府补助、盘盈利得、捐赠利得等。</w:t>
      </w:r>
    </w:p>
    <w:p w14:paraId="5E13C62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二、本科目可按营业外收入项目进行明细核算。</w:t>
      </w:r>
    </w:p>
    <w:p w14:paraId="37A53AC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三、企业确认处置非流动资产利得、非货币性资产交换利得、债务重组利得，比照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固定资产清理</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无形资产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原材料</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库存商品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等科目的相关规定进行处理。</w:t>
      </w:r>
    </w:p>
    <w:p w14:paraId="58CCCD1E"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确认的政府补助利得，借记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银行存款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递延收益</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等科目，贷记本科目。</w:t>
      </w:r>
    </w:p>
    <w:p w14:paraId="43E5D629"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6355A9B3" w14:textId="77777777" w:rsidR="00D630C4" w:rsidRDefault="00D630C4" w:rsidP="00D630C4">
      <w:pPr>
        <w:pStyle w:val="Default"/>
        <w:spacing w:line="546" w:lineRule="atLeast"/>
        <w:ind w:right="1473"/>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lastRenderedPageBreak/>
        <w:t xml:space="preserve">6401 </w:t>
      </w:r>
      <w:r>
        <w:rPr>
          <w:rFonts w:ascii="仿宋_GB2312" w:eastAsia="仿宋_GB2312" w:hAnsi="Times New Roman" w:cs="仿宋_GB2312" w:hint="eastAsia"/>
          <w:color w:val="auto"/>
          <w:sz w:val="28"/>
          <w:szCs w:val="28"/>
        </w:rPr>
        <w:t>主营业务成本</w:t>
      </w:r>
    </w:p>
    <w:p w14:paraId="685C2AD1"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一、本科目核算企业确认销售商品、提供劳务等主营业务收入时应结转的成本。</w:t>
      </w:r>
    </w:p>
    <w:p w14:paraId="32E37842" w14:textId="77777777" w:rsidR="00D630C4" w:rsidRDefault="00D630C4" w:rsidP="00D630C4">
      <w:pPr>
        <w:pStyle w:val="CM14"/>
        <w:ind w:left="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二、本科目可按主营业务的种类进行明细核算。</w:t>
      </w:r>
    </w:p>
    <w:p w14:paraId="5B8937C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三、主营业务成本的主要账务处理。</w:t>
      </w:r>
    </w:p>
    <w:p w14:paraId="3A2D5875"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（一）期（月）末，企业应根据本期（月）销售各种商品、提供各种劳务等实际成本，计算应结转的主营业务成本，借记本科目，贷记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劳务成本</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78A75CD0" w14:textId="77777777" w:rsidR="00D630C4" w:rsidRDefault="00D630C4" w:rsidP="00D630C4">
      <w:pPr>
        <w:pStyle w:val="CM29"/>
        <w:ind w:firstLine="48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采用计划成本或售价核算库存商品的，平时的营业成本按计划成本或售价结转，月末，还应结转本月销售商品应分摊的产品成本差异或商品进销差价。</w:t>
      </w:r>
    </w:p>
    <w:p w14:paraId="47A08F5F"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本期（月）发生的销售退回，如已结转销售成本的，借记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库存商品</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75A91A6E"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（二）确认建造合同收入，按应确认的合同费用，借记本科目，按应确认的合同收入，贷记</w:t>
      </w:r>
      <w:r>
        <w:rPr>
          <w:rFonts w:ascii="Times New Roman" w:eastAsia="仿宋_GB2312" w:hAnsi="Times New Roman"/>
          <w:sz w:val="28"/>
          <w:szCs w:val="28"/>
        </w:rPr>
        <w:t>“</w:t>
      </w:r>
      <w:r>
        <w:rPr>
          <w:rFonts w:ascii="仿宋_GB2312" w:eastAsia="仿宋_GB2312" w:hAnsi="Times New Roman" w:cs="仿宋_GB2312" w:hint="eastAsia"/>
          <w:sz w:val="28"/>
          <w:szCs w:val="28"/>
        </w:rPr>
        <w:t>主营业务收入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工程施工</w:t>
      </w:r>
      <w:r>
        <w:rPr>
          <w:rFonts w:ascii="Times New Roman" w:eastAsia="仿宋_GB2312" w:hAnsi="Times New Roman"/>
          <w:sz w:val="28"/>
          <w:szCs w:val="28"/>
        </w:rPr>
        <w:t>——</w:t>
      </w:r>
      <w:r>
        <w:rPr>
          <w:rFonts w:ascii="仿宋_GB2312" w:eastAsia="仿宋_GB2312" w:hAnsi="Times New Roman" w:cs="仿宋_GB2312" w:hint="eastAsia"/>
          <w:sz w:val="28"/>
          <w:szCs w:val="28"/>
        </w:rPr>
        <w:t>合同毛利</w:t>
      </w:r>
      <w:r>
        <w:rPr>
          <w:rFonts w:ascii="Times New Roman" w:eastAsia="仿宋_GB2312" w:hAnsi="Times New Roman"/>
          <w:sz w:val="28"/>
          <w:szCs w:val="28"/>
        </w:rPr>
        <w:t>”</w:t>
      </w:r>
      <w:r>
        <w:rPr>
          <w:rFonts w:ascii="仿宋_GB2312" w:eastAsia="仿宋_GB2312" w:hAnsi="Times New Roman" w:cs="仿宋_GB2312" w:hint="eastAsia"/>
          <w:sz w:val="28"/>
          <w:szCs w:val="28"/>
        </w:rPr>
        <w:t>科目。合同完工时，已计提存货跌价准备的，还应结转跌价准备。</w:t>
      </w:r>
    </w:p>
    <w:p w14:paraId="7367F5E1"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四、期末，应将本科目的余额转入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7650A5C2" w14:textId="77777777" w:rsidR="00D630C4" w:rsidRDefault="00D630C4" w:rsidP="00D630C4">
      <w:pPr>
        <w:pStyle w:val="Default"/>
        <w:spacing w:line="546" w:lineRule="atLeast"/>
        <w:jc w:val="both"/>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6402 </w:t>
      </w:r>
      <w:r>
        <w:rPr>
          <w:rFonts w:ascii="仿宋_GB2312" w:eastAsia="仿宋_GB2312" w:hAnsi="Times New Roman" w:cs="仿宋_GB2312" w:hint="eastAsia"/>
          <w:color w:val="auto"/>
          <w:sz w:val="28"/>
          <w:szCs w:val="28"/>
        </w:rPr>
        <w:t>其他业务成本</w:t>
      </w:r>
    </w:p>
    <w:p w14:paraId="0EF3E869"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一、本科目核算企业确认的除主营业务活动以外的其他经营活动</w:t>
      </w:r>
      <w:r>
        <w:rPr>
          <w:rFonts w:ascii="仿宋_GB2312" w:eastAsia="仿宋_GB2312" w:hAnsi="Times New Roman" w:cs="仿宋_GB2312" w:hint="eastAsia"/>
          <w:sz w:val="28"/>
          <w:szCs w:val="28"/>
        </w:rPr>
        <w:lastRenderedPageBreak/>
        <w:t>所发生的支出，包括销售材料的成本、出租固定资产的折旧额、出租无形资产的摊销额、出租包装物的成本或摊销额等。</w:t>
      </w:r>
    </w:p>
    <w:p w14:paraId="3E27AB0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除主营业务活动以外的其他经营活动发生的相关税费，在</w:t>
      </w:r>
      <w:r>
        <w:rPr>
          <w:rFonts w:ascii="Times New Roman" w:eastAsia="仿宋_GB2312" w:hAnsi="Times New Roman"/>
          <w:sz w:val="28"/>
          <w:szCs w:val="28"/>
        </w:rPr>
        <w:t>“</w:t>
      </w:r>
      <w:r>
        <w:rPr>
          <w:rFonts w:ascii="仿宋_GB2312" w:eastAsia="仿宋_GB2312" w:hAnsi="Times New Roman" w:cs="仿宋_GB2312" w:hint="eastAsia"/>
          <w:sz w:val="28"/>
          <w:szCs w:val="28"/>
        </w:rPr>
        <w:t>营业税金及附加</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12D9362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采用成本模式计量投资性房地产的，其投资性房地产计提的折旧额或摊销额，也通过本科目核算。</w:t>
      </w:r>
    </w:p>
    <w:p w14:paraId="31FF9E15"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二、本科目可按其他业务成本的种类进行明细核算。</w:t>
      </w:r>
    </w:p>
    <w:p w14:paraId="366067A4"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三、企业发生的其他业务成本，借记本科目，贷记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原材料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周转材料</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累计摊销</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等科目。</w:t>
      </w:r>
    </w:p>
    <w:p w14:paraId="2B74DA84"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3CEFCEEC"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sz w:val="28"/>
          <w:szCs w:val="28"/>
        </w:rPr>
        <w:t xml:space="preserve">6403 </w:t>
      </w:r>
      <w:r>
        <w:rPr>
          <w:rFonts w:ascii="仿宋_GB2312" w:eastAsia="仿宋_GB2312" w:hAnsi="Times New Roman" w:cs="仿宋_GB2312" w:hint="eastAsia"/>
          <w:sz w:val="28"/>
          <w:szCs w:val="28"/>
        </w:rPr>
        <w:t>营业税金及附加</w:t>
      </w:r>
    </w:p>
    <w:p w14:paraId="56E20CD3"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一、本科目核算企业经营活动发生的营业税、消费税、城市维护建设税、资源税和教育费附加等相关税费。房产税、车船使用税、土地使用税、印花税在</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科目核算，但与投资性房地产相关的房产税、土地使用税在本科目核算。</w:t>
      </w:r>
    </w:p>
    <w:p w14:paraId="3912D35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二、企业按规定计算确定的与经营活动相关的税费，借记本科目，贷记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22439963"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16603572" w14:textId="77777777" w:rsidR="00D630C4" w:rsidRDefault="00D630C4" w:rsidP="00D630C4">
      <w:pPr>
        <w:pStyle w:val="CM22"/>
        <w:rPr>
          <w:rFonts w:ascii="Times New Roman" w:eastAsia="仿宋_GB2312" w:hAnsi="Times New Roman"/>
          <w:b/>
          <w:bCs/>
          <w:sz w:val="28"/>
          <w:szCs w:val="28"/>
        </w:rPr>
      </w:pPr>
    </w:p>
    <w:p w14:paraId="03EF1F06"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6411  </w:t>
      </w:r>
      <w:r>
        <w:rPr>
          <w:rFonts w:ascii="仿宋_GB2312" w:eastAsia="仿宋_GB2312" w:hAnsi="Times New Roman" w:cs="仿宋_GB2312" w:hint="eastAsia"/>
          <w:sz w:val="28"/>
          <w:szCs w:val="28"/>
        </w:rPr>
        <w:t>利息支出</w:t>
      </w:r>
    </w:p>
    <w:p w14:paraId="0785DD09"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金融）发生的利息支出，包括吸收的各种存款（单位存款、个人存款、信用卡存款、特种存款、转贷款资金等）、与其他金融机构（中央银行、同业等）之间发生资金往来业务、卖出回购金融资产等产生的利息支出。</w:t>
      </w:r>
    </w:p>
    <w:p w14:paraId="357D4A0F"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二、本科目可按利息支出项目进行明细核算。</w:t>
      </w:r>
    </w:p>
    <w:p w14:paraId="228EE63C"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三、资产负债表日，企业应按摊余成本和实际利率计算确定的利息费用金额，借记本科目，按合同利率计算确定的应付未付利息，贷记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应付利息</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w:t>
      </w:r>
      <w:r>
        <w:rPr>
          <w:rFonts w:ascii="Times New Roman" w:eastAsia="仿宋_GB2312" w:hAnsi="Times New Roman"/>
          <w:sz w:val="28"/>
          <w:szCs w:val="28"/>
        </w:rPr>
        <w:t>“</w:t>
      </w:r>
      <w:r>
        <w:rPr>
          <w:rFonts w:ascii="仿宋_GB2312" w:eastAsia="仿宋_GB2312" w:hAnsi="Times New Roman" w:cs="仿宋_GB2312" w:hint="eastAsia"/>
          <w:sz w:val="28"/>
          <w:szCs w:val="28"/>
        </w:rPr>
        <w:t>吸收存款</w:t>
      </w:r>
      <w:r>
        <w:rPr>
          <w:rFonts w:ascii="Times New Roman" w:eastAsia="仿宋_GB2312" w:hAnsi="Times New Roman"/>
          <w:sz w:val="28"/>
          <w:szCs w:val="28"/>
        </w:rPr>
        <w:t>——</w:t>
      </w:r>
      <w:r>
        <w:rPr>
          <w:rFonts w:ascii="仿宋_GB2312" w:eastAsia="仿宋_GB2312" w:hAnsi="Times New Roman" w:cs="仿宋_GB2312" w:hint="eastAsia"/>
          <w:sz w:val="28"/>
          <w:szCs w:val="28"/>
        </w:rPr>
        <w:t>利息调整</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5F235BE5"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实际利率与合同利率差异较小的，也可以采用合同利率计算确定利息费用。</w:t>
      </w:r>
    </w:p>
    <w:p w14:paraId="6A8940B2" w14:textId="77777777" w:rsidR="00D630C4" w:rsidRDefault="00D630C4" w:rsidP="00D630C4">
      <w:pPr>
        <w:pStyle w:val="CM56"/>
        <w:ind w:firstLine="633"/>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本年利润</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科目，结转后本科目无余额。</w:t>
      </w:r>
    </w:p>
    <w:p w14:paraId="2E83EB12"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6421 </w:t>
      </w:r>
      <w:r>
        <w:rPr>
          <w:rFonts w:ascii="仿宋_GB2312" w:eastAsia="仿宋_GB2312" w:hAnsi="Times New Roman" w:cs="仿宋_GB2312" w:hint="eastAsia"/>
          <w:color w:val="auto"/>
          <w:sz w:val="28"/>
          <w:szCs w:val="28"/>
        </w:rPr>
        <w:t>手续费及佣金支出</w:t>
      </w:r>
    </w:p>
    <w:p w14:paraId="15DDD56D"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一、本科目核算企业（金融）发生的与其经营活动相关的各项手</w:t>
      </w:r>
      <w:r>
        <w:rPr>
          <w:rFonts w:ascii="仿宋_GB2312" w:eastAsia="仿宋_GB2312" w:hAnsi="Times New Roman" w:cs="仿宋_GB2312" w:hint="eastAsia"/>
          <w:sz w:val="28"/>
          <w:szCs w:val="28"/>
        </w:rPr>
        <w:t>续费、佣金等支出。</w:t>
      </w:r>
    </w:p>
    <w:p w14:paraId="7A517FCD"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二、本科目可按支出类别进行明细核算。</w:t>
      </w:r>
    </w:p>
    <w:p w14:paraId="23A0C712"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三、企业发生的与其经营活动相关的手续费、佣金等支出，借记本科目，贷记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存放中央银行款项</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存放同业</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应付手续费及佣金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A01D115"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lastRenderedPageBreak/>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62BF00C6" w14:textId="77777777" w:rsidR="00D630C4" w:rsidRDefault="00D630C4" w:rsidP="00D630C4">
      <w:pPr>
        <w:pStyle w:val="Default"/>
        <w:spacing w:line="546" w:lineRule="atLeast"/>
        <w:rPr>
          <w:rFonts w:ascii="Times New Roman" w:eastAsia="仿宋_GB2312" w:hAnsi="Times New Roman" w:cs="Times New Roman"/>
          <w:b/>
          <w:bCs/>
          <w:color w:val="auto"/>
          <w:sz w:val="28"/>
          <w:szCs w:val="28"/>
        </w:rPr>
      </w:pPr>
    </w:p>
    <w:p w14:paraId="548D8638" w14:textId="77777777" w:rsidR="00D630C4" w:rsidRDefault="00D630C4" w:rsidP="00D630C4">
      <w:pPr>
        <w:pStyle w:val="Default"/>
        <w:spacing w:line="546" w:lineRule="atLeast"/>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6501 </w:t>
      </w:r>
      <w:r>
        <w:rPr>
          <w:rFonts w:ascii="仿宋_GB2312" w:eastAsia="仿宋_GB2312" w:hAnsi="Times New Roman" w:cs="仿宋_GB2312" w:hint="eastAsia"/>
          <w:color w:val="auto"/>
          <w:sz w:val="28"/>
          <w:szCs w:val="28"/>
        </w:rPr>
        <w:t>提取未到期责任准备金</w:t>
      </w:r>
    </w:p>
    <w:p w14:paraId="5462E776"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一、本科目核算企业（保险）提取的非寿险原保险合同未到期责</w:t>
      </w:r>
      <w:r>
        <w:rPr>
          <w:rFonts w:ascii="仿宋_GB2312" w:eastAsia="仿宋_GB2312" w:hAnsi="Times New Roman" w:cs="仿宋_GB2312" w:hint="eastAsia"/>
          <w:sz w:val="28"/>
          <w:szCs w:val="28"/>
        </w:rPr>
        <w:t>任准备金和再保险合同分保未到期责任准备金。</w:t>
      </w:r>
    </w:p>
    <w:p w14:paraId="715680E4"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二、本科目可按保险合同和险种进行明细核算。</w:t>
      </w:r>
    </w:p>
    <w:p w14:paraId="1E9BA1AB" w14:textId="77777777" w:rsidR="00D630C4" w:rsidRDefault="00D630C4" w:rsidP="00D630C4">
      <w:pPr>
        <w:pStyle w:val="Default"/>
        <w:spacing w:line="546" w:lineRule="atLeast"/>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三、提取未到期责任准备金的主要账务处理。</w:t>
      </w:r>
    </w:p>
    <w:p w14:paraId="5395D3E5" w14:textId="77777777" w:rsidR="00D630C4" w:rsidRDefault="00D630C4" w:rsidP="00D630C4">
      <w:pPr>
        <w:pStyle w:val="Default"/>
        <w:spacing w:line="546" w:lineRule="atLeast"/>
        <w:ind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（一）企业在确认原保费收入、分保费收入的当期，应按保险精算确定的未到期责任准备金，借记本科目，贷记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未到期责任准备金</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35EEC991"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（二）资产负债表日，应按保险精算重新计算确定的未到期责任准备金与已确认的未到期责任准备金的差额，借记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4B77D32"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（三）原保险合同提前解除的，应按相关未到期责任准备金余额，借记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未到期责任准备金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2E4A9F83" w14:textId="77777777" w:rsidR="00D630C4" w:rsidRDefault="00D630C4" w:rsidP="00D630C4">
      <w:pPr>
        <w:pStyle w:val="CM61"/>
        <w:ind w:right="140" w:firstLine="3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（四）在确认非寿险原保险合同保费收入的当期，按相关再保险合同约定计算确定的相关应收分保未到期责任准备金金额，借记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应收分保合同准备金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7FD62ED7"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资产负债表日，调整原保险合同未到期责任准备金余额的，按相关再保险合同约定计算确定的应收分保未到期责任准备金的调整金额，借记本科目，贷记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应收分保合同准备金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6CFEE88"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01FEBE23"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6502 </w:t>
      </w:r>
      <w:r>
        <w:rPr>
          <w:rFonts w:ascii="仿宋_GB2312" w:eastAsia="仿宋_GB2312" w:hAnsi="Times New Roman" w:cs="仿宋_GB2312" w:hint="eastAsia"/>
          <w:sz w:val="28"/>
          <w:szCs w:val="28"/>
        </w:rPr>
        <w:t>提取保险责任准备金</w:t>
      </w:r>
    </w:p>
    <w:p w14:paraId="24D0F951"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一、本科目核算企业（保险）提取的原保险合同保险责任准备金，包括提取的未决赔款准备金、提取的寿险责任准备金、提取的长期健康险责任准备金。</w:t>
      </w:r>
    </w:p>
    <w:p w14:paraId="7FF95F88"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再保险接受人提取的再保险合同保险责任准备金，也在本科目核算。</w:t>
      </w:r>
    </w:p>
    <w:p w14:paraId="1CD2E3B6" w14:textId="77777777" w:rsidR="00D630C4" w:rsidRDefault="00D630C4" w:rsidP="00D630C4">
      <w:pPr>
        <w:pStyle w:val="CM13"/>
        <w:ind w:right="138" w:firstLine="47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企业（保险）也可以单独设置</w:t>
      </w:r>
      <w:r>
        <w:rPr>
          <w:rFonts w:ascii="Times New Roman" w:eastAsia="仿宋_GB2312" w:hAnsi="Times New Roman"/>
          <w:sz w:val="28"/>
          <w:szCs w:val="28"/>
        </w:rPr>
        <w:t>“</w:t>
      </w:r>
      <w:r>
        <w:rPr>
          <w:rFonts w:ascii="仿宋_GB2312" w:eastAsia="仿宋_GB2312" w:hAnsi="Times New Roman" w:cs="仿宋_GB2312" w:hint="eastAsia"/>
          <w:sz w:val="28"/>
          <w:szCs w:val="28"/>
        </w:rPr>
        <w:t>提取未决赔款准备金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提取寿险责任准备金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提取长期健康险责任准备金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617687F8"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二、本科目可按保险责任准备金类别、险种和保险合同进行明细核算。</w:t>
      </w:r>
    </w:p>
    <w:p w14:paraId="1B4B208B"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三、提取保险责任准备金的主要账务处理。</w:t>
      </w:r>
    </w:p>
    <w:p w14:paraId="2C2C3A1B"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（一）企业确认寿险保费收入，应按保险精算确定的寿险责任准备金、长期健康险责任准备金，借记本科目，贷记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保险责任准备金</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37BDEDD5" w14:textId="77777777" w:rsidR="00D630C4" w:rsidRDefault="00D630C4" w:rsidP="00D630C4">
      <w:pPr>
        <w:pStyle w:val="CM12"/>
        <w:ind w:right="138"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投保人发生非寿险保险合同约定的保险事故当期，企业应按保险精算确定的未决赔款准备金，借记本科目，贷记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保险责任准备金</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科目。对保险责任准备金进行充足性测试，应按补提的保险责任准备金，借记本科目，贷记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0C59DDEC"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（二）原保险合同保险人确定支付赔付款项金额或实际发生理赔</w:t>
      </w:r>
      <w:r>
        <w:rPr>
          <w:rFonts w:ascii="仿宋_GB2312" w:eastAsia="仿宋_GB2312" w:hAnsi="Times New Roman" w:cs="仿宋_GB2312" w:hint="eastAsia"/>
          <w:sz w:val="28"/>
          <w:szCs w:val="28"/>
        </w:rPr>
        <w:lastRenderedPageBreak/>
        <w:t>费用的当期，应按冲减的相应保险责任准备金余额，借记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6EA35C88"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再保险接受人收到分保业务账单的当期，应按分保保险责任准备金的相应冲减金额，借记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C21B749" w14:textId="77777777" w:rsidR="00D630C4" w:rsidRDefault="00D630C4" w:rsidP="00D630C4">
      <w:pPr>
        <w:pStyle w:val="CM44"/>
        <w:ind w:right="140" w:firstLine="358"/>
        <w:rPr>
          <w:rFonts w:ascii="仿宋_GB2312" w:eastAsia="仿宋_GB2312" w:hAnsi="Times New Roman" w:cs="仿宋_GB2312"/>
          <w:sz w:val="28"/>
          <w:szCs w:val="28"/>
        </w:rPr>
      </w:pPr>
      <w:r>
        <w:rPr>
          <w:rFonts w:ascii="仿宋_GB2312" w:eastAsia="仿宋_GB2312" w:hAnsi="Times New Roman" w:cs="仿宋_GB2312" w:hint="eastAsia"/>
          <w:sz w:val="28"/>
          <w:szCs w:val="28"/>
        </w:rPr>
        <w:t>（三）寿险原保险合同提前解除的，应按相关寿险责任准备金、长期健康险责任准备金余额，借记</w:t>
      </w:r>
      <w:r>
        <w:rPr>
          <w:rFonts w:ascii="Times New Roman" w:eastAsia="仿宋_GB2312" w:hAnsi="Times New Roman"/>
          <w:sz w:val="28"/>
          <w:szCs w:val="28"/>
        </w:rPr>
        <w:t>“</w:t>
      </w:r>
      <w:r>
        <w:rPr>
          <w:rFonts w:ascii="仿宋_GB2312" w:eastAsia="仿宋_GB2312" w:hAnsi="Times New Roman" w:cs="仿宋_GB2312" w:hint="eastAsia"/>
          <w:sz w:val="28"/>
          <w:szCs w:val="28"/>
        </w:rPr>
        <w:t>保险责任准备金</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48111F6" w14:textId="77777777" w:rsidR="00D630C4" w:rsidRDefault="00D630C4" w:rsidP="00D630C4">
      <w:pPr>
        <w:pStyle w:val="CM73"/>
        <w:spacing w:line="546" w:lineRule="atLeast"/>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669AC4CF" w14:textId="77777777" w:rsidR="00D630C4" w:rsidRDefault="00D630C4" w:rsidP="00D630C4">
      <w:pPr>
        <w:pStyle w:val="Default"/>
        <w:spacing w:line="546" w:lineRule="atLeast"/>
        <w:ind w:right="4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6511  </w:t>
      </w:r>
      <w:r>
        <w:rPr>
          <w:rFonts w:ascii="仿宋_GB2312" w:eastAsia="仿宋_GB2312" w:hAnsi="Times New Roman" w:cs="仿宋_GB2312" w:hint="eastAsia"/>
          <w:color w:val="auto"/>
          <w:sz w:val="28"/>
          <w:szCs w:val="28"/>
        </w:rPr>
        <w:t>赔付支出</w:t>
      </w:r>
    </w:p>
    <w:p w14:paraId="5A7D2D1D"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color w:val="auto"/>
          <w:sz w:val="28"/>
          <w:szCs w:val="28"/>
        </w:rPr>
        <w:t>一、本科目核算企业（保险）支付的原保险合同赔付款项和再保险合同赔付款项。企业（保险）可以单独设置</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赔款支出</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满期给付</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w:t>
      </w:r>
      <w:r>
        <w:rPr>
          <w:rFonts w:ascii="Times New Roman" w:eastAsia="仿宋_GB2312" w:hAnsi="Times New Roman" w:cs="Times New Roman"/>
          <w:color w:val="auto"/>
          <w:sz w:val="28"/>
          <w:szCs w:val="28"/>
        </w:rPr>
        <w:t>“</w:t>
      </w:r>
      <w:r>
        <w:rPr>
          <w:rFonts w:ascii="仿宋_GB2312" w:eastAsia="仿宋_GB2312" w:hAnsi="Times New Roman" w:cs="仿宋_GB2312" w:hint="eastAsia"/>
          <w:color w:val="auto"/>
          <w:sz w:val="28"/>
          <w:szCs w:val="28"/>
        </w:rPr>
        <w:t>年金给</w:t>
      </w:r>
      <w:r>
        <w:rPr>
          <w:rFonts w:ascii="仿宋_GB2312" w:eastAsia="仿宋_GB2312" w:hAnsi="Times New Roman" w:cs="仿宋_GB2312" w:hint="eastAsia"/>
          <w:sz w:val="28"/>
          <w:szCs w:val="28"/>
        </w:rPr>
        <w:t>付</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死伤医疗给付</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分保赔付支出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F388B4D"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二、本科目可按保险合同和险种进行明细核算。</w:t>
      </w:r>
    </w:p>
    <w:p w14:paraId="0744D3AE"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三、赔付支出的主要账务处理。</w:t>
      </w:r>
    </w:p>
    <w:p w14:paraId="7679715B" w14:textId="77777777" w:rsidR="00D630C4" w:rsidRDefault="00D630C4" w:rsidP="00D630C4">
      <w:pPr>
        <w:pStyle w:val="Default"/>
        <w:spacing w:line="546" w:lineRule="atLeast"/>
        <w:ind w:right="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（一）企业在确定支付赔付款项金额或实际发生理赔费用的当期，借记本科目，贷记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BFEA446" w14:textId="77777777" w:rsidR="00D630C4" w:rsidRDefault="00D630C4" w:rsidP="00D630C4">
      <w:pPr>
        <w:pStyle w:val="Default"/>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sz w:val="28"/>
          <w:szCs w:val="28"/>
        </w:rPr>
        <w:t>（二）承担赔付保险金责任后应当确认的代位追偿款，借记</w:t>
      </w:r>
      <w:r>
        <w:rPr>
          <w:rFonts w:ascii="Times New Roman" w:eastAsia="仿宋_GB2312" w:hAnsi="Times New Roman"/>
          <w:sz w:val="28"/>
          <w:szCs w:val="28"/>
        </w:rPr>
        <w:t>“</w:t>
      </w:r>
      <w:r>
        <w:rPr>
          <w:rFonts w:ascii="仿宋_GB2312" w:eastAsia="仿宋_GB2312" w:hAnsi="Times New Roman" w:cs="仿宋_GB2312" w:hint="eastAsia"/>
          <w:sz w:val="28"/>
          <w:szCs w:val="28"/>
        </w:rPr>
        <w:t>应收代位追偿款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62F0E0C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收到应收代位追偿款时，应按实际收到的金额，借记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等科目，按应收代位追偿款的账面余额，贷记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应收代位</w:t>
      </w:r>
      <w:r>
        <w:rPr>
          <w:rFonts w:ascii="仿宋_GB2312" w:eastAsia="仿宋_GB2312" w:hAnsi="Times New Roman" w:cs="仿宋_GB2312" w:hint="eastAsia"/>
          <w:sz w:val="28"/>
          <w:szCs w:val="28"/>
        </w:rPr>
        <w:lastRenderedPageBreak/>
        <w:t>追偿款</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科目，按其差额，借记或贷记本科目。已计提坏账准备的，还应同时结转坏账准备。</w:t>
      </w:r>
    </w:p>
    <w:p w14:paraId="4DEC19D8"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（三）承担赔偿保险金责任后取得的损余物资，应按同类或类似资产的市场价格计算确定的金额，借记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损余物资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75A84E5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处置损余物资，应按实际收到的金额，借记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等科目，按损余物资的账面余额，贷记</w:t>
      </w:r>
      <w:r>
        <w:rPr>
          <w:rFonts w:ascii="Times New Roman" w:eastAsia="仿宋_GB2312" w:hAnsi="Times New Roman"/>
          <w:sz w:val="28"/>
          <w:szCs w:val="28"/>
        </w:rPr>
        <w:t>“</w:t>
      </w:r>
      <w:r>
        <w:rPr>
          <w:rFonts w:ascii="仿宋_GB2312" w:eastAsia="仿宋_GB2312" w:hAnsi="Times New Roman" w:cs="仿宋_GB2312" w:hint="eastAsia"/>
          <w:sz w:val="28"/>
          <w:szCs w:val="28"/>
        </w:rPr>
        <w:t>损余物资</w:t>
      </w:r>
      <w:r>
        <w:rPr>
          <w:rFonts w:ascii="Times New Roman" w:eastAsia="仿宋_GB2312" w:hAnsi="Times New Roman"/>
          <w:sz w:val="28"/>
          <w:szCs w:val="28"/>
        </w:rPr>
        <w:t>”</w:t>
      </w:r>
      <w:r>
        <w:rPr>
          <w:rFonts w:ascii="仿宋_GB2312" w:eastAsia="仿宋_GB2312" w:hAnsi="Times New Roman" w:cs="仿宋_GB2312" w:hint="eastAsia"/>
          <w:sz w:val="28"/>
          <w:szCs w:val="28"/>
        </w:rPr>
        <w:t>科目，按其差额，借记或贷记本科目。已计提跌价准备的，还应同时结转跌价准备。</w:t>
      </w:r>
    </w:p>
    <w:p w14:paraId="54D2DF8F"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（四）再保险接受人收到分保业务账单的当期，应按账单标明的分保赔付款项金额，借记本科目，贷记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8D75D5F"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3925D8FC"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6521 </w:t>
      </w:r>
      <w:r>
        <w:rPr>
          <w:rFonts w:ascii="仿宋_GB2312" w:eastAsia="仿宋_GB2312" w:hAnsi="Times New Roman" w:cs="仿宋_GB2312" w:hint="eastAsia"/>
          <w:sz w:val="28"/>
          <w:szCs w:val="28"/>
        </w:rPr>
        <w:t>保单红利支出</w:t>
      </w:r>
    </w:p>
    <w:p w14:paraId="7C01FC5B"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一、本科目核算企业（保险）按原保险合同约定支付给投保人的红利。</w:t>
      </w:r>
    </w:p>
    <w:p w14:paraId="733B33D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二、本科目可按保单红利来源进行明细核算。</w:t>
      </w:r>
    </w:p>
    <w:p w14:paraId="4140472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三、企业按原保险合同约定计提应支付的保单红利，借记本科目，贷记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应付保单红利</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59F55AE2"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34AC7C26" w14:textId="77777777" w:rsidR="00D630C4" w:rsidRDefault="00D630C4" w:rsidP="00D630C4">
      <w:pPr>
        <w:pStyle w:val="Default"/>
        <w:spacing w:line="546" w:lineRule="atLeast"/>
        <w:ind w:right="143"/>
        <w:rPr>
          <w:rFonts w:ascii="仿宋_GB2312" w:eastAsia="仿宋_GB2312" w:hAnsi="Times New Roman" w:cs="仿宋_GB2312"/>
          <w:color w:val="auto"/>
          <w:sz w:val="28"/>
          <w:szCs w:val="28"/>
        </w:rPr>
      </w:pPr>
      <w:r>
        <w:rPr>
          <w:rFonts w:ascii="Times New Roman" w:hAnsi="Times New Roman" w:cs="Times New Roman"/>
          <w:b/>
          <w:bCs/>
          <w:color w:val="auto"/>
          <w:sz w:val="28"/>
          <w:szCs w:val="28"/>
        </w:rPr>
        <w:t xml:space="preserve">6531 </w:t>
      </w:r>
      <w:r>
        <w:rPr>
          <w:rFonts w:ascii="仿宋_GB2312" w:eastAsia="仿宋_GB2312" w:hAnsi="Times New Roman" w:cs="仿宋_GB2312" w:hint="eastAsia"/>
          <w:color w:val="auto"/>
          <w:sz w:val="28"/>
          <w:szCs w:val="28"/>
        </w:rPr>
        <w:t>退保金</w:t>
      </w:r>
    </w:p>
    <w:p w14:paraId="582394CC" w14:textId="77777777" w:rsidR="00D630C4" w:rsidRDefault="00D630C4" w:rsidP="00D630C4">
      <w:pPr>
        <w:pStyle w:val="Default"/>
        <w:spacing w:line="546" w:lineRule="atLeast"/>
        <w:ind w:right="143"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lastRenderedPageBreak/>
        <w:t>一、本科目核算企业（保险）寿险原保险合同提前解除时按照约定应当退还投保人的保单现金价值。</w:t>
      </w:r>
    </w:p>
    <w:p w14:paraId="68102B87"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企业（保险）寿险原保险合同提前解除时应当退还投保人的不属于保单现金价值的款项，以及非寿险原保险合同提前解除时应当退还投保人的款项，在</w:t>
      </w:r>
      <w:r>
        <w:rPr>
          <w:rFonts w:ascii="Times New Roman" w:eastAsia="仿宋_GB2312" w:hAnsi="Times New Roman"/>
          <w:sz w:val="28"/>
          <w:szCs w:val="28"/>
        </w:rPr>
        <w:t>“</w:t>
      </w:r>
      <w:r>
        <w:rPr>
          <w:rFonts w:ascii="仿宋_GB2312" w:eastAsia="仿宋_GB2312" w:hAnsi="Times New Roman" w:cs="仿宋_GB2312" w:hint="eastAsia"/>
          <w:sz w:val="28"/>
          <w:szCs w:val="28"/>
        </w:rPr>
        <w:t>保费收入</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w:t>
      </w:r>
    </w:p>
    <w:p w14:paraId="4F62B694"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二、本科目可按险种进行明细核算。</w:t>
      </w:r>
    </w:p>
    <w:p w14:paraId="1903321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三、企业寿险原保险合同提前解除的，应按原保险合同约定计算确定的应退还投保人的保单现金价值，借记本科目，贷记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AA68762"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51A49650"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6541 </w:t>
      </w:r>
      <w:r>
        <w:rPr>
          <w:rFonts w:ascii="仿宋_GB2312" w:eastAsia="仿宋_GB2312" w:hAnsi="Times New Roman" w:cs="仿宋_GB2312" w:hint="eastAsia"/>
          <w:sz w:val="28"/>
          <w:szCs w:val="28"/>
        </w:rPr>
        <w:t>分出保费</w:t>
      </w:r>
    </w:p>
    <w:p w14:paraId="3227617E"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一、本科目核算企业（再保险分出人）向再保险接受人分出的保费。</w:t>
      </w:r>
    </w:p>
    <w:p w14:paraId="2BD3DDDD"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二、本科目可按险种进行明细核算。</w:t>
      </w:r>
    </w:p>
    <w:p w14:paraId="79F33EE0"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三、分出保费的主要账务处理。</w:t>
      </w:r>
    </w:p>
    <w:p w14:paraId="03BFFE2E"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（一）企业在确认原保险合同保费收入的当期，应按再保险合同约定计算确定的分出保费金额，借记本科目，贷记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w:t>
      </w:r>
    </w:p>
    <w:p w14:paraId="7786E647"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在原保险合同提前解除的当期，应按再保险合同约定计算确定的分出保费的调整金额，借记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w:t>
      </w:r>
    </w:p>
    <w:p w14:paraId="0D3D1B25" w14:textId="77777777" w:rsidR="00D630C4" w:rsidRDefault="00D630C4" w:rsidP="00D630C4">
      <w:pPr>
        <w:pStyle w:val="CM8"/>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（二）对于超额赔款再保险等非比例再保险合同，应按再保险合同约定计算确定的分出保费金额，借记本科目，贷记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科目。调整分出保费时，借记或贷记本科目，贷记或借记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C471CE6" w14:textId="77777777" w:rsidR="00D630C4" w:rsidRDefault="00D630C4" w:rsidP="00D630C4">
      <w:pPr>
        <w:pStyle w:val="CM73"/>
        <w:spacing w:line="546" w:lineRule="atLeast"/>
        <w:ind w:right="138"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4F2CA82D" w14:textId="77777777" w:rsidR="00D630C4" w:rsidRDefault="00D630C4" w:rsidP="00D630C4">
      <w:pPr>
        <w:pStyle w:val="Default"/>
        <w:spacing w:line="546" w:lineRule="atLeast"/>
        <w:jc w:val="both"/>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6542 </w:t>
      </w:r>
      <w:r>
        <w:rPr>
          <w:rFonts w:ascii="仿宋_GB2312" w:eastAsia="仿宋_GB2312" w:hAnsi="Times New Roman" w:cs="仿宋_GB2312" w:hint="eastAsia"/>
          <w:color w:val="auto"/>
          <w:sz w:val="28"/>
          <w:szCs w:val="28"/>
        </w:rPr>
        <w:t>分保费用</w:t>
      </w:r>
    </w:p>
    <w:p w14:paraId="7F3CB3AA"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一、本科目核算企业（再保险接受人）向再保险分出人支付的分保费用。</w:t>
      </w:r>
    </w:p>
    <w:p w14:paraId="56C5817C"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二、本科目可按险种进行明细核算。</w:t>
      </w:r>
    </w:p>
    <w:p w14:paraId="72054E4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三、分保费用的主要账务处理。</w:t>
      </w:r>
    </w:p>
    <w:p w14:paraId="509910FF"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（一）企业在确认分保费收入的当期，应按再保险合同约定计算确定的分保费用金额，借记本科目，贷记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B2DF5C2"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收到分保业务账单，按账单标明的金额对分保费用进行调整，借记或贷记本科目，贷记或借记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D39D543"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（二）计算确定应向再保险分出人支付的纯益手续费的，应按再保险合同约定计算确定的纯益手续费，借记本科目，贷记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应付分保账款</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3EB7579D"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1AA8E792"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6601 </w:t>
      </w:r>
      <w:r>
        <w:rPr>
          <w:rFonts w:ascii="仿宋_GB2312" w:eastAsia="仿宋_GB2312" w:hAnsi="Times New Roman" w:cs="仿宋_GB2312" w:hint="eastAsia"/>
          <w:sz w:val="28"/>
          <w:szCs w:val="28"/>
        </w:rPr>
        <w:t>销售费用</w:t>
      </w:r>
    </w:p>
    <w:p w14:paraId="5CC89518"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一、本科目核算企业销售商品和材料、提供劳务的过程中发生的各种费用，包括保险费、包装费、展览费和广告费、商品维修费、预计产品质量保证损失、运输费、装卸费等以及为销售本企业商品而专设的销售机构</w:t>
      </w:r>
      <w:r>
        <w:rPr>
          <w:rFonts w:ascii="Times New Roman" w:eastAsia="仿宋_GB2312" w:hAnsi="Times New Roman"/>
          <w:sz w:val="28"/>
          <w:szCs w:val="28"/>
        </w:rPr>
        <w:t>(</w:t>
      </w:r>
      <w:r>
        <w:rPr>
          <w:rFonts w:ascii="仿宋_GB2312" w:eastAsia="仿宋_GB2312" w:hAnsi="Times New Roman" w:cs="仿宋_GB2312" w:hint="eastAsia"/>
          <w:sz w:val="28"/>
          <w:szCs w:val="28"/>
        </w:rPr>
        <w:t>含销售网点、售后服务网点等</w:t>
      </w:r>
      <w:r>
        <w:rPr>
          <w:rFonts w:ascii="Times New Roman" w:eastAsia="仿宋_GB2312" w:hAnsi="Times New Roman"/>
          <w:sz w:val="28"/>
          <w:szCs w:val="28"/>
        </w:rPr>
        <w:t>)</w:t>
      </w:r>
      <w:r>
        <w:rPr>
          <w:rFonts w:ascii="仿宋_GB2312" w:eastAsia="仿宋_GB2312" w:hAnsi="Times New Roman" w:cs="仿宋_GB2312" w:hint="eastAsia"/>
          <w:sz w:val="28"/>
          <w:szCs w:val="28"/>
        </w:rPr>
        <w:t>的职工薪酬、业务费、折旧费等经营费用。</w:t>
      </w:r>
    </w:p>
    <w:p w14:paraId="160C9762"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企业发生的与专设销售机构相关的固定资产修理费用等后续支出，也在本科目核算。</w:t>
      </w:r>
    </w:p>
    <w:p w14:paraId="7C184006"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企业（金融）应将本科目改为</w:t>
      </w:r>
      <w:r>
        <w:rPr>
          <w:rFonts w:ascii="Times New Roman" w:eastAsia="仿宋_GB2312" w:hAnsi="Times New Roman"/>
          <w:sz w:val="28"/>
          <w:szCs w:val="28"/>
        </w:rPr>
        <w:t xml:space="preserve">“6601 </w:t>
      </w:r>
      <w:r>
        <w:rPr>
          <w:rFonts w:ascii="仿宋_GB2312" w:eastAsia="仿宋_GB2312" w:hAnsi="Times New Roman" w:cs="仿宋_GB2312" w:hint="eastAsia"/>
          <w:sz w:val="28"/>
          <w:szCs w:val="28"/>
        </w:rPr>
        <w:t>业务及管理费</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企业（金融）在业务经营和管理过程中所发生的各项费用，包括折旧费、业务宣传费、业务招待费、电子设备运转费、钞币运送费、安全防范费、邮电费、劳动保护费、外事费、印刷费、低值易耗品摊销、职工工资及福利费、差旅费、水电费、职工教育经费、工会经费、会议费、诉讼费、公证费、咨询费、无形资产摊销、长期待摊费用摊销、取暖降温费、聘请中介机构费、技术转让费、绿化费、董事会费、财产保险费、劳动保险费、待业保险费、住房公积金、物业管理费、研究费用、提取保险保障基金等。</w:t>
      </w:r>
    </w:p>
    <w:p w14:paraId="495D1393"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企业（金融）不应设置</w:t>
      </w:r>
      <w:r>
        <w:rPr>
          <w:rFonts w:ascii="Times New Roman" w:eastAsia="仿宋_GB2312" w:hAnsi="Times New Roman"/>
          <w:sz w:val="28"/>
          <w:szCs w:val="28"/>
        </w:rPr>
        <w:t>“</w:t>
      </w:r>
      <w:r>
        <w:rPr>
          <w:rFonts w:ascii="仿宋_GB2312" w:eastAsia="仿宋_GB2312" w:hAnsi="Times New Roman" w:cs="仿宋_GB2312" w:hint="eastAsia"/>
          <w:sz w:val="28"/>
          <w:szCs w:val="28"/>
        </w:rPr>
        <w:t>管理费用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12C4CFBD" w14:textId="77777777" w:rsidR="00D630C4" w:rsidRDefault="00D630C4" w:rsidP="00D630C4">
      <w:pPr>
        <w:pStyle w:val="CM5"/>
        <w:ind w:left="56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二、本科目可按费用项目进行明细核算。</w:t>
      </w:r>
    </w:p>
    <w:p w14:paraId="23623744"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三、销售费用的主要账务处理。</w:t>
      </w:r>
    </w:p>
    <w:p w14:paraId="09EEE8A0" w14:textId="77777777" w:rsidR="00D630C4" w:rsidRDefault="00D630C4" w:rsidP="00D630C4">
      <w:pPr>
        <w:pStyle w:val="CM16"/>
        <w:ind w:right="140"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（一）企业在销售商品过程中发生的包装费、保险费、展览费和广告费、运输费、装卸费等费用，借记本科目，贷记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库存现金</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D5EE91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（二）发生的为销售本企业商品而专设的销售机构的职工薪酬、业务费等经营费用，借记本科目，贷记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D20DC37" w14:textId="77777777" w:rsidR="00D630C4" w:rsidRDefault="00D630C4" w:rsidP="00D630C4">
      <w:pPr>
        <w:pStyle w:val="CM73"/>
        <w:spacing w:line="546" w:lineRule="atLeast"/>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60AD010C"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6602 </w:t>
      </w:r>
      <w:r>
        <w:rPr>
          <w:rFonts w:ascii="仿宋_GB2312" w:eastAsia="仿宋_GB2312" w:hAnsi="Times New Roman" w:cs="仿宋_GB2312" w:hint="eastAsia"/>
          <w:sz w:val="28"/>
          <w:szCs w:val="28"/>
        </w:rPr>
        <w:t>管理费用</w:t>
      </w:r>
    </w:p>
    <w:p w14:paraId="680E05BE"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一、本科目核算企业为组织和管理企业生产经营所发生的管理费用，包括企业在筹建期间内发生的开办费、董事会和行政管理部门在企业的经营管理中发生的或者应由企业统一负担的公司经费</w:t>
      </w:r>
      <w:r>
        <w:rPr>
          <w:rFonts w:ascii="Times New Roman" w:eastAsia="仿宋_GB2312" w:hAnsi="Times New Roman"/>
          <w:sz w:val="28"/>
          <w:szCs w:val="28"/>
        </w:rPr>
        <w:t>(</w:t>
      </w:r>
      <w:r>
        <w:rPr>
          <w:rFonts w:ascii="仿宋_GB2312" w:eastAsia="仿宋_GB2312" w:hAnsi="Times New Roman" w:cs="仿宋_GB2312" w:hint="eastAsia"/>
          <w:sz w:val="28"/>
          <w:szCs w:val="28"/>
        </w:rPr>
        <w:t>包括行政管理部门职工工资及福利费、物料消耗、低值易耗品摊销、办公费和差旅费等</w:t>
      </w:r>
      <w:r>
        <w:rPr>
          <w:rFonts w:ascii="Times New Roman" w:eastAsia="仿宋_GB2312" w:hAnsi="Times New Roman"/>
          <w:sz w:val="28"/>
          <w:szCs w:val="28"/>
        </w:rPr>
        <w:t>)</w:t>
      </w:r>
      <w:r>
        <w:rPr>
          <w:rFonts w:ascii="仿宋_GB2312" w:eastAsia="仿宋_GB2312" w:hAnsi="Times New Roman" w:cs="仿宋_GB2312" w:hint="eastAsia"/>
          <w:sz w:val="28"/>
          <w:szCs w:val="28"/>
        </w:rPr>
        <w:t>、工会经费、董事会费</w:t>
      </w:r>
      <w:r>
        <w:rPr>
          <w:rFonts w:ascii="Times New Roman" w:eastAsia="仿宋_GB2312" w:hAnsi="Times New Roman"/>
          <w:sz w:val="28"/>
          <w:szCs w:val="28"/>
        </w:rPr>
        <w:t>(</w:t>
      </w:r>
      <w:r>
        <w:rPr>
          <w:rFonts w:ascii="仿宋_GB2312" w:eastAsia="仿宋_GB2312" w:hAnsi="Times New Roman" w:cs="仿宋_GB2312" w:hint="eastAsia"/>
          <w:sz w:val="28"/>
          <w:szCs w:val="28"/>
        </w:rPr>
        <w:t>包括董事会成员津贴、会议费和差旅费等</w:t>
      </w:r>
      <w:r>
        <w:rPr>
          <w:rFonts w:ascii="Times New Roman" w:eastAsia="仿宋_GB2312" w:hAnsi="Times New Roman"/>
          <w:sz w:val="28"/>
          <w:szCs w:val="28"/>
        </w:rPr>
        <w:t>)</w:t>
      </w:r>
      <w:r>
        <w:rPr>
          <w:rFonts w:ascii="仿宋_GB2312" w:eastAsia="仿宋_GB2312" w:hAnsi="Times New Roman" w:cs="仿宋_GB2312" w:hint="eastAsia"/>
          <w:sz w:val="28"/>
          <w:szCs w:val="28"/>
        </w:rPr>
        <w:t>、聘请中介机构费、咨询费</w:t>
      </w:r>
      <w:r>
        <w:rPr>
          <w:rFonts w:ascii="Times New Roman" w:eastAsia="仿宋_GB2312" w:hAnsi="Times New Roman"/>
          <w:sz w:val="28"/>
          <w:szCs w:val="28"/>
        </w:rPr>
        <w:t>(</w:t>
      </w:r>
      <w:r>
        <w:rPr>
          <w:rFonts w:ascii="仿宋_GB2312" w:eastAsia="仿宋_GB2312" w:hAnsi="Times New Roman" w:cs="仿宋_GB2312" w:hint="eastAsia"/>
          <w:sz w:val="28"/>
          <w:szCs w:val="28"/>
        </w:rPr>
        <w:t>含顾问费</w:t>
      </w:r>
      <w:r>
        <w:rPr>
          <w:rFonts w:ascii="Times New Roman" w:eastAsia="仿宋_GB2312" w:hAnsi="Times New Roman"/>
          <w:sz w:val="28"/>
          <w:szCs w:val="28"/>
        </w:rPr>
        <w:t>)</w:t>
      </w:r>
      <w:r>
        <w:rPr>
          <w:rFonts w:ascii="仿宋_GB2312" w:eastAsia="仿宋_GB2312" w:hAnsi="Times New Roman" w:cs="仿宋_GB2312" w:hint="eastAsia"/>
          <w:sz w:val="28"/>
          <w:szCs w:val="28"/>
        </w:rPr>
        <w:t>、诉讼费、业务招待费、房产税、车船使用税、土地使用税、印花税、技术转让费、矿产资源补偿费、研究费用、排污费等。</w:t>
      </w:r>
    </w:p>
    <w:p w14:paraId="7CFF48CC" w14:textId="77777777" w:rsidR="00D630C4" w:rsidRDefault="00D630C4" w:rsidP="00D630C4">
      <w:pPr>
        <w:pStyle w:val="CM63"/>
        <w:ind w:left="283" w:right="40" w:firstLine="563"/>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企业（商品流通）管理费用不多的，可不设置本科目，本科目的核算内容可并入</w:t>
      </w:r>
      <w:r>
        <w:rPr>
          <w:rFonts w:ascii="Times New Roman" w:eastAsia="仿宋_GB2312" w:hAnsi="Times New Roman"/>
          <w:sz w:val="28"/>
          <w:szCs w:val="28"/>
        </w:rPr>
        <w:t>“</w:t>
      </w:r>
      <w:r>
        <w:rPr>
          <w:rFonts w:ascii="仿宋_GB2312" w:eastAsia="仿宋_GB2312" w:hAnsi="Times New Roman" w:cs="仿宋_GB2312" w:hint="eastAsia"/>
          <w:sz w:val="28"/>
          <w:szCs w:val="28"/>
        </w:rPr>
        <w:t>销售费用</w:t>
      </w:r>
      <w:r>
        <w:rPr>
          <w:rFonts w:ascii="Times New Roman" w:eastAsia="仿宋_GB2312" w:hAnsi="Times New Roman"/>
          <w:sz w:val="28"/>
          <w:szCs w:val="28"/>
        </w:rPr>
        <w:t>”</w:t>
      </w:r>
      <w:r>
        <w:rPr>
          <w:rFonts w:ascii="仿宋_GB2312" w:eastAsia="仿宋_GB2312" w:hAnsi="Times New Roman" w:cs="仿宋_GB2312" w:hint="eastAsia"/>
          <w:sz w:val="28"/>
          <w:szCs w:val="28"/>
        </w:rPr>
        <w:t>科目核算。企业生产车间（部门）和行政管理部门等发生的固定资产修理费用等后续支出，也在本科目核算。</w:t>
      </w:r>
    </w:p>
    <w:p w14:paraId="6898C732" w14:textId="77777777" w:rsidR="00D630C4" w:rsidRDefault="00D630C4" w:rsidP="00D630C4">
      <w:pPr>
        <w:pStyle w:val="CM63"/>
        <w:ind w:left="283" w:right="40" w:firstLine="563"/>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二、本科目可按费用项目进行明细核算。</w:t>
      </w:r>
    </w:p>
    <w:p w14:paraId="481ECA91" w14:textId="77777777" w:rsidR="00D630C4" w:rsidRDefault="00D630C4" w:rsidP="00D630C4">
      <w:pPr>
        <w:pStyle w:val="CM63"/>
        <w:ind w:left="283" w:right="40" w:firstLine="563"/>
        <w:rPr>
          <w:rFonts w:ascii="仿宋_GB2312" w:eastAsia="仿宋_GB2312" w:hAnsi="Times New Roman" w:cs="仿宋_GB2312"/>
          <w:sz w:val="28"/>
          <w:szCs w:val="28"/>
        </w:rPr>
      </w:pPr>
      <w:r>
        <w:rPr>
          <w:rFonts w:ascii="仿宋_GB2312" w:eastAsia="仿宋_GB2312" w:hAnsi="Times New Roman" w:cs="仿宋_GB2312" w:hint="eastAsia"/>
          <w:sz w:val="28"/>
          <w:szCs w:val="28"/>
        </w:rPr>
        <w:t>三、管理费用的主要账务处理。</w:t>
      </w:r>
    </w:p>
    <w:p w14:paraId="604DEAC0" w14:textId="77777777" w:rsidR="00D630C4" w:rsidRDefault="00D630C4" w:rsidP="00D630C4">
      <w:pPr>
        <w:pStyle w:val="CM15"/>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（一）企业在筹建期间内发生的开办费，包括人员工资、办公</w:t>
      </w:r>
      <w:r>
        <w:rPr>
          <w:rFonts w:ascii="仿宋_GB2312" w:eastAsia="仿宋_GB2312" w:hAnsi="Times New Roman" w:cs="仿宋_GB2312" w:hint="eastAsia"/>
          <w:sz w:val="28"/>
          <w:szCs w:val="28"/>
        </w:rPr>
        <w:lastRenderedPageBreak/>
        <w:t>费、培训费、差旅费、印刷费、注册登记费以及不计入固定资产成本的借款费用等在实际发生时，借记本科目（开办费），贷记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833ABEE" w14:textId="77777777" w:rsidR="00D630C4" w:rsidRDefault="00D630C4" w:rsidP="00D630C4">
      <w:pPr>
        <w:pStyle w:val="CM59"/>
        <w:ind w:right="40"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（二）行政管理部门人员的职工薪酬，借记本科目，贷记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61579DAE" w14:textId="77777777" w:rsidR="00D630C4" w:rsidRDefault="00D630C4" w:rsidP="00D630C4">
      <w:pPr>
        <w:pStyle w:val="CM59"/>
        <w:ind w:right="40"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（三）行政管理部门计提的固定资产折旧，借记本科目，贷记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948FC57" w14:textId="77777777" w:rsidR="00D630C4" w:rsidRDefault="00D630C4" w:rsidP="00D630C4">
      <w:pPr>
        <w:pStyle w:val="CM2"/>
        <w:ind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发生的办公费、水电费、业务招待费、聘请中介机构费、咨询费、诉讼费、技术转让费、研究费用，借记本科目，贷记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研发支出</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00059789" w14:textId="77777777" w:rsidR="00D630C4" w:rsidRDefault="00D630C4" w:rsidP="00D630C4">
      <w:pPr>
        <w:pStyle w:val="CM73"/>
        <w:spacing w:line="546" w:lineRule="atLeast"/>
        <w:ind w:right="40" w:firstLineChars="300" w:firstLine="840"/>
        <w:rPr>
          <w:rFonts w:ascii="仿宋_GB2312" w:eastAsia="仿宋_GB2312" w:hAnsi="Times New Roman" w:cs="仿宋_GB2312"/>
          <w:sz w:val="28"/>
          <w:szCs w:val="28"/>
        </w:rPr>
      </w:pPr>
      <w:r>
        <w:rPr>
          <w:rFonts w:ascii="仿宋_GB2312" w:eastAsia="仿宋_GB2312" w:hAnsi="Times New Roman" w:cs="仿宋_GB2312" w:hint="eastAsia"/>
          <w:sz w:val="28"/>
          <w:szCs w:val="28"/>
        </w:rPr>
        <w:t>按规定计算确定的应交矿产资源补偿费、房产税、车船使用税、土地使用税、印花税，借记本科目，贷记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科目。四、期末，应将本科目的余额转入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7193150B"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6603 </w:t>
      </w:r>
      <w:r>
        <w:rPr>
          <w:rFonts w:ascii="仿宋_GB2312" w:eastAsia="仿宋_GB2312" w:hAnsi="Times New Roman" w:cs="仿宋_GB2312" w:hint="eastAsia"/>
          <w:sz w:val="28"/>
          <w:szCs w:val="28"/>
        </w:rPr>
        <w:t>财务费用</w:t>
      </w:r>
    </w:p>
    <w:p w14:paraId="329B42A1" w14:textId="77777777" w:rsidR="00D630C4" w:rsidRDefault="00D630C4" w:rsidP="00D630C4">
      <w:pPr>
        <w:pStyle w:val="CM17"/>
        <w:ind w:right="138"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一、本科目核算企业为筹集生产经营所需资金等而发生的筹资费用，包括利息支出</w:t>
      </w:r>
      <w:r>
        <w:rPr>
          <w:rFonts w:ascii="Times New Roman" w:eastAsia="仿宋_GB2312" w:hAnsi="Times New Roman"/>
          <w:sz w:val="28"/>
          <w:szCs w:val="28"/>
        </w:rPr>
        <w:t>(</w:t>
      </w:r>
      <w:r>
        <w:rPr>
          <w:rFonts w:ascii="仿宋_GB2312" w:eastAsia="仿宋_GB2312" w:hAnsi="Times New Roman" w:cs="仿宋_GB2312" w:hint="eastAsia"/>
          <w:sz w:val="28"/>
          <w:szCs w:val="28"/>
        </w:rPr>
        <w:t>减利息收入</w:t>
      </w:r>
      <w:r>
        <w:rPr>
          <w:rFonts w:ascii="Times New Roman" w:eastAsia="仿宋_GB2312" w:hAnsi="Times New Roman"/>
          <w:sz w:val="28"/>
          <w:szCs w:val="28"/>
        </w:rPr>
        <w:t>)</w:t>
      </w:r>
      <w:r>
        <w:rPr>
          <w:rFonts w:ascii="仿宋_GB2312" w:eastAsia="仿宋_GB2312" w:hAnsi="Times New Roman" w:cs="仿宋_GB2312" w:hint="eastAsia"/>
          <w:sz w:val="28"/>
          <w:szCs w:val="28"/>
        </w:rPr>
        <w:t>、汇兑损益以及相关的手续费、企业发生的现金折扣或收到的现金折扣等。</w:t>
      </w:r>
    </w:p>
    <w:p w14:paraId="0957F70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为购建或生产满足资本化条件的资产发生的应予资本化的借款</w:t>
      </w:r>
    </w:p>
    <w:p w14:paraId="0EAC8789" w14:textId="77777777" w:rsidR="00D630C4" w:rsidRDefault="00D630C4" w:rsidP="00D630C4">
      <w:pPr>
        <w:pStyle w:val="CM19"/>
        <w:tabs>
          <w:tab w:val="left" w:pos="8647"/>
        </w:tabs>
        <w:ind w:left="555" w:right="40" w:hanging="555"/>
        <w:rPr>
          <w:rFonts w:ascii="仿宋_GB2312" w:eastAsia="仿宋_GB2312" w:hAnsi="Times New Roman" w:cs="仿宋_GB2312"/>
          <w:sz w:val="28"/>
          <w:szCs w:val="28"/>
        </w:rPr>
      </w:pPr>
      <w:r>
        <w:rPr>
          <w:rFonts w:ascii="仿宋_GB2312" w:eastAsia="仿宋_GB2312" w:hAnsi="Times New Roman" w:cs="仿宋_GB2312" w:hint="eastAsia"/>
          <w:sz w:val="28"/>
          <w:szCs w:val="28"/>
        </w:rPr>
        <w:t>费用，在</w:t>
      </w:r>
      <w:r>
        <w:rPr>
          <w:rFonts w:ascii="Times New Roman" w:eastAsia="仿宋_GB2312" w:hAnsi="Times New Roman"/>
          <w:sz w:val="28"/>
          <w:szCs w:val="28"/>
        </w:rPr>
        <w:t>“</w:t>
      </w:r>
      <w:r>
        <w:rPr>
          <w:rFonts w:ascii="仿宋_GB2312" w:eastAsia="仿宋_GB2312" w:hAnsi="Times New Roman" w:cs="仿宋_GB2312" w:hint="eastAsia"/>
          <w:sz w:val="28"/>
          <w:szCs w:val="28"/>
        </w:rPr>
        <w:t>在建工程</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制造费用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等科目核算。</w:t>
      </w:r>
    </w:p>
    <w:p w14:paraId="0BD84AE5" w14:textId="77777777" w:rsidR="00D630C4" w:rsidRDefault="00D630C4" w:rsidP="00D630C4">
      <w:pPr>
        <w:pStyle w:val="CM19"/>
        <w:tabs>
          <w:tab w:val="left" w:pos="8647"/>
        </w:tabs>
        <w:ind w:leftChars="100" w:left="210" w:right="40"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二、本科目可按费用项目进行明细核算。</w:t>
      </w:r>
    </w:p>
    <w:p w14:paraId="03BDE88B" w14:textId="77777777" w:rsidR="00D630C4" w:rsidRDefault="00D630C4" w:rsidP="00D630C4">
      <w:pPr>
        <w:pStyle w:val="CM19"/>
        <w:tabs>
          <w:tab w:val="left" w:pos="8647"/>
        </w:tabs>
        <w:ind w:leftChars="100" w:left="210" w:right="40"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三、企业发生的财务费用，借记本科目，贷记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未</w:t>
      </w:r>
      <w:r>
        <w:rPr>
          <w:rFonts w:ascii="仿宋_GB2312" w:eastAsia="仿宋_GB2312" w:hAnsi="Times New Roman" w:cs="仿宋_GB2312" w:hint="eastAsia"/>
          <w:sz w:val="28"/>
          <w:szCs w:val="28"/>
        </w:rPr>
        <w:lastRenderedPageBreak/>
        <w:t>确认融资费用</w:t>
      </w:r>
      <w:r>
        <w:rPr>
          <w:rFonts w:ascii="Times New Roman" w:eastAsia="仿宋_GB2312" w:hAnsi="Times New Roman"/>
          <w:sz w:val="28"/>
          <w:szCs w:val="28"/>
        </w:rPr>
        <w:t>”</w:t>
      </w:r>
      <w:r>
        <w:rPr>
          <w:rFonts w:ascii="仿宋_GB2312" w:eastAsia="仿宋_GB2312" w:hAnsi="Times New Roman" w:cs="仿宋_GB2312" w:hint="eastAsia"/>
          <w:sz w:val="28"/>
          <w:szCs w:val="28"/>
        </w:rPr>
        <w:t>等科目。发生的应冲减财务费用的利息收入、汇兑损益、现金折扣，借记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应付账款</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278EDC90" w14:textId="77777777" w:rsidR="00D630C4" w:rsidRDefault="00D630C4" w:rsidP="00D630C4">
      <w:pPr>
        <w:pStyle w:val="CM36"/>
        <w:ind w:right="140"/>
        <w:rPr>
          <w:rFonts w:ascii="Times New Roman" w:eastAsia="仿宋_GB2312" w:hAnsi="Times New Roman"/>
          <w:b/>
          <w:bCs/>
          <w:sz w:val="28"/>
          <w:szCs w:val="28"/>
        </w:rPr>
      </w:pPr>
    </w:p>
    <w:p w14:paraId="2EB03F67" w14:textId="77777777" w:rsidR="00D630C4" w:rsidRDefault="00D630C4" w:rsidP="00D630C4">
      <w:pPr>
        <w:pStyle w:val="CM36"/>
        <w:ind w:right="140"/>
        <w:rPr>
          <w:rFonts w:ascii="仿宋_GB2312" w:eastAsia="仿宋_GB2312" w:hAnsi="Times New Roman" w:cs="仿宋_GB2312"/>
          <w:sz w:val="28"/>
          <w:szCs w:val="28"/>
        </w:rPr>
      </w:pPr>
      <w:r>
        <w:rPr>
          <w:rFonts w:ascii="Times New Roman" w:eastAsia="仿宋_GB2312" w:hAnsi="Times New Roman"/>
          <w:b/>
          <w:bCs/>
          <w:sz w:val="28"/>
          <w:szCs w:val="28"/>
        </w:rPr>
        <w:t xml:space="preserve">6604 </w:t>
      </w:r>
      <w:r>
        <w:rPr>
          <w:rFonts w:ascii="仿宋_GB2312" w:eastAsia="仿宋_GB2312" w:hAnsi="Times New Roman" w:cs="仿宋_GB2312" w:hint="eastAsia"/>
          <w:sz w:val="28"/>
          <w:szCs w:val="28"/>
        </w:rPr>
        <w:t>勘探费用</w:t>
      </w:r>
    </w:p>
    <w:p w14:paraId="3A7D2A03" w14:textId="77777777" w:rsidR="00D630C4" w:rsidRDefault="00D630C4" w:rsidP="00D630C4">
      <w:pPr>
        <w:pStyle w:val="CM3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一、本科目核算企业（石油天然气开采）在油气勘探过程中发生的地质调查、物理化学勘探各项支出和非成功探井等支出。</w:t>
      </w:r>
    </w:p>
    <w:p w14:paraId="6EC17587" w14:textId="77777777" w:rsidR="00D630C4" w:rsidRDefault="00D630C4" w:rsidP="00D630C4">
      <w:pPr>
        <w:pStyle w:val="CM3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二、本科目可按勘探项目进行明细核算。</w:t>
      </w:r>
    </w:p>
    <w:p w14:paraId="0EC69DFA" w14:textId="77777777" w:rsidR="00D630C4" w:rsidRDefault="00D630C4" w:rsidP="00D630C4">
      <w:pPr>
        <w:pStyle w:val="CM3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三、企业油气勘探过程中发生的各项非钻井勘探支出，借记本科目，贷记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银行存款</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累计折旧</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应付职工薪酬</w:t>
      </w:r>
      <w:r>
        <w:rPr>
          <w:rFonts w:ascii="Times New Roman" w:eastAsia="仿宋_GB2312" w:hAnsi="Times New Roman"/>
          <w:sz w:val="28"/>
          <w:szCs w:val="28"/>
        </w:rPr>
        <w:t>”</w:t>
      </w:r>
      <w:r>
        <w:rPr>
          <w:rFonts w:ascii="仿宋_GB2312" w:eastAsia="仿宋_GB2312" w:hAnsi="Times New Roman" w:cs="仿宋_GB2312" w:hint="eastAsia"/>
          <w:sz w:val="28"/>
          <w:szCs w:val="28"/>
        </w:rPr>
        <w:t>等科目。油气勘探过程中发生的各项钻井勘探支出中属于未发现探明经济可采储量的钻井勘探支出，借记本科目，贷记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油气勘探支出</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74A742E1" w14:textId="77777777" w:rsidR="00D630C4" w:rsidRDefault="00D630C4" w:rsidP="00D630C4">
      <w:pPr>
        <w:pStyle w:val="CM36"/>
        <w:ind w:right="140"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4FBDA161" w14:textId="77777777" w:rsidR="00D630C4" w:rsidRDefault="00D630C4" w:rsidP="00D630C4">
      <w:pPr>
        <w:pStyle w:val="Default"/>
        <w:spacing w:line="546" w:lineRule="atLeast"/>
        <w:ind w:right="608"/>
        <w:rPr>
          <w:rFonts w:ascii="Times New Roman" w:eastAsia="仿宋_GB2312" w:hAnsi="Times New Roman" w:cs="Times New Roman"/>
          <w:b/>
          <w:bCs/>
          <w:color w:val="auto"/>
          <w:sz w:val="28"/>
          <w:szCs w:val="28"/>
        </w:rPr>
      </w:pPr>
    </w:p>
    <w:p w14:paraId="38E4F8F4" w14:textId="77777777" w:rsidR="00D630C4" w:rsidRDefault="00D630C4" w:rsidP="00D630C4">
      <w:pPr>
        <w:pStyle w:val="Default"/>
        <w:spacing w:line="546" w:lineRule="atLeast"/>
        <w:ind w:right="608"/>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6701 </w:t>
      </w:r>
      <w:r>
        <w:rPr>
          <w:rFonts w:ascii="仿宋_GB2312" w:eastAsia="仿宋_GB2312" w:hAnsi="Times New Roman" w:cs="仿宋_GB2312" w:hint="eastAsia"/>
          <w:color w:val="auto"/>
          <w:sz w:val="28"/>
          <w:szCs w:val="28"/>
        </w:rPr>
        <w:t>资产减值损失</w:t>
      </w:r>
    </w:p>
    <w:p w14:paraId="432F8600" w14:textId="77777777" w:rsidR="00D630C4" w:rsidRDefault="00D630C4" w:rsidP="00D630C4">
      <w:pPr>
        <w:pStyle w:val="Default"/>
        <w:spacing w:line="546" w:lineRule="atLeast"/>
        <w:ind w:right="608"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一、本科目核算企业计提各项资产减值准备所形成的损失。</w:t>
      </w:r>
    </w:p>
    <w:p w14:paraId="11349448" w14:textId="77777777" w:rsidR="00D630C4" w:rsidRDefault="00D630C4" w:rsidP="00D630C4">
      <w:pPr>
        <w:pStyle w:val="Default"/>
        <w:spacing w:line="546" w:lineRule="atLeast"/>
        <w:ind w:right="608"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二、本科目可按资产减值损失的项目进行明细核算。</w:t>
      </w:r>
    </w:p>
    <w:p w14:paraId="29293F50"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三、企业的应收款项、存货、长期股权投资、持有至到期投资、固定资产、无形资产、贷款等资产发生减值的，按应减记的金额，借记本科目，贷记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坏账准备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存货跌价准备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长期股权投资减值</w:t>
      </w:r>
      <w:r>
        <w:rPr>
          <w:rFonts w:ascii="仿宋_GB2312" w:eastAsia="仿宋_GB2312" w:hAnsi="Times New Roman" w:cs="仿宋_GB2312" w:hint="eastAsia"/>
          <w:sz w:val="28"/>
          <w:szCs w:val="28"/>
        </w:rPr>
        <w:lastRenderedPageBreak/>
        <w:t>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固定资产减值准备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无形资产减值准备</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等科目。</w:t>
      </w:r>
    </w:p>
    <w:p w14:paraId="2E6E9989"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在建工程、工程物资、生产性生物资产、商誉、抵债资产、损余物资、采用成本模式计量的投资性房地产等资产发生减值的，应当设置相应的减值准备科目，比照上述规定进行处理。</w:t>
      </w:r>
    </w:p>
    <w:p w14:paraId="6404DC7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四、企业计提坏账准备、存货跌价准备、持有至到期投资减值准备、贷款损失准备等，相关资产的价值又得以恢复的，应在原已计提的减值准备金额内，按恢复增加的金额，借记</w:t>
      </w:r>
      <w:r>
        <w:rPr>
          <w:rFonts w:ascii="Times New Roman" w:eastAsia="仿宋_GB2312" w:hAnsi="Times New Roman"/>
          <w:sz w:val="28"/>
          <w:szCs w:val="28"/>
        </w:rPr>
        <w:t>“</w:t>
      </w:r>
      <w:r>
        <w:rPr>
          <w:rFonts w:ascii="仿宋_GB2312" w:eastAsia="仿宋_GB2312" w:hAnsi="Times New Roman" w:cs="仿宋_GB2312" w:hint="eastAsia"/>
          <w:sz w:val="28"/>
          <w:szCs w:val="28"/>
        </w:rPr>
        <w:t>坏账准备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存货跌价准备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持有至到期投资减值准备</w:t>
      </w:r>
      <w:r>
        <w:rPr>
          <w:rFonts w:ascii="Times New Roman" w:eastAsia="仿宋_GB2312" w:hAnsi="Times New Roman"/>
          <w:sz w:val="28"/>
          <w:szCs w:val="28"/>
        </w:rPr>
        <w:t>”</w:t>
      </w:r>
      <w:r>
        <w:rPr>
          <w:rFonts w:ascii="仿宋_GB2312" w:eastAsia="仿宋_GB2312" w:hAnsi="Times New Roman" w:cs="仿宋_GB2312" w:hint="eastAsia"/>
          <w:sz w:val="28"/>
          <w:szCs w:val="28"/>
        </w:rPr>
        <w:t>、</w:t>
      </w:r>
      <w:r>
        <w:rPr>
          <w:rFonts w:ascii="Times New Roman" w:eastAsia="仿宋_GB2312" w:hAnsi="Times New Roman"/>
          <w:sz w:val="28"/>
          <w:szCs w:val="28"/>
        </w:rPr>
        <w:t>“</w:t>
      </w:r>
      <w:r>
        <w:rPr>
          <w:rFonts w:ascii="仿宋_GB2312" w:eastAsia="仿宋_GB2312" w:hAnsi="Times New Roman" w:cs="仿宋_GB2312" w:hint="eastAsia"/>
          <w:sz w:val="28"/>
          <w:szCs w:val="28"/>
        </w:rPr>
        <w:t>贷款损失准备</w:t>
      </w:r>
      <w:r>
        <w:rPr>
          <w:rFonts w:ascii="Times New Roman" w:eastAsia="仿宋_GB2312" w:hAnsi="Times New Roman"/>
          <w:sz w:val="28"/>
          <w:szCs w:val="28"/>
        </w:rPr>
        <w:t>”</w:t>
      </w:r>
      <w:r>
        <w:rPr>
          <w:rFonts w:ascii="仿宋_GB2312" w:eastAsia="仿宋_GB2312" w:hAnsi="Times New Roman" w:cs="仿宋_GB2312" w:hint="eastAsia"/>
          <w:sz w:val="28"/>
          <w:szCs w:val="28"/>
        </w:rPr>
        <w:t>等科目，贷记本科目。</w:t>
      </w:r>
    </w:p>
    <w:p w14:paraId="298A5D7B" w14:textId="77777777" w:rsidR="00D630C4" w:rsidRDefault="00D630C4" w:rsidP="00D630C4">
      <w:pPr>
        <w:pStyle w:val="CM73"/>
        <w:spacing w:line="546" w:lineRule="atLeast"/>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五、期末，应将本科目余额转入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3C30FD84" w14:textId="77777777" w:rsidR="00D630C4" w:rsidRDefault="00D630C4" w:rsidP="00D630C4">
      <w:pPr>
        <w:pStyle w:val="CM22"/>
        <w:rPr>
          <w:rFonts w:ascii="仿宋_GB2312" w:eastAsia="仿宋_GB2312" w:hAnsi="Times New Roman" w:cs="仿宋_GB2312"/>
          <w:sz w:val="28"/>
          <w:szCs w:val="28"/>
        </w:rPr>
      </w:pPr>
      <w:r>
        <w:rPr>
          <w:rFonts w:ascii="Times New Roman" w:eastAsia="仿宋_GB2312" w:hAnsi="Times New Roman"/>
          <w:b/>
          <w:bCs/>
          <w:sz w:val="28"/>
          <w:szCs w:val="28"/>
        </w:rPr>
        <w:t xml:space="preserve">6711   </w:t>
      </w:r>
      <w:r>
        <w:rPr>
          <w:rFonts w:ascii="仿宋_GB2312" w:eastAsia="仿宋_GB2312" w:hAnsi="Times New Roman" w:cs="仿宋_GB2312" w:hint="eastAsia"/>
          <w:sz w:val="28"/>
          <w:szCs w:val="28"/>
        </w:rPr>
        <w:t>营业外支出</w:t>
      </w:r>
    </w:p>
    <w:p w14:paraId="3E7A95E2"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一、本科目核算企业发生的各项营业外支出，包括非流动资产处置损失、非货币性资产交换损失、债务重组损失、公益性捐赠支出、非常损失、盘亏损失等。</w:t>
      </w:r>
    </w:p>
    <w:p w14:paraId="7FD4CC46"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二、本科目可按支出项目进行明细核算。</w:t>
      </w:r>
    </w:p>
    <w:p w14:paraId="21AD9D15"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三、企业确认处置非流动资产损失、非货币性资产交换损失、债务重组损失，比照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固定资产清理</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无形资产</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原材料</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库存商品</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应付账款</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等科目的相关规定进行处理。</w:t>
      </w:r>
    </w:p>
    <w:p w14:paraId="1C6FE7A7"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盘亏、毁损的资产发生的净损失，按管理权限报经批准后，借记</w:t>
      </w:r>
      <w:r>
        <w:rPr>
          <w:rFonts w:ascii="仿宋_GB2312" w:eastAsia="仿宋_GB2312" w:hAnsi="Times New Roman" w:cs="仿宋_GB2312" w:hint="eastAsia"/>
          <w:sz w:val="28"/>
          <w:szCs w:val="28"/>
        </w:rPr>
        <w:lastRenderedPageBreak/>
        <w:t>本科目，贷记</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待处理财产损溢</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科目。</w:t>
      </w:r>
    </w:p>
    <w:p w14:paraId="0C16ADEA"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5D1A9EFB" w14:textId="77777777" w:rsidR="00D630C4" w:rsidRDefault="00D630C4" w:rsidP="00D630C4">
      <w:pPr>
        <w:pStyle w:val="Default"/>
        <w:spacing w:line="546" w:lineRule="atLeast"/>
        <w:ind w:right="3650"/>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t xml:space="preserve">6801 </w:t>
      </w:r>
      <w:r>
        <w:rPr>
          <w:rFonts w:ascii="仿宋_GB2312" w:eastAsia="仿宋_GB2312" w:hAnsi="Times New Roman" w:cs="仿宋_GB2312" w:hint="eastAsia"/>
          <w:color w:val="auto"/>
          <w:sz w:val="28"/>
          <w:szCs w:val="28"/>
        </w:rPr>
        <w:t>所得税费用</w:t>
      </w:r>
    </w:p>
    <w:p w14:paraId="6151ED21" w14:textId="77777777" w:rsidR="00D630C4" w:rsidRDefault="00D630C4" w:rsidP="00D630C4">
      <w:pPr>
        <w:pStyle w:val="Default"/>
        <w:spacing w:line="546" w:lineRule="atLeast"/>
        <w:ind w:leftChars="200" w:left="420" w:right="4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一、本科目核算企业确认的应从当期利润总额中扣除的所得税费用。</w:t>
      </w:r>
    </w:p>
    <w:p w14:paraId="1F03050C" w14:textId="77777777" w:rsidR="00D630C4" w:rsidRDefault="00D630C4" w:rsidP="00D630C4">
      <w:pPr>
        <w:pStyle w:val="Default"/>
        <w:spacing w:line="546" w:lineRule="atLeast"/>
        <w:ind w:leftChars="200" w:left="420" w:right="4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二、本科目可按</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当期所得税费用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递延所得税费用</w:t>
      </w:r>
      <w:r>
        <w:rPr>
          <w:rFonts w:ascii="仿宋_GB2312" w:eastAsia="仿宋_GB2312" w:hAnsi="Times New Roman" w:cs="仿宋_GB2312"/>
          <w:color w:val="auto"/>
          <w:sz w:val="28"/>
          <w:szCs w:val="28"/>
        </w:rPr>
        <w:t>”</w:t>
      </w:r>
      <w:r>
        <w:rPr>
          <w:rFonts w:ascii="仿宋_GB2312" w:eastAsia="仿宋_GB2312" w:hAnsi="Times New Roman" w:cs="仿宋_GB2312" w:hint="eastAsia"/>
          <w:color w:val="auto"/>
          <w:sz w:val="28"/>
          <w:szCs w:val="28"/>
        </w:rPr>
        <w:t>进行明细核算。</w:t>
      </w:r>
    </w:p>
    <w:p w14:paraId="51E57314" w14:textId="77777777" w:rsidR="00D630C4" w:rsidRDefault="00D630C4" w:rsidP="00D630C4">
      <w:pPr>
        <w:pStyle w:val="Default"/>
        <w:spacing w:line="546" w:lineRule="atLeast"/>
        <w:ind w:leftChars="200" w:left="420" w:right="4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三、所得税费用的主要账务处理。</w:t>
      </w:r>
    </w:p>
    <w:p w14:paraId="6A7C984F"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（一）资产负债表日，企业按照税法规定计算确定的当期应交所得税，借记本科目（当期所得税费用），贷记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应交所得税</w:t>
      </w:r>
      <w:r>
        <w:rPr>
          <w:rFonts w:ascii="Times New Roman" w:eastAsia="仿宋_GB2312" w:hAnsi="Times New Roman"/>
          <w:sz w:val="28"/>
          <w:szCs w:val="28"/>
        </w:rPr>
        <w:t>”</w:t>
      </w:r>
      <w:r>
        <w:rPr>
          <w:rFonts w:ascii="仿宋_GB2312" w:eastAsia="仿宋_GB2312" w:hAnsi="Times New Roman" w:cs="仿宋_GB2312" w:hint="eastAsia"/>
          <w:sz w:val="28"/>
          <w:szCs w:val="28"/>
        </w:rPr>
        <w:t>科目。</w:t>
      </w:r>
    </w:p>
    <w:p w14:paraId="48EC0AEE" w14:textId="77777777" w:rsidR="00D630C4" w:rsidRDefault="00D630C4" w:rsidP="00D630C4">
      <w:pPr>
        <w:pStyle w:val="CM30"/>
        <w:ind w:firstLine="420"/>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（二）资产负债表日，根据递延所得税资产的应有余额大于</w:t>
      </w:r>
      <w:r>
        <w:rPr>
          <w:rFonts w:ascii="Times New Roman" w:eastAsia="仿宋_GB2312" w:hAnsi="Times New Roman"/>
          <w:sz w:val="28"/>
          <w:szCs w:val="28"/>
        </w:rPr>
        <w:t>“</w:t>
      </w:r>
      <w:r>
        <w:rPr>
          <w:rFonts w:ascii="仿宋_GB2312" w:eastAsia="仿宋_GB2312" w:hAnsi="Times New Roman" w:cs="仿宋_GB2312" w:hint="eastAsia"/>
          <w:sz w:val="28"/>
          <w:szCs w:val="28"/>
        </w:rPr>
        <w:t>递延所得税资产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科目余额的差额，借记</w:t>
      </w:r>
      <w:r>
        <w:rPr>
          <w:rFonts w:ascii="Times New Roman" w:eastAsia="仿宋_GB2312" w:hAnsi="Times New Roman"/>
          <w:sz w:val="28"/>
          <w:szCs w:val="28"/>
        </w:rPr>
        <w:t>“</w:t>
      </w:r>
      <w:r>
        <w:rPr>
          <w:rFonts w:ascii="仿宋_GB2312" w:eastAsia="仿宋_GB2312" w:hAnsi="Times New Roman" w:cs="仿宋_GB2312" w:hint="eastAsia"/>
          <w:sz w:val="28"/>
          <w:szCs w:val="28"/>
        </w:rPr>
        <w:t>递延所得税资产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科目，贷记本科目（递延所得税费用）、</w:t>
      </w:r>
      <w:r>
        <w:rPr>
          <w:rFonts w:ascii="Times New Roman" w:eastAsia="仿宋_GB2312" w:hAnsi="Times New Roman"/>
          <w:sz w:val="28"/>
          <w:szCs w:val="28"/>
        </w:rPr>
        <w:t>“</w:t>
      </w:r>
      <w:r>
        <w:rPr>
          <w:rFonts w:ascii="仿宋_GB2312" w:eastAsia="仿宋_GB2312" w:hAnsi="Times New Roman" w:cs="仿宋_GB2312" w:hint="eastAsia"/>
          <w:sz w:val="28"/>
          <w:szCs w:val="28"/>
        </w:rPr>
        <w:t>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其他资本公积</w:t>
      </w:r>
      <w:r>
        <w:rPr>
          <w:rFonts w:ascii="Times New Roman" w:eastAsia="仿宋_GB2312" w:hAnsi="Times New Roman"/>
          <w:sz w:val="28"/>
          <w:szCs w:val="28"/>
        </w:rPr>
        <w:t>”</w:t>
      </w:r>
      <w:r>
        <w:rPr>
          <w:rFonts w:ascii="仿宋_GB2312" w:eastAsia="仿宋_GB2312" w:hAnsi="Times New Roman" w:cs="仿宋_GB2312" w:hint="eastAsia"/>
          <w:sz w:val="28"/>
          <w:szCs w:val="28"/>
        </w:rPr>
        <w:t>等科目；递延所得税资产的应有余额小于</w:t>
      </w:r>
      <w:r>
        <w:rPr>
          <w:rFonts w:ascii="Times New Roman" w:eastAsia="仿宋_GB2312" w:hAnsi="Times New Roman"/>
          <w:sz w:val="28"/>
          <w:szCs w:val="28"/>
        </w:rPr>
        <w:t>“</w:t>
      </w:r>
      <w:r>
        <w:rPr>
          <w:rFonts w:ascii="仿宋_GB2312" w:eastAsia="仿宋_GB2312" w:hAnsi="Times New Roman" w:cs="仿宋_GB2312" w:hint="eastAsia"/>
          <w:sz w:val="28"/>
          <w:szCs w:val="28"/>
        </w:rPr>
        <w:t>递延所得税资产</w:t>
      </w:r>
      <w:r>
        <w:rPr>
          <w:rFonts w:ascii="Times New Roman" w:eastAsia="仿宋_GB2312" w:hAnsi="Times New Roman"/>
          <w:sz w:val="28"/>
          <w:szCs w:val="28"/>
        </w:rPr>
        <w:t>”</w:t>
      </w:r>
      <w:r>
        <w:rPr>
          <w:rFonts w:ascii="仿宋_GB2312" w:eastAsia="仿宋_GB2312" w:hAnsi="Times New Roman" w:cs="仿宋_GB2312" w:hint="eastAsia"/>
          <w:sz w:val="28"/>
          <w:szCs w:val="28"/>
        </w:rPr>
        <w:t>科目余额的差额做相反的会计分录。</w:t>
      </w:r>
    </w:p>
    <w:p w14:paraId="226C2C72" w14:textId="77777777" w:rsidR="00D630C4" w:rsidRDefault="00D630C4" w:rsidP="00D630C4">
      <w:pPr>
        <w:pStyle w:val="CM11"/>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企业应予确认的递延所得税负债，应当比照上述原则调整本科目、</w:t>
      </w:r>
      <w:r>
        <w:rPr>
          <w:rFonts w:ascii="Times New Roman" w:eastAsia="仿宋_GB2312" w:hAnsi="Times New Roman"/>
          <w:sz w:val="28"/>
          <w:szCs w:val="28"/>
        </w:rPr>
        <w:t>“</w:t>
      </w:r>
      <w:r>
        <w:rPr>
          <w:rFonts w:ascii="仿宋_GB2312" w:eastAsia="仿宋_GB2312" w:hAnsi="Times New Roman" w:cs="仿宋_GB2312" w:hint="eastAsia"/>
          <w:sz w:val="28"/>
          <w:szCs w:val="28"/>
        </w:rPr>
        <w:t>递延所得税负债</w:t>
      </w:r>
      <w:r>
        <w:rPr>
          <w:rFonts w:ascii="Times New Roman" w:eastAsia="仿宋_GB2312" w:hAnsi="Times New Roman"/>
          <w:sz w:val="28"/>
          <w:szCs w:val="28"/>
        </w:rPr>
        <w:t>”</w:t>
      </w:r>
      <w:r>
        <w:rPr>
          <w:rFonts w:ascii="仿宋_GB2312" w:eastAsia="仿宋_GB2312" w:hAnsi="Times New Roman" w:cs="仿宋_GB2312" w:hint="eastAsia"/>
          <w:sz w:val="28"/>
          <w:szCs w:val="28"/>
        </w:rPr>
        <w:t>科目及有关科目。</w:t>
      </w:r>
    </w:p>
    <w:p w14:paraId="2AF1DF0B" w14:textId="77777777" w:rsidR="00D630C4" w:rsidRDefault="00D630C4" w:rsidP="00D630C4">
      <w:pPr>
        <w:pStyle w:val="CM73"/>
        <w:spacing w:line="546" w:lineRule="atLeast"/>
        <w:ind w:firstLine="558"/>
        <w:jc w:val="both"/>
        <w:rPr>
          <w:rFonts w:ascii="仿宋_GB2312" w:eastAsia="仿宋_GB2312" w:hAnsi="Times New Roman" w:cs="仿宋_GB2312"/>
          <w:sz w:val="28"/>
          <w:szCs w:val="28"/>
        </w:rPr>
      </w:pPr>
      <w:r>
        <w:rPr>
          <w:rFonts w:ascii="仿宋_GB2312" w:eastAsia="仿宋_GB2312" w:hAnsi="Times New Roman" w:cs="仿宋_GB2312" w:hint="eastAsia"/>
          <w:sz w:val="28"/>
          <w:szCs w:val="28"/>
        </w:rPr>
        <w:t>四、期末，应将本科目的余额转入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本年利润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科目，结转后本科目无余额。</w:t>
      </w:r>
    </w:p>
    <w:p w14:paraId="1C06635E" w14:textId="77777777" w:rsidR="00D630C4" w:rsidRDefault="00D630C4" w:rsidP="00D630C4">
      <w:pPr>
        <w:pStyle w:val="Default"/>
        <w:spacing w:line="546" w:lineRule="atLeast"/>
        <w:ind w:right="1028"/>
        <w:rPr>
          <w:rFonts w:ascii="仿宋_GB2312" w:eastAsia="仿宋_GB2312" w:hAnsi="Times New Roman" w:cs="仿宋_GB2312"/>
          <w:color w:val="auto"/>
          <w:sz w:val="28"/>
          <w:szCs w:val="28"/>
        </w:rPr>
      </w:pPr>
      <w:r>
        <w:rPr>
          <w:rFonts w:ascii="Times New Roman" w:eastAsia="仿宋_GB2312" w:hAnsi="Times New Roman" w:cs="Times New Roman"/>
          <w:b/>
          <w:bCs/>
          <w:color w:val="auto"/>
          <w:sz w:val="28"/>
          <w:szCs w:val="28"/>
        </w:rPr>
        <w:lastRenderedPageBreak/>
        <w:t xml:space="preserve">6901 </w:t>
      </w:r>
      <w:r>
        <w:rPr>
          <w:rFonts w:ascii="仿宋_GB2312" w:eastAsia="仿宋_GB2312" w:hAnsi="Times New Roman" w:cs="仿宋_GB2312" w:hint="eastAsia"/>
          <w:color w:val="auto"/>
          <w:sz w:val="28"/>
          <w:szCs w:val="28"/>
        </w:rPr>
        <w:t>以前年度损益调整</w:t>
      </w:r>
    </w:p>
    <w:p w14:paraId="3C1ED3BB" w14:textId="77777777" w:rsidR="00D630C4" w:rsidRDefault="00D630C4" w:rsidP="00D630C4">
      <w:pPr>
        <w:pStyle w:val="Default"/>
        <w:tabs>
          <w:tab w:val="left" w:pos="8647"/>
        </w:tabs>
        <w:spacing w:line="546" w:lineRule="atLeast"/>
        <w:ind w:right="40" w:firstLineChars="200" w:firstLine="560"/>
        <w:rPr>
          <w:rFonts w:ascii="仿宋_GB2312" w:eastAsia="仿宋_GB2312" w:hAnsi="Times New Roman" w:cs="仿宋_GB2312"/>
          <w:color w:val="auto"/>
          <w:sz w:val="28"/>
          <w:szCs w:val="28"/>
        </w:rPr>
      </w:pPr>
      <w:r>
        <w:rPr>
          <w:rFonts w:ascii="仿宋_GB2312" w:eastAsia="仿宋_GB2312" w:hAnsi="Times New Roman" w:cs="仿宋_GB2312" w:hint="eastAsia"/>
          <w:color w:val="auto"/>
          <w:sz w:val="28"/>
          <w:szCs w:val="28"/>
        </w:rPr>
        <w:t>一、本科目核算企业本年度发生的调整以前年度损益的事项以及本年度发现的重要前期差错更正涉及调整以前年度损益的事项。企业在资产负债表日至财务报告批准报出日之间发生的需要调整</w:t>
      </w:r>
      <w:r>
        <w:rPr>
          <w:rFonts w:ascii="仿宋_GB2312" w:eastAsia="仿宋_GB2312" w:hAnsi="Times New Roman" w:cs="仿宋_GB2312" w:hint="eastAsia"/>
          <w:sz w:val="28"/>
          <w:szCs w:val="28"/>
        </w:rPr>
        <w:t>报告年度损益的事项，也可以通过本科目核算。</w:t>
      </w:r>
    </w:p>
    <w:p w14:paraId="05AD8AD3" w14:textId="77777777" w:rsidR="00D630C4" w:rsidRDefault="00D630C4" w:rsidP="00D630C4">
      <w:pPr>
        <w:pStyle w:val="CM27"/>
        <w:ind w:firstLine="483"/>
        <w:rPr>
          <w:rFonts w:ascii="仿宋_GB2312" w:eastAsia="仿宋_GB2312" w:hAnsi="Times New Roman" w:cs="仿宋_GB2312"/>
          <w:sz w:val="28"/>
          <w:szCs w:val="28"/>
        </w:rPr>
      </w:pPr>
      <w:r>
        <w:rPr>
          <w:rFonts w:ascii="仿宋_GB2312" w:eastAsia="仿宋_GB2312" w:hAnsi="Times New Roman" w:cs="仿宋_GB2312" w:hint="eastAsia"/>
          <w:sz w:val="28"/>
          <w:szCs w:val="28"/>
        </w:rPr>
        <w:t>二、以前年度损益调整的主要账务处理。</w:t>
      </w:r>
    </w:p>
    <w:p w14:paraId="6DB3649E" w14:textId="77777777" w:rsidR="00D630C4" w:rsidRDefault="00D630C4" w:rsidP="00D630C4">
      <w:pPr>
        <w:pStyle w:val="CM25"/>
        <w:ind w:firstLine="360"/>
        <w:rPr>
          <w:rFonts w:ascii="仿宋_GB2312" w:eastAsia="仿宋_GB2312" w:hAnsi="Times New Roman" w:cs="仿宋_GB2312"/>
          <w:sz w:val="28"/>
          <w:szCs w:val="28"/>
        </w:rPr>
      </w:pPr>
      <w:r>
        <w:rPr>
          <w:rFonts w:ascii="仿宋_GB2312" w:eastAsia="仿宋_GB2312" w:hAnsi="Times New Roman" w:cs="仿宋_GB2312" w:hint="eastAsia"/>
          <w:sz w:val="28"/>
          <w:szCs w:val="28"/>
        </w:rPr>
        <w:t>（一）企业调整增加以前年度利润或减少以前年度亏损，借记有关科目，贷记本科目；调整减少以前年度利润或增加以前年度亏损做相反的会计分录。</w:t>
      </w:r>
    </w:p>
    <w:p w14:paraId="1627E26F" w14:textId="77777777" w:rsidR="00D630C4" w:rsidRDefault="00D630C4" w:rsidP="00D630C4">
      <w:pPr>
        <w:pStyle w:val="CM2"/>
        <w:ind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（二）由于以前年度损益调整增加的所得税费用，借记本科目，贷记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应交税费</w:t>
      </w:r>
      <w:r>
        <w:rPr>
          <w:rFonts w:ascii="Times New Roman" w:eastAsia="仿宋_GB2312" w:hAnsi="Times New Roman"/>
          <w:sz w:val="28"/>
          <w:szCs w:val="28"/>
        </w:rPr>
        <w:t>——</w:t>
      </w:r>
      <w:r>
        <w:rPr>
          <w:rFonts w:ascii="仿宋_GB2312" w:eastAsia="仿宋_GB2312" w:hAnsi="Times New Roman" w:cs="仿宋_GB2312" w:hint="eastAsia"/>
          <w:sz w:val="28"/>
          <w:szCs w:val="28"/>
        </w:rPr>
        <w:t>应交所得税</w:t>
      </w:r>
      <w:r>
        <w:rPr>
          <w:rFonts w:ascii="Times New Roman" w:eastAsia="仿宋_GB2312" w:hAnsi="Times New Roman"/>
          <w:sz w:val="28"/>
          <w:szCs w:val="28"/>
        </w:rPr>
        <w:t>”</w:t>
      </w:r>
      <w:r>
        <w:rPr>
          <w:rFonts w:ascii="仿宋_GB2312" w:eastAsia="仿宋_GB2312" w:hAnsi="Times New Roman" w:cs="仿宋_GB2312" w:hint="eastAsia"/>
          <w:sz w:val="28"/>
          <w:szCs w:val="28"/>
        </w:rPr>
        <w:t>等科目；由于以前年度损益调整减少的所得税费用做相反的会计分录。</w:t>
      </w:r>
    </w:p>
    <w:p w14:paraId="1326787F" w14:textId="77777777" w:rsidR="00D630C4" w:rsidRDefault="00D630C4" w:rsidP="00D630C4">
      <w:pPr>
        <w:pStyle w:val="CM15"/>
        <w:ind w:firstLine="420"/>
        <w:rPr>
          <w:rFonts w:ascii="仿宋_GB2312" w:eastAsia="仿宋_GB2312" w:hAnsi="Times New Roman" w:cs="仿宋_GB2312"/>
          <w:sz w:val="28"/>
          <w:szCs w:val="28"/>
        </w:rPr>
      </w:pPr>
      <w:r>
        <w:rPr>
          <w:rFonts w:ascii="仿宋_GB2312" w:eastAsia="仿宋_GB2312" w:hAnsi="Times New Roman" w:cs="仿宋_GB2312" w:hint="eastAsia"/>
          <w:sz w:val="28"/>
          <w:szCs w:val="28"/>
        </w:rPr>
        <w:t>（三）经上述调整后，应将本科目的余额转入</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科目。本科目如为贷方余额，借记本科目，贷记</w:t>
      </w:r>
      <w:r>
        <w:rPr>
          <w:rFonts w:ascii="Times New Roman" w:eastAsia="仿宋_GB2312" w:hAnsi="Times New Roman"/>
          <w:sz w:val="28"/>
          <w:szCs w:val="28"/>
        </w:rPr>
        <w:t>“</w:t>
      </w:r>
      <w:r>
        <w:rPr>
          <w:rFonts w:ascii="仿宋_GB2312" w:eastAsia="仿宋_GB2312" w:hAnsi="Times New Roman" w:cs="仿宋_GB2312" w:hint="eastAsia"/>
          <w:sz w:val="28"/>
          <w:szCs w:val="28"/>
        </w:rPr>
        <w:t>利润分配</w:t>
      </w:r>
      <w:r>
        <w:rPr>
          <w:rFonts w:ascii="Times New Roman" w:eastAsia="仿宋_GB2312" w:hAnsi="Times New Roman"/>
          <w:sz w:val="28"/>
          <w:szCs w:val="28"/>
        </w:rPr>
        <w:t xml:space="preserve">—— </w:t>
      </w:r>
      <w:r>
        <w:rPr>
          <w:rFonts w:ascii="仿宋_GB2312" w:eastAsia="仿宋_GB2312" w:hAnsi="Times New Roman" w:cs="仿宋_GB2312" w:hint="eastAsia"/>
          <w:sz w:val="28"/>
          <w:szCs w:val="28"/>
        </w:rPr>
        <w:t>未分配利润</w:t>
      </w:r>
      <w:r>
        <w:rPr>
          <w:rFonts w:ascii="Times New Roman" w:eastAsia="仿宋_GB2312" w:hAnsi="Times New Roman"/>
          <w:sz w:val="28"/>
          <w:szCs w:val="28"/>
        </w:rPr>
        <w:t>”</w:t>
      </w:r>
      <w:r>
        <w:rPr>
          <w:rFonts w:ascii="仿宋_GB2312" w:eastAsia="仿宋_GB2312" w:hAnsi="Times New Roman" w:cs="仿宋_GB2312" w:hint="eastAsia"/>
          <w:sz w:val="28"/>
          <w:szCs w:val="28"/>
        </w:rPr>
        <w:t>科目；如为借方余额做相反的会计分录。</w:t>
      </w:r>
    </w:p>
    <w:p w14:paraId="45E94E25" w14:textId="77777777" w:rsidR="00D630C4" w:rsidRDefault="00D630C4" w:rsidP="00D630C4">
      <w:pPr>
        <w:pStyle w:val="CM2"/>
        <w:ind w:firstLine="560"/>
      </w:pPr>
      <w:r>
        <w:rPr>
          <w:rFonts w:ascii="仿宋_GB2312" w:eastAsia="仿宋_GB2312" w:hAnsi="Times New Roman" w:cs="仿宋_GB2312" w:hint="eastAsia"/>
          <w:sz w:val="28"/>
          <w:szCs w:val="28"/>
        </w:rPr>
        <w:t>三、本科目结转后应无余额。</w:t>
      </w:r>
    </w:p>
    <w:p w14:paraId="2267A926" w14:textId="77777777" w:rsidR="00D630C4" w:rsidRDefault="00D630C4" w:rsidP="00D630C4">
      <w:pPr>
        <w:pStyle w:val="ad"/>
        <w:spacing w:line="432" w:lineRule="auto"/>
        <w:ind w:firstLine="480"/>
        <w:rPr>
          <w:rFonts w:asciiTheme="minorEastAsia" w:eastAsiaTheme="minorEastAsia" w:hAnsiTheme="minorEastAsia" w:cs="Arial"/>
        </w:rPr>
      </w:pPr>
    </w:p>
    <w:p w14:paraId="533A7956" w14:textId="77777777" w:rsidR="00F57C18" w:rsidRPr="00D630C4" w:rsidRDefault="00F57C18"/>
    <w:sectPr w:rsidR="00F57C18" w:rsidRPr="00D630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77FAF" w14:textId="77777777" w:rsidR="00712CEC" w:rsidRDefault="00712CEC" w:rsidP="00D630C4">
      <w:r>
        <w:separator/>
      </w:r>
    </w:p>
  </w:endnote>
  <w:endnote w:type="continuationSeparator" w:id="0">
    <w:p w14:paraId="6B5108AA" w14:textId="77777777" w:rsidR="00712CEC" w:rsidRDefault="00712CEC" w:rsidP="00D6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001342"/>
      <w:docPartObj>
        <w:docPartGallery w:val="Page Numbers (Bottom of Page)"/>
        <w:docPartUnique/>
      </w:docPartObj>
    </w:sdtPr>
    <w:sdtContent>
      <w:sdt>
        <w:sdtPr>
          <w:id w:val="1728636285"/>
          <w:docPartObj>
            <w:docPartGallery w:val="Page Numbers (Top of Page)"/>
            <w:docPartUnique/>
          </w:docPartObj>
        </w:sdtPr>
        <w:sdtContent>
          <w:p w14:paraId="41AD55BD" w14:textId="099837A0" w:rsidR="00D630C4" w:rsidRDefault="00D630C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66BC087" w14:textId="77777777" w:rsidR="00D630C4" w:rsidRDefault="00D630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0637A" w14:textId="77777777" w:rsidR="00712CEC" w:rsidRDefault="00712CEC" w:rsidP="00D630C4">
      <w:r>
        <w:separator/>
      </w:r>
    </w:p>
  </w:footnote>
  <w:footnote w:type="continuationSeparator" w:id="0">
    <w:p w14:paraId="24FC9FB0" w14:textId="77777777" w:rsidR="00712CEC" w:rsidRDefault="00712CEC" w:rsidP="00D63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D1402"/>
    <w:rsid w:val="004D1402"/>
    <w:rsid w:val="00712CEC"/>
    <w:rsid w:val="00D630C4"/>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F2355-3340-4080-A89B-4DEC0D8A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0C4"/>
    <w:pPr>
      <w:widowControl w:val="0"/>
      <w:jc w:val="both"/>
    </w:pPr>
  </w:style>
  <w:style w:type="paragraph" w:styleId="1">
    <w:name w:val="heading 1"/>
    <w:basedOn w:val="a"/>
    <w:next w:val="a"/>
    <w:link w:val="10"/>
    <w:uiPriority w:val="9"/>
    <w:qFormat/>
    <w:rsid w:val="00D630C4"/>
    <w:pPr>
      <w:keepNext/>
      <w:keepLines/>
      <w:spacing w:before="340" w:after="330" w:line="578" w:lineRule="auto"/>
      <w:outlineLvl w:val="0"/>
    </w:pPr>
    <w:rPr>
      <w:b/>
      <w:bCs/>
      <w:kern w:val="44"/>
      <w:sz w:val="44"/>
      <w:szCs w:val="44"/>
    </w:rPr>
  </w:style>
  <w:style w:type="paragraph" w:styleId="2">
    <w:name w:val="heading 2"/>
    <w:basedOn w:val="a"/>
    <w:link w:val="20"/>
    <w:uiPriority w:val="1"/>
    <w:qFormat/>
    <w:rsid w:val="00D630C4"/>
    <w:pPr>
      <w:spacing w:before="47"/>
      <w:ind w:left="702"/>
      <w:jc w:val="left"/>
      <w:outlineLvl w:val="1"/>
    </w:pPr>
    <w:rPr>
      <w:rFonts w:ascii="Microsoft JhengHei Light" w:eastAsia="Microsoft JhengHei Light" w:hAnsi="Microsoft JhengHei Light"/>
      <w:kern w:val="0"/>
      <w:sz w:val="28"/>
      <w:szCs w:val="28"/>
      <w:lang w:eastAsia="en-US"/>
    </w:rPr>
  </w:style>
  <w:style w:type="paragraph" w:styleId="3">
    <w:name w:val="heading 3"/>
    <w:basedOn w:val="a"/>
    <w:next w:val="a"/>
    <w:link w:val="30"/>
    <w:uiPriority w:val="1"/>
    <w:unhideWhenUsed/>
    <w:qFormat/>
    <w:rsid w:val="00D630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0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30C4"/>
    <w:rPr>
      <w:sz w:val="18"/>
      <w:szCs w:val="18"/>
    </w:rPr>
  </w:style>
  <w:style w:type="paragraph" w:styleId="a5">
    <w:name w:val="footer"/>
    <w:basedOn w:val="a"/>
    <w:link w:val="a6"/>
    <w:uiPriority w:val="99"/>
    <w:unhideWhenUsed/>
    <w:rsid w:val="00D630C4"/>
    <w:pPr>
      <w:tabs>
        <w:tab w:val="center" w:pos="4153"/>
        <w:tab w:val="right" w:pos="8306"/>
      </w:tabs>
      <w:snapToGrid w:val="0"/>
      <w:jc w:val="left"/>
    </w:pPr>
    <w:rPr>
      <w:sz w:val="18"/>
      <w:szCs w:val="18"/>
    </w:rPr>
  </w:style>
  <w:style w:type="character" w:customStyle="1" w:styleId="a6">
    <w:name w:val="页脚 字符"/>
    <w:basedOn w:val="a0"/>
    <w:link w:val="a5"/>
    <w:uiPriority w:val="99"/>
    <w:rsid w:val="00D630C4"/>
    <w:rPr>
      <w:sz w:val="18"/>
      <w:szCs w:val="18"/>
    </w:rPr>
  </w:style>
  <w:style w:type="character" w:customStyle="1" w:styleId="10">
    <w:name w:val="标题 1 字符"/>
    <w:basedOn w:val="a0"/>
    <w:link w:val="1"/>
    <w:uiPriority w:val="9"/>
    <w:rsid w:val="00D630C4"/>
    <w:rPr>
      <w:b/>
      <w:bCs/>
      <w:kern w:val="44"/>
      <w:sz w:val="44"/>
      <w:szCs w:val="44"/>
    </w:rPr>
  </w:style>
  <w:style w:type="character" w:customStyle="1" w:styleId="20">
    <w:name w:val="标题 2 字符"/>
    <w:basedOn w:val="a0"/>
    <w:link w:val="2"/>
    <w:uiPriority w:val="1"/>
    <w:rsid w:val="00D630C4"/>
    <w:rPr>
      <w:rFonts w:ascii="Microsoft JhengHei Light" w:eastAsia="Microsoft JhengHei Light" w:hAnsi="Microsoft JhengHei Light"/>
      <w:kern w:val="0"/>
      <w:sz w:val="28"/>
      <w:szCs w:val="28"/>
      <w:lang w:eastAsia="en-US"/>
    </w:rPr>
  </w:style>
  <w:style w:type="character" w:customStyle="1" w:styleId="30">
    <w:name w:val="标题 3 字符"/>
    <w:basedOn w:val="a0"/>
    <w:link w:val="3"/>
    <w:uiPriority w:val="1"/>
    <w:rsid w:val="00D630C4"/>
    <w:rPr>
      <w:b/>
      <w:bCs/>
      <w:sz w:val="32"/>
      <w:szCs w:val="32"/>
    </w:rPr>
  </w:style>
  <w:style w:type="paragraph" w:styleId="a7">
    <w:name w:val="Body Text"/>
    <w:basedOn w:val="a"/>
    <w:link w:val="a8"/>
    <w:uiPriority w:val="1"/>
    <w:unhideWhenUsed/>
    <w:qFormat/>
    <w:rsid w:val="00D630C4"/>
    <w:pPr>
      <w:spacing w:after="120"/>
    </w:pPr>
  </w:style>
  <w:style w:type="character" w:customStyle="1" w:styleId="a8">
    <w:name w:val="正文文本 字符"/>
    <w:basedOn w:val="a0"/>
    <w:link w:val="a7"/>
    <w:uiPriority w:val="1"/>
    <w:rsid w:val="00D630C4"/>
  </w:style>
  <w:style w:type="paragraph" w:styleId="TOC3">
    <w:name w:val="toc 3"/>
    <w:basedOn w:val="a"/>
    <w:next w:val="a"/>
    <w:uiPriority w:val="39"/>
    <w:unhideWhenUsed/>
    <w:qFormat/>
    <w:rsid w:val="00D630C4"/>
    <w:pPr>
      <w:widowControl/>
      <w:spacing w:after="100" w:line="276" w:lineRule="auto"/>
      <w:ind w:left="440"/>
      <w:jc w:val="left"/>
    </w:pPr>
    <w:rPr>
      <w:kern w:val="0"/>
      <w:sz w:val="22"/>
    </w:rPr>
  </w:style>
  <w:style w:type="paragraph" w:styleId="a9">
    <w:name w:val="Date"/>
    <w:basedOn w:val="a"/>
    <w:next w:val="a"/>
    <w:link w:val="aa"/>
    <w:uiPriority w:val="99"/>
    <w:unhideWhenUsed/>
    <w:rsid w:val="00D630C4"/>
    <w:pPr>
      <w:ind w:leftChars="2500" w:left="100"/>
    </w:pPr>
  </w:style>
  <w:style w:type="character" w:customStyle="1" w:styleId="aa">
    <w:name w:val="日期 字符"/>
    <w:basedOn w:val="a0"/>
    <w:link w:val="a9"/>
    <w:uiPriority w:val="99"/>
    <w:rsid w:val="00D630C4"/>
  </w:style>
  <w:style w:type="paragraph" w:styleId="ab">
    <w:name w:val="Balloon Text"/>
    <w:basedOn w:val="a"/>
    <w:link w:val="ac"/>
    <w:uiPriority w:val="99"/>
    <w:unhideWhenUsed/>
    <w:rsid w:val="00D630C4"/>
    <w:rPr>
      <w:sz w:val="18"/>
      <w:szCs w:val="18"/>
    </w:rPr>
  </w:style>
  <w:style w:type="character" w:customStyle="1" w:styleId="ac">
    <w:name w:val="批注框文本 字符"/>
    <w:basedOn w:val="a0"/>
    <w:link w:val="ab"/>
    <w:uiPriority w:val="99"/>
    <w:rsid w:val="00D630C4"/>
    <w:rPr>
      <w:sz w:val="18"/>
      <w:szCs w:val="18"/>
    </w:rPr>
  </w:style>
  <w:style w:type="paragraph" w:styleId="TOC1">
    <w:name w:val="toc 1"/>
    <w:basedOn w:val="a"/>
    <w:next w:val="a"/>
    <w:uiPriority w:val="39"/>
    <w:unhideWhenUsed/>
    <w:qFormat/>
    <w:rsid w:val="00D630C4"/>
    <w:pPr>
      <w:widowControl/>
      <w:tabs>
        <w:tab w:val="right" w:leader="dot" w:pos="8296"/>
      </w:tabs>
      <w:spacing w:after="100" w:line="276" w:lineRule="auto"/>
      <w:jc w:val="left"/>
    </w:pPr>
    <w:rPr>
      <w:b/>
      <w:kern w:val="0"/>
      <w:sz w:val="24"/>
    </w:rPr>
  </w:style>
  <w:style w:type="paragraph" w:styleId="31">
    <w:name w:val="Body Text Indent 3"/>
    <w:basedOn w:val="a"/>
    <w:link w:val="32"/>
    <w:rsid w:val="00D630C4"/>
    <w:pPr>
      <w:autoSpaceDE w:val="0"/>
      <w:autoSpaceDN w:val="0"/>
      <w:adjustRightInd w:val="0"/>
      <w:snapToGrid w:val="0"/>
      <w:spacing w:line="588" w:lineRule="atLeast"/>
      <w:ind w:firstLine="627"/>
    </w:pPr>
    <w:rPr>
      <w:rFonts w:ascii="宋体" w:eastAsia="黑体" w:hAnsi="宋体" w:cs="Times New Roman"/>
      <w:sz w:val="30"/>
      <w:szCs w:val="20"/>
    </w:rPr>
  </w:style>
  <w:style w:type="character" w:customStyle="1" w:styleId="32">
    <w:name w:val="正文文本缩进 3 字符"/>
    <w:basedOn w:val="a0"/>
    <w:link w:val="31"/>
    <w:rsid w:val="00D630C4"/>
    <w:rPr>
      <w:rFonts w:ascii="宋体" w:eastAsia="黑体" w:hAnsi="宋体" w:cs="Times New Roman"/>
      <w:sz w:val="30"/>
      <w:szCs w:val="20"/>
    </w:rPr>
  </w:style>
  <w:style w:type="paragraph" w:styleId="TOC2">
    <w:name w:val="toc 2"/>
    <w:basedOn w:val="a"/>
    <w:next w:val="a"/>
    <w:uiPriority w:val="39"/>
    <w:unhideWhenUsed/>
    <w:qFormat/>
    <w:rsid w:val="00D630C4"/>
    <w:pPr>
      <w:widowControl/>
      <w:spacing w:after="100" w:line="276" w:lineRule="auto"/>
      <w:ind w:left="220"/>
      <w:jc w:val="left"/>
    </w:pPr>
    <w:rPr>
      <w:kern w:val="0"/>
      <w:sz w:val="22"/>
    </w:rPr>
  </w:style>
  <w:style w:type="paragraph" w:styleId="ad">
    <w:name w:val="Normal (Web)"/>
    <w:basedOn w:val="a"/>
    <w:uiPriority w:val="99"/>
    <w:unhideWhenUsed/>
    <w:rsid w:val="00D630C4"/>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sid w:val="00D630C4"/>
    <w:rPr>
      <w:b/>
      <w:bCs/>
    </w:rPr>
  </w:style>
  <w:style w:type="character" w:styleId="af">
    <w:name w:val="Hyperlink"/>
    <w:basedOn w:val="a0"/>
    <w:uiPriority w:val="99"/>
    <w:unhideWhenUsed/>
    <w:rsid w:val="00D630C4"/>
    <w:rPr>
      <w:color w:val="000000"/>
      <w:sz w:val="18"/>
      <w:szCs w:val="18"/>
      <w:u w:val="none"/>
    </w:rPr>
  </w:style>
  <w:style w:type="table" w:styleId="af0">
    <w:name w:val="Table Grid"/>
    <w:basedOn w:val="a1"/>
    <w:uiPriority w:val="39"/>
    <w:rsid w:val="00D630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0C4"/>
    <w:pPr>
      <w:widowControl w:val="0"/>
      <w:autoSpaceDE w:val="0"/>
      <w:autoSpaceDN w:val="0"/>
      <w:adjustRightInd w:val="0"/>
    </w:pPr>
    <w:rPr>
      <w:rFonts w:ascii="黑体" w:eastAsia="黑体" w:cs="黑体"/>
      <w:color w:val="000000"/>
      <w:kern w:val="0"/>
      <w:sz w:val="24"/>
      <w:szCs w:val="24"/>
    </w:rPr>
  </w:style>
  <w:style w:type="paragraph" w:styleId="af1">
    <w:name w:val="No Spacing"/>
    <w:link w:val="af2"/>
    <w:uiPriority w:val="1"/>
    <w:qFormat/>
    <w:rsid w:val="00D630C4"/>
    <w:rPr>
      <w:kern w:val="0"/>
      <w:sz w:val="22"/>
    </w:rPr>
  </w:style>
  <w:style w:type="character" w:customStyle="1" w:styleId="af2">
    <w:name w:val="无间隔 字符"/>
    <w:basedOn w:val="a0"/>
    <w:link w:val="af1"/>
    <w:uiPriority w:val="1"/>
    <w:rsid w:val="00D630C4"/>
    <w:rPr>
      <w:kern w:val="0"/>
      <w:sz w:val="22"/>
    </w:rPr>
  </w:style>
  <w:style w:type="paragraph" w:customStyle="1" w:styleId="TOC10">
    <w:name w:val="TOC 标题1"/>
    <w:basedOn w:val="1"/>
    <w:next w:val="a"/>
    <w:uiPriority w:val="39"/>
    <w:unhideWhenUsed/>
    <w:qFormat/>
    <w:rsid w:val="00D630C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M70">
    <w:name w:val="CM70"/>
    <w:basedOn w:val="Default"/>
    <w:next w:val="Default"/>
    <w:uiPriority w:val="99"/>
    <w:rsid w:val="00D630C4"/>
    <w:pPr>
      <w:spacing w:after="910"/>
    </w:pPr>
    <w:rPr>
      <w:rFonts w:cs="Times New Roman"/>
      <w:color w:val="auto"/>
    </w:rPr>
  </w:style>
  <w:style w:type="paragraph" w:customStyle="1" w:styleId="CM1">
    <w:name w:val="CM1"/>
    <w:basedOn w:val="Default"/>
    <w:next w:val="Default"/>
    <w:uiPriority w:val="99"/>
    <w:rsid w:val="00D630C4"/>
    <w:rPr>
      <w:rFonts w:cs="Times New Roman"/>
      <w:color w:val="auto"/>
    </w:rPr>
  </w:style>
  <w:style w:type="paragraph" w:customStyle="1" w:styleId="CM71">
    <w:name w:val="CM71"/>
    <w:basedOn w:val="Default"/>
    <w:next w:val="Default"/>
    <w:uiPriority w:val="99"/>
    <w:rsid w:val="00D630C4"/>
    <w:pPr>
      <w:spacing w:after="610"/>
    </w:pPr>
    <w:rPr>
      <w:rFonts w:cs="Times New Roman"/>
      <w:color w:val="auto"/>
    </w:rPr>
  </w:style>
  <w:style w:type="paragraph" w:customStyle="1" w:styleId="CM2">
    <w:name w:val="CM2"/>
    <w:basedOn w:val="Default"/>
    <w:next w:val="Default"/>
    <w:uiPriority w:val="99"/>
    <w:rsid w:val="00D630C4"/>
    <w:pPr>
      <w:spacing w:line="546" w:lineRule="atLeast"/>
    </w:pPr>
    <w:rPr>
      <w:rFonts w:cs="Times New Roman"/>
      <w:color w:val="auto"/>
    </w:rPr>
  </w:style>
  <w:style w:type="paragraph" w:customStyle="1" w:styleId="CM72">
    <w:name w:val="CM72"/>
    <w:basedOn w:val="Default"/>
    <w:next w:val="Default"/>
    <w:uiPriority w:val="99"/>
    <w:rsid w:val="00D630C4"/>
    <w:pPr>
      <w:spacing w:after="795"/>
    </w:pPr>
    <w:rPr>
      <w:rFonts w:cs="Times New Roman"/>
      <w:color w:val="auto"/>
    </w:rPr>
  </w:style>
  <w:style w:type="paragraph" w:customStyle="1" w:styleId="CM3">
    <w:name w:val="CM3"/>
    <w:basedOn w:val="Default"/>
    <w:next w:val="Default"/>
    <w:uiPriority w:val="99"/>
    <w:rsid w:val="00D630C4"/>
    <w:pPr>
      <w:spacing w:line="546" w:lineRule="atLeast"/>
    </w:pPr>
    <w:rPr>
      <w:rFonts w:cs="Times New Roman"/>
      <w:color w:val="auto"/>
    </w:rPr>
  </w:style>
  <w:style w:type="paragraph" w:customStyle="1" w:styleId="CM4">
    <w:name w:val="CM4"/>
    <w:basedOn w:val="Default"/>
    <w:next w:val="Default"/>
    <w:uiPriority w:val="99"/>
    <w:rsid w:val="00D630C4"/>
    <w:pPr>
      <w:spacing w:line="546" w:lineRule="atLeast"/>
    </w:pPr>
    <w:rPr>
      <w:rFonts w:cs="Times New Roman"/>
      <w:color w:val="auto"/>
    </w:rPr>
  </w:style>
  <w:style w:type="paragraph" w:customStyle="1" w:styleId="CM5">
    <w:name w:val="CM5"/>
    <w:basedOn w:val="Default"/>
    <w:next w:val="Default"/>
    <w:uiPriority w:val="99"/>
    <w:rsid w:val="00D630C4"/>
    <w:pPr>
      <w:spacing w:line="546" w:lineRule="atLeast"/>
    </w:pPr>
    <w:rPr>
      <w:rFonts w:cs="Times New Roman"/>
      <w:color w:val="auto"/>
    </w:rPr>
  </w:style>
  <w:style w:type="paragraph" w:customStyle="1" w:styleId="CM73">
    <w:name w:val="CM73"/>
    <w:basedOn w:val="Default"/>
    <w:next w:val="Default"/>
    <w:uiPriority w:val="99"/>
    <w:rsid w:val="00D630C4"/>
    <w:pPr>
      <w:spacing w:after="488"/>
    </w:pPr>
    <w:rPr>
      <w:rFonts w:cs="Times New Roman"/>
      <w:color w:val="auto"/>
    </w:rPr>
  </w:style>
  <w:style w:type="paragraph" w:customStyle="1" w:styleId="CM6">
    <w:name w:val="CM6"/>
    <w:basedOn w:val="Default"/>
    <w:next w:val="Default"/>
    <w:uiPriority w:val="99"/>
    <w:rsid w:val="00D630C4"/>
    <w:pPr>
      <w:spacing w:line="546" w:lineRule="atLeast"/>
    </w:pPr>
    <w:rPr>
      <w:rFonts w:cs="Times New Roman"/>
      <w:color w:val="auto"/>
    </w:rPr>
  </w:style>
  <w:style w:type="paragraph" w:customStyle="1" w:styleId="CM7">
    <w:name w:val="CM7"/>
    <w:basedOn w:val="Default"/>
    <w:next w:val="Default"/>
    <w:uiPriority w:val="99"/>
    <w:rsid w:val="00D630C4"/>
    <w:pPr>
      <w:spacing w:line="546" w:lineRule="atLeast"/>
    </w:pPr>
    <w:rPr>
      <w:rFonts w:cs="Times New Roman"/>
      <w:color w:val="auto"/>
    </w:rPr>
  </w:style>
  <w:style w:type="paragraph" w:customStyle="1" w:styleId="CM8">
    <w:name w:val="CM8"/>
    <w:basedOn w:val="Default"/>
    <w:next w:val="Default"/>
    <w:uiPriority w:val="99"/>
    <w:rsid w:val="00D630C4"/>
    <w:pPr>
      <w:spacing w:line="546" w:lineRule="atLeast"/>
    </w:pPr>
    <w:rPr>
      <w:rFonts w:cs="Times New Roman"/>
      <w:color w:val="auto"/>
    </w:rPr>
  </w:style>
  <w:style w:type="paragraph" w:customStyle="1" w:styleId="CM9">
    <w:name w:val="CM9"/>
    <w:basedOn w:val="Default"/>
    <w:next w:val="Default"/>
    <w:uiPriority w:val="99"/>
    <w:rsid w:val="00D630C4"/>
    <w:pPr>
      <w:spacing w:line="546" w:lineRule="atLeast"/>
    </w:pPr>
    <w:rPr>
      <w:rFonts w:cs="Times New Roman"/>
      <w:color w:val="auto"/>
    </w:rPr>
  </w:style>
  <w:style w:type="paragraph" w:customStyle="1" w:styleId="CM10">
    <w:name w:val="CM10"/>
    <w:basedOn w:val="Default"/>
    <w:next w:val="Default"/>
    <w:uiPriority w:val="99"/>
    <w:rsid w:val="00D630C4"/>
    <w:pPr>
      <w:spacing w:line="546" w:lineRule="atLeast"/>
    </w:pPr>
    <w:rPr>
      <w:rFonts w:cs="Times New Roman"/>
      <w:color w:val="auto"/>
    </w:rPr>
  </w:style>
  <w:style w:type="paragraph" w:customStyle="1" w:styleId="CM11">
    <w:name w:val="CM11"/>
    <w:basedOn w:val="Default"/>
    <w:next w:val="Default"/>
    <w:uiPriority w:val="99"/>
    <w:rsid w:val="00D630C4"/>
    <w:pPr>
      <w:spacing w:line="546" w:lineRule="atLeast"/>
    </w:pPr>
    <w:rPr>
      <w:rFonts w:cs="Times New Roman"/>
      <w:color w:val="auto"/>
    </w:rPr>
  </w:style>
  <w:style w:type="paragraph" w:customStyle="1" w:styleId="CM12">
    <w:name w:val="CM12"/>
    <w:basedOn w:val="Default"/>
    <w:next w:val="Default"/>
    <w:uiPriority w:val="99"/>
    <w:rsid w:val="00D630C4"/>
    <w:pPr>
      <w:spacing w:line="546" w:lineRule="atLeast"/>
    </w:pPr>
    <w:rPr>
      <w:rFonts w:cs="Times New Roman"/>
      <w:color w:val="auto"/>
    </w:rPr>
  </w:style>
  <w:style w:type="paragraph" w:customStyle="1" w:styleId="CM13">
    <w:name w:val="CM13"/>
    <w:basedOn w:val="Default"/>
    <w:next w:val="Default"/>
    <w:uiPriority w:val="99"/>
    <w:rsid w:val="00D630C4"/>
    <w:pPr>
      <w:spacing w:line="546" w:lineRule="atLeast"/>
    </w:pPr>
    <w:rPr>
      <w:rFonts w:cs="Times New Roman"/>
      <w:color w:val="auto"/>
    </w:rPr>
  </w:style>
  <w:style w:type="paragraph" w:customStyle="1" w:styleId="CM14">
    <w:name w:val="CM14"/>
    <w:basedOn w:val="Default"/>
    <w:next w:val="Default"/>
    <w:uiPriority w:val="99"/>
    <w:rsid w:val="00D630C4"/>
    <w:pPr>
      <w:spacing w:line="546" w:lineRule="atLeast"/>
    </w:pPr>
    <w:rPr>
      <w:rFonts w:cs="Times New Roman"/>
      <w:color w:val="auto"/>
    </w:rPr>
  </w:style>
  <w:style w:type="paragraph" w:customStyle="1" w:styleId="CM15">
    <w:name w:val="CM15"/>
    <w:basedOn w:val="Default"/>
    <w:next w:val="Default"/>
    <w:uiPriority w:val="99"/>
    <w:rsid w:val="00D630C4"/>
    <w:pPr>
      <w:spacing w:line="546" w:lineRule="atLeast"/>
    </w:pPr>
    <w:rPr>
      <w:rFonts w:cs="Times New Roman"/>
      <w:color w:val="auto"/>
    </w:rPr>
  </w:style>
  <w:style w:type="paragraph" w:customStyle="1" w:styleId="CM16">
    <w:name w:val="CM16"/>
    <w:basedOn w:val="Default"/>
    <w:next w:val="Default"/>
    <w:uiPriority w:val="99"/>
    <w:rsid w:val="00D630C4"/>
    <w:pPr>
      <w:spacing w:line="546" w:lineRule="atLeast"/>
    </w:pPr>
    <w:rPr>
      <w:rFonts w:cs="Times New Roman"/>
      <w:color w:val="auto"/>
    </w:rPr>
  </w:style>
  <w:style w:type="paragraph" w:customStyle="1" w:styleId="CM17">
    <w:name w:val="CM17"/>
    <w:basedOn w:val="Default"/>
    <w:next w:val="Default"/>
    <w:uiPriority w:val="99"/>
    <w:rsid w:val="00D630C4"/>
    <w:pPr>
      <w:spacing w:line="546" w:lineRule="atLeast"/>
    </w:pPr>
    <w:rPr>
      <w:rFonts w:cs="Times New Roman"/>
      <w:color w:val="auto"/>
    </w:rPr>
  </w:style>
  <w:style w:type="paragraph" w:customStyle="1" w:styleId="CM77">
    <w:name w:val="CM77"/>
    <w:basedOn w:val="Default"/>
    <w:next w:val="Default"/>
    <w:uiPriority w:val="99"/>
    <w:rsid w:val="00D630C4"/>
    <w:pPr>
      <w:spacing w:after="210"/>
    </w:pPr>
    <w:rPr>
      <w:rFonts w:cs="Times New Roman"/>
      <w:color w:val="auto"/>
    </w:rPr>
  </w:style>
  <w:style w:type="paragraph" w:customStyle="1" w:styleId="CM18">
    <w:name w:val="CM18"/>
    <w:basedOn w:val="Default"/>
    <w:next w:val="Default"/>
    <w:uiPriority w:val="99"/>
    <w:rsid w:val="00D630C4"/>
    <w:pPr>
      <w:spacing w:line="546" w:lineRule="atLeast"/>
    </w:pPr>
    <w:rPr>
      <w:rFonts w:cs="Times New Roman"/>
      <w:color w:val="auto"/>
    </w:rPr>
  </w:style>
  <w:style w:type="paragraph" w:customStyle="1" w:styleId="CM19">
    <w:name w:val="CM19"/>
    <w:basedOn w:val="Default"/>
    <w:next w:val="Default"/>
    <w:uiPriority w:val="99"/>
    <w:rsid w:val="00D630C4"/>
    <w:pPr>
      <w:spacing w:line="546" w:lineRule="atLeast"/>
    </w:pPr>
    <w:rPr>
      <w:rFonts w:cs="Times New Roman"/>
      <w:color w:val="auto"/>
    </w:rPr>
  </w:style>
  <w:style w:type="paragraph" w:customStyle="1" w:styleId="CM20">
    <w:name w:val="CM20"/>
    <w:basedOn w:val="Default"/>
    <w:next w:val="Default"/>
    <w:uiPriority w:val="99"/>
    <w:rsid w:val="00D630C4"/>
    <w:pPr>
      <w:spacing w:line="546" w:lineRule="atLeast"/>
    </w:pPr>
    <w:rPr>
      <w:rFonts w:cs="Times New Roman"/>
      <w:color w:val="auto"/>
    </w:rPr>
  </w:style>
  <w:style w:type="paragraph" w:customStyle="1" w:styleId="CM21">
    <w:name w:val="CM21"/>
    <w:basedOn w:val="Default"/>
    <w:next w:val="Default"/>
    <w:uiPriority w:val="99"/>
    <w:rsid w:val="00D630C4"/>
    <w:pPr>
      <w:spacing w:line="546" w:lineRule="atLeast"/>
    </w:pPr>
    <w:rPr>
      <w:rFonts w:cs="Times New Roman"/>
      <w:color w:val="auto"/>
    </w:rPr>
  </w:style>
  <w:style w:type="paragraph" w:customStyle="1" w:styleId="CM22">
    <w:name w:val="CM22"/>
    <w:basedOn w:val="Default"/>
    <w:next w:val="Default"/>
    <w:uiPriority w:val="99"/>
    <w:rsid w:val="00D630C4"/>
    <w:pPr>
      <w:spacing w:line="546" w:lineRule="atLeast"/>
    </w:pPr>
    <w:rPr>
      <w:rFonts w:cs="Times New Roman"/>
      <w:color w:val="auto"/>
    </w:rPr>
  </w:style>
  <w:style w:type="paragraph" w:customStyle="1" w:styleId="CM23">
    <w:name w:val="CM23"/>
    <w:basedOn w:val="Default"/>
    <w:next w:val="Default"/>
    <w:uiPriority w:val="99"/>
    <w:rsid w:val="00D630C4"/>
    <w:pPr>
      <w:spacing w:line="546" w:lineRule="atLeast"/>
    </w:pPr>
    <w:rPr>
      <w:rFonts w:cs="Times New Roman"/>
      <w:color w:val="auto"/>
    </w:rPr>
  </w:style>
  <w:style w:type="paragraph" w:customStyle="1" w:styleId="CM24">
    <w:name w:val="CM24"/>
    <w:basedOn w:val="Default"/>
    <w:next w:val="Default"/>
    <w:uiPriority w:val="99"/>
    <w:rsid w:val="00D630C4"/>
    <w:pPr>
      <w:spacing w:line="546" w:lineRule="atLeast"/>
    </w:pPr>
    <w:rPr>
      <w:rFonts w:cs="Times New Roman"/>
      <w:color w:val="auto"/>
    </w:rPr>
  </w:style>
  <w:style w:type="paragraph" w:customStyle="1" w:styleId="CM25">
    <w:name w:val="CM25"/>
    <w:basedOn w:val="Default"/>
    <w:next w:val="Default"/>
    <w:uiPriority w:val="99"/>
    <w:rsid w:val="00D630C4"/>
    <w:pPr>
      <w:spacing w:line="546" w:lineRule="atLeast"/>
    </w:pPr>
    <w:rPr>
      <w:rFonts w:cs="Times New Roman"/>
      <w:color w:val="auto"/>
    </w:rPr>
  </w:style>
  <w:style w:type="paragraph" w:customStyle="1" w:styleId="CM26">
    <w:name w:val="CM26"/>
    <w:basedOn w:val="Default"/>
    <w:next w:val="Default"/>
    <w:uiPriority w:val="99"/>
    <w:rsid w:val="00D630C4"/>
    <w:pPr>
      <w:spacing w:line="546" w:lineRule="atLeast"/>
    </w:pPr>
    <w:rPr>
      <w:rFonts w:cs="Times New Roman"/>
      <w:color w:val="auto"/>
    </w:rPr>
  </w:style>
  <w:style w:type="paragraph" w:customStyle="1" w:styleId="CM27">
    <w:name w:val="CM27"/>
    <w:basedOn w:val="Default"/>
    <w:next w:val="Default"/>
    <w:uiPriority w:val="99"/>
    <w:rsid w:val="00D630C4"/>
    <w:pPr>
      <w:spacing w:line="546" w:lineRule="atLeast"/>
    </w:pPr>
    <w:rPr>
      <w:rFonts w:cs="Times New Roman"/>
      <w:color w:val="auto"/>
    </w:rPr>
  </w:style>
  <w:style w:type="paragraph" w:customStyle="1" w:styleId="CM28">
    <w:name w:val="CM28"/>
    <w:basedOn w:val="Default"/>
    <w:next w:val="Default"/>
    <w:uiPriority w:val="99"/>
    <w:rsid w:val="00D630C4"/>
    <w:pPr>
      <w:spacing w:line="546" w:lineRule="atLeast"/>
    </w:pPr>
    <w:rPr>
      <w:rFonts w:cs="Times New Roman"/>
      <w:color w:val="auto"/>
    </w:rPr>
  </w:style>
  <w:style w:type="paragraph" w:customStyle="1" w:styleId="CM29">
    <w:name w:val="CM29"/>
    <w:basedOn w:val="Default"/>
    <w:next w:val="Default"/>
    <w:uiPriority w:val="99"/>
    <w:rsid w:val="00D630C4"/>
    <w:pPr>
      <w:spacing w:line="546" w:lineRule="atLeast"/>
    </w:pPr>
    <w:rPr>
      <w:rFonts w:cs="Times New Roman"/>
      <w:color w:val="auto"/>
    </w:rPr>
  </w:style>
  <w:style w:type="paragraph" w:customStyle="1" w:styleId="CM30">
    <w:name w:val="CM30"/>
    <w:basedOn w:val="Default"/>
    <w:next w:val="Default"/>
    <w:uiPriority w:val="99"/>
    <w:rsid w:val="00D630C4"/>
    <w:pPr>
      <w:spacing w:line="546" w:lineRule="atLeast"/>
    </w:pPr>
    <w:rPr>
      <w:rFonts w:cs="Times New Roman"/>
      <w:color w:val="auto"/>
    </w:rPr>
  </w:style>
  <w:style w:type="paragraph" w:customStyle="1" w:styleId="CM31">
    <w:name w:val="CM31"/>
    <w:basedOn w:val="Default"/>
    <w:next w:val="Default"/>
    <w:uiPriority w:val="99"/>
    <w:rsid w:val="00D630C4"/>
    <w:pPr>
      <w:spacing w:line="546" w:lineRule="atLeast"/>
    </w:pPr>
    <w:rPr>
      <w:rFonts w:cs="Times New Roman"/>
      <w:color w:val="auto"/>
    </w:rPr>
  </w:style>
  <w:style w:type="paragraph" w:customStyle="1" w:styleId="CM32">
    <w:name w:val="CM32"/>
    <w:basedOn w:val="Default"/>
    <w:next w:val="Default"/>
    <w:uiPriority w:val="99"/>
    <w:rsid w:val="00D630C4"/>
    <w:pPr>
      <w:spacing w:line="546" w:lineRule="atLeast"/>
    </w:pPr>
    <w:rPr>
      <w:rFonts w:cs="Times New Roman"/>
      <w:color w:val="auto"/>
    </w:rPr>
  </w:style>
  <w:style w:type="paragraph" w:customStyle="1" w:styleId="CM33">
    <w:name w:val="CM33"/>
    <w:basedOn w:val="Default"/>
    <w:next w:val="Default"/>
    <w:uiPriority w:val="99"/>
    <w:rsid w:val="00D630C4"/>
    <w:pPr>
      <w:spacing w:line="546" w:lineRule="atLeast"/>
    </w:pPr>
    <w:rPr>
      <w:rFonts w:cs="Times New Roman"/>
      <w:color w:val="auto"/>
    </w:rPr>
  </w:style>
  <w:style w:type="paragraph" w:customStyle="1" w:styleId="CM34">
    <w:name w:val="CM34"/>
    <w:basedOn w:val="Default"/>
    <w:next w:val="Default"/>
    <w:uiPriority w:val="99"/>
    <w:rsid w:val="00D630C4"/>
    <w:pPr>
      <w:spacing w:line="546" w:lineRule="atLeast"/>
    </w:pPr>
    <w:rPr>
      <w:rFonts w:cs="Times New Roman"/>
      <w:color w:val="auto"/>
    </w:rPr>
  </w:style>
  <w:style w:type="paragraph" w:customStyle="1" w:styleId="CM35">
    <w:name w:val="CM35"/>
    <w:basedOn w:val="Default"/>
    <w:next w:val="Default"/>
    <w:uiPriority w:val="99"/>
    <w:rsid w:val="00D630C4"/>
    <w:pPr>
      <w:spacing w:line="546" w:lineRule="atLeast"/>
    </w:pPr>
    <w:rPr>
      <w:rFonts w:cs="Times New Roman"/>
      <w:color w:val="auto"/>
    </w:rPr>
  </w:style>
  <w:style w:type="paragraph" w:customStyle="1" w:styleId="CM36">
    <w:name w:val="CM36"/>
    <w:basedOn w:val="Default"/>
    <w:next w:val="Default"/>
    <w:uiPriority w:val="99"/>
    <w:rsid w:val="00D630C4"/>
    <w:pPr>
      <w:spacing w:line="546" w:lineRule="atLeast"/>
    </w:pPr>
    <w:rPr>
      <w:rFonts w:cs="Times New Roman"/>
      <w:color w:val="auto"/>
    </w:rPr>
  </w:style>
  <w:style w:type="paragraph" w:customStyle="1" w:styleId="CM78">
    <w:name w:val="CM78"/>
    <w:basedOn w:val="Default"/>
    <w:next w:val="Default"/>
    <w:uiPriority w:val="99"/>
    <w:rsid w:val="00D630C4"/>
    <w:pPr>
      <w:spacing w:after="693"/>
    </w:pPr>
    <w:rPr>
      <w:rFonts w:cs="Times New Roman"/>
      <w:color w:val="auto"/>
    </w:rPr>
  </w:style>
  <w:style w:type="paragraph" w:customStyle="1" w:styleId="CM37">
    <w:name w:val="CM37"/>
    <w:basedOn w:val="Default"/>
    <w:next w:val="Default"/>
    <w:uiPriority w:val="99"/>
    <w:rsid w:val="00D630C4"/>
    <w:pPr>
      <w:spacing w:line="546" w:lineRule="atLeast"/>
    </w:pPr>
    <w:rPr>
      <w:rFonts w:cs="Times New Roman"/>
      <w:color w:val="auto"/>
    </w:rPr>
  </w:style>
  <w:style w:type="paragraph" w:customStyle="1" w:styleId="CM38">
    <w:name w:val="CM38"/>
    <w:basedOn w:val="Default"/>
    <w:next w:val="Default"/>
    <w:uiPriority w:val="99"/>
    <w:rsid w:val="00D630C4"/>
    <w:pPr>
      <w:spacing w:line="546" w:lineRule="atLeast"/>
    </w:pPr>
    <w:rPr>
      <w:rFonts w:cs="Times New Roman"/>
      <w:color w:val="auto"/>
    </w:rPr>
  </w:style>
  <w:style w:type="paragraph" w:customStyle="1" w:styleId="CM40">
    <w:name w:val="CM40"/>
    <w:basedOn w:val="Default"/>
    <w:next w:val="Default"/>
    <w:uiPriority w:val="99"/>
    <w:rsid w:val="00D630C4"/>
    <w:pPr>
      <w:spacing w:line="546" w:lineRule="atLeast"/>
    </w:pPr>
    <w:rPr>
      <w:rFonts w:cs="Times New Roman"/>
      <w:color w:val="auto"/>
    </w:rPr>
  </w:style>
  <w:style w:type="paragraph" w:customStyle="1" w:styleId="CM41">
    <w:name w:val="CM41"/>
    <w:basedOn w:val="Default"/>
    <w:next w:val="Default"/>
    <w:uiPriority w:val="99"/>
    <w:rsid w:val="00D630C4"/>
    <w:pPr>
      <w:spacing w:line="546" w:lineRule="atLeast"/>
    </w:pPr>
    <w:rPr>
      <w:rFonts w:cs="Times New Roman"/>
      <w:color w:val="auto"/>
    </w:rPr>
  </w:style>
  <w:style w:type="paragraph" w:customStyle="1" w:styleId="CM42">
    <w:name w:val="CM42"/>
    <w:basedOn w:val="Default"/>
    <w:next w:val="Default"/>
    <w:uiPriority w:val="99"/>
    <w:rsid w:val="00D630C4"/>
    <w:pPr>
      <w:spacing w:line="546" w:lineRule="atLeast"/>
    </w:pPr>
    <w:rPr>
      <w:rFonts w:cs="Times New Roman"/>
      <w:color w:val="auto"/>
    </w:rPr>
  </w:style>
  <w:style w:type="paragraph" w:customStyle="1" w:styleId="CM43">
    <w:name w:val="CM43"/>
    <w:basedOn w:val="Default"/>
    <w:next w:val="Default"/>
    <w:uiPriority w:val="99"/>
    <w:rsid w:val="00D630C4"/>
    <w:pPr>
      <w:spacing w:line="546" w:lineRule="atLeast"/>
    </w:pPr>
    <w:rPr>
      <w:rFonts w:cs="Times New Roman"/>
      <w:color w:val="auto"/>
    </w:rPr>
  </w:style>
  <w:style w:type="paragraph" w:customStyle="1" w:styleId="CM75">
    <w:name w:val="CM75"/>
    <w:basedOn w:val="Default"/>
    <w:next w:val="Default"/>
    <w:uiPriority w:val="99"/>
    <w:rsid w:val="00D630C4"/>
    <w:pPr>
      <w:spacing w:after="368"/>
    </w:pPr>
    <w:rPr>
      <w:rFonts w:cs="Times New Roman"/>
      <w:color w:val="auto"/>
    </w:rPr>
  </w:style>
  <w:style w:type="paragraph" w:customStyle="1" w:styleId="CM44">
    <w:name w:val="CM44"/>
    <w:basedOn w:val="Default"/>
    <w:next w:val="Default"/>
    <w:uiPriority w:val="99"/>
    <w:rsid w:val="00D630C4"/>
    <w:pPr>
      <w:spacing w:line="546" w:lineRule="atLeast"/>
    </w:pPr>
    <w:rPr>
      <w:rFonts w:cs="Times New Roman"/>
      <w:color w:val="auto"/>
    </w:rPr>
  </w:style>
  <w:style w:type="paragraph" w:customStyle="1" w:styleId="CM45">
    <w:name w:val="CM45"/>
    <w:basedOn w:val="Default"/>
    <w:next w:val="Default"/>
    <w:uiPriority w:val="99"/>
    <w:rsid w:val="00D630C4"/>
    <w:pPr>
      <w:spacing w:line="546" w:lineRule="atLeast"/>
    </w:pPr>
    <w:rPr>
      <w:rFonts w:cs="Times New Roman"/>
      <w:color w:val="auto"/>
    </w:rPr>
  </w:style>
  <w:style w:type="paragraph" w:customStyle="1" w:styleId="CM46">
    <w:name w:val="CM46"/>
    <w:basedOn w:val="Default"/>
    <w:next w:val="Default"/>
    <w:uiPriority w:val="99"/>
    <w:rsid w:val="00D630C4"/>
    <w:pPr>
      <w:spacing w:line="546" w:lineRule="atLeast"/>
    </w:pPr>
    <w:rPr>
      <w:rFonts w:cs="Times New Roman"/>
      <w:color w:val="auto"/>
    </w:rPr>
  </w:style>
  <w:style w:type="paragraph" w:customStyle="1" w:styleId="CM47">
    <w:name w:val="CM47"/>
    <w:basedOn w:val="Default"/>
    <w:next w:val="Default"/>
    <w:uiPriority w:val="99"/>
    <w:rsid w:val="00D630C4"/>
    <w:pPr>
      <w:spacing w:line="546" w:lineRule="atLeast"/>
    </w:pPr>
    <w:rPr>
      <w:rFonts w:cs="Times New Roman"/>
      <w:color w:val="auto"/>
    </w:rPr>
  </w:style>
  <w:style w:type="paragraph" w:customStyle="1" w:styleId="CM49">
    <w:name w:val="CM49"/>
    <w:basedOn w:val="Default"/>
    <w:next w:val="Default"/>
    <w:uiPriority w:val="99"/>
    <w:rsid w:val="00D630C4"/>
    <w:pPr>
      <w:spacing w:line="546" w:lineRule="atLeast"/>
    </w:pPr>
    <w:rPr>
      <w:rFonts w:cs="Times New Roman"/>
      <w:color w:val="auto"/>
    </w:rPr>
  </w:style>
  <w:style w:type="paragraph" w:customStyle="1" w:styleId="CM50">
    <w:name w:val="CM50"/>
    <w:basedOn w:val="Default"/>
    <w:next w:val="Default"/>
    <w:uiPriority w:val="99"/>
    <w:rsid w:val="00D630C4"/>
    <w:pPr>
      <w:spacing w:line="546" w:lineRule="atLeast"/>
    </w:pPr>
    <w:rPr>
      <w:rFonts w:cs="Times New Roman"/>
      <w:color w:val="auto"/>
    </w:rPr>
  </w:style>
  <w:style w:type="paragraph" w:customStyle="1" w:styleId="CM51">
    <w:name w:val="CM51"/>
    <w:basedOn w:val="Default"/>
    <w:next w:val="Default"/>
    <w:uiPriority w:val="99"/>
    <w:rsid w:val="00D630C4"/>
    <w:pPr>
      <w:spacing w:line="543" w:lineRule="atLeast"/>
    </w:pPr>
    <w:rPr>
      <w:rFonts w:cs="Times New Roman"/>
      <w:color w:val="auto"/>
    </w:rPr>
  </w:style>
  <w:style w:type="paragraph" w:customStyle="1" w:styleId="CM52">
    <w:name w:val="CM52"/>
    <w:basedOn w:val="Default"/>
    <w:next w:val="Default"/>
    <w:uiPriority w:val="99"/>
    <w:rsid w:val="00D630C4"/>
    <w:pPr>
      <w:spacing w:line="546" w:lineRule="atLeast"/>
    </w:pPr>
    <w:rPr>
      <w:rFonts w:cs="Times New Roman"/>
      <w:color w:val="auto"/>
    </w:rPr>
  </w:style>
  <w:style w:type="paragraph" w:customStyle="1" w:styleId="CM53">
    <w:name w:val="CM53"/>
    <w:basedOn w:val="Default"/>
    <w:next w:val="Default"/>
    <w:uiPriority w:val="99"/>
    <w:rsid w:val="00D630C4"/>
    <w:pPr>
      <w:spacing w:line="546" w:lineRule="atLeast"/>
    </w:pPr>
    <w:rPr>
      <w:rFonts w:cs="Times New Roman"/>
      <w:color w:val="auto"/>
    </w:rPr>
  </w:style>
  <w:style w:type="paragraph" w:customStyle="1" w:styleId="CM54">
    <w:name w:val="CM54"/>
    <w:basedOn w:val="Default"/>
    <w:next w:val="Default"/>
    <w:uiPriority w:val="99"/>
    <w:rsid w:val="00D630C4"/>
    <w:pPr>
      <w:spacing w:line="546" w:lineRule="atLeast"/>
    </w:pPr>
    <w:rPr>
      <w:rFonts w:cs="Times New Roman"/>
      <w:color w:val="auto"/>
    </w:rPr>
  </w:style>
  <w:style w:type="paragraph" w:customStyle="1" w:styleId="CM55">
    <w:name w:val="CM55"/>
    <w:basedOn w:val="Default"/>
    <w:next w:val="Default"/>
    <w:uiPriority w:val="99"/>
    <w:rsid w:val="00D630C4"/>
    <w:pPr>
      <w:spacing w:line="546" w:lineRule="atLeast"/>
    </w:pPr>
    <w:rPr>
      <w:rFonts w:cs="Times New Roman"/>
      <w:color w:val="auto"/>
    </w:rPr>
  </w:style>
  <w:style w:type="paragraph" w:customStyle="1" w:styleId="CM56">
    <w:name w:val="CM56"/>
    <w:basedOn w:val="Default"/>
    <w:next w:val="Default"/>
    <w:uiPriority w:val="99"/>
    <w:rsid w:val="00D630C4"/>
    <w:pPr>
      <w:spacing w:line="546" w:lineRule="atLeast"/>
    </w:pPr>
    <w:rPr>
      <w:rFonts w:cs="Times New Roman"/>
      <w:color w:val="auto"/>
    </w:rPr>
  </w:style>
  <w:style w:type="paragraph" w:customStyle="1" w:styleId="CM57">
    <w:name w:val="CM57"/>
    <w:basedOn w:val="Default"/>
    <w:next w:val="Default"/>
    <w:uiPriority w:val="99"/>
    <w:rsid w:val="00D630C4"/>
    <w:pPr>
      <w:spacing w:line="546" w:lineRule="atLeast"/>
    </w:pPr>
    <w:rPr>
      <w:rFonts w:cs="Times New Roman"/>
      <w:color w:val="auto"/>
    </w:rPr>
  </w:style>
  <w:style w:type="paragraph" w:customStyle="1" w:styleId="CM58">
    <w:name w:val="CM58"/>
    <w:basedOn w:val="Default"/>
    <w:next w:val="Default"/>
    <w:uiPriority w:val="99"/>
    <w:rsid w:val="00D630C4"/>
    <w:pPr>
      <w:spacing w:line="543" w:lineRule="atLeast"/>
    </w:pPr>
    <w:rPr>
      <w:rFonts w:cs="Times New Roman"/>
      <w:color w:val="auto"/>
    </w:rPr>
  </w:style>
  <w:style w:type="paragraph" w:customStyle="1" w:styleId="CM59">
    <w:name w:val="CM59"/>
    <w:basedOn w:val="Default"/>
    <w:next w:val="Default"/>
    <w:uiPriority w:val="99"/>
    <w:rsid w:val="00D630C4"/>
    <w:pPr>
      <w:spacing w:line="546" w:lineRule="atLeast"/>
    </w:pPr>
    <w:rPr>
      <w:rFonts w:cs="Times New Roman"/>
      <w:color w:val="auto"/>
    </w:rPr>
  </w:style>
  <w:style w:type="paragraph" w:customStyle="1" w:styleId="CM60">
    <w:name w:val="CM60"/>
    <w:basedOn w:val="Default"/>
    <w:next w:val="Default"/>
    <w:uiPriority w:val="99"/>
    <w:rsid w:val="00D630C4"/>
    <w:pPr>
      <w:spacing w:line="546" w:lineRule="atLeast"/>
    </w:pPr>
    <w:rPr>
      <w:rFonts w:cs="Times New Roman"/>
      <w:color w:val="auto"/>
    </w:rPr>
  </w:style>
  <w:style w:type="paragraph" w:customStyle="1" w:styleId="CM61">
    <w:name w:val="CM61"/>
    <w:basedOn w:val="Default"/>
    <w:next w:val="Default"/>
    <w:uiPriority w:val="99"/>
    <w:rsid w:val="00D630C4"/>
    <w:pPr>
      <w:spacing w:line="546" w:lineRule="atLeast"/>
    </w:pPr>
    <w:rPr>
      <w:rFonts w:cs="Times New Roman"/>
      <w:color w:val="auto"/>
    </w:rPr>
  </w:style>
  <w:style w:type="paragraph" w:customStyle="1" w:styleId="CM62">
    <w:name w:val="CM62"/>
    <w:basedOn w:val="Default"/>
    <w:next w:val="Default"/>
    <w:uiPriority w:val="99"/>
    <w:rsid w:val="00D630C4"/>
    <w:pPr>
      <w:spacing w:line="546" w:lineRule="atLeast"/>
    </w:pPr>
    <w:rPr>
      <w:rFonts w:cs="Times New Roman"/>
      <w:color w:val="auto"/>
    </w:rPr>
  </w:style>
  <w:style w:type="paragraph" w:customStyle="1" w:styleId="CM63">
    <w:name w:val="CM63"/>
    <w:basedOn w:val="Default"/>
    <w:next w:val="Default"/>
    <w:uiPriority w:val="99"/>
    <w:rsid w:val="00D630C4"/>
    <w:pPr>
      <w:spacing w:line="546" w:lineRule="atLeast"/>
    </w:pPr>
    <w:rPr>
      <w:rFonts w:cs="Times New Roman"/>
      <w:color w:val="auto"/>
    </w:rPr>
  </w:style>
  <w:style w:type="paragraph" w:customStyle="1" w:styleId="CM64">
    <w:name w:val="CM64"/>
    <w:basedOn w:val="Default"/>
    <w:next w:val="Default"/>
    <w:uiPriority w:val="99"/>
    <w:rsid w:val="00D630C4"/>
    <w:pPr>
      <w:spacing w:line="546" w:lineRule="atLeast"/>
    </w:pPr>
    <w:rPr>
      <w:rFonts w:cs="Times New Roman"/>
      <w:color w:val="auto"/>
    </w:rPr>
  </w:style>
  <w:style w:type="paragraph" w:customStyle="1" w:styleId="CM65">
    <w:name w:val="CM65"/>
    <w:basedOn w:val="Default"/>
    <w:next w:val="Default"/>
    <w:uiPriority w:val="99"/>
    <w:rsid w:val="00D630C4"/>
    <w:pPr>
      <w:spacing w:line="546" w:lineRule="atLeast"/>
    </w:pPr>
    <w:rPr>
      <w:rFonts w:cs="Times New Roman"/>
      <w:color w:val="auto"/>
    </w:rPr>
  </w:style>
  <w:style w:type="paragraph" w:customStyle="1" w:styleId="CM66">
    <w:name w:val="CM66"/>
    <w:basedOn w:val="Default"/>
    <w:next w:val="Default"/>
    <w:uiPriority w:val="99"/>
    <w:rsid w:val="00D630C4"/>
    <w:pPr>
      <w:spacing w:line="546" w:lineRule="atLeast"/>
    </w:pPr>
    <w:rPr>
      <w:rFonts w:cs="Times New Roman"/>
      <w:color w:val="auto"/>
    </w:rPr>
  </w:style>
  <w:style w:type="paragraph" w:customStyle="1" w:styleId="CM67">
    <w:name w:val="CM67"/>
    <w:basedOn w:val="Default"/>
    <w:next w:val="Default"/>
    <w:uiPriority w:val="99"/>
    <w:rsid w:val="00D630C4"/>
    <w:pPr>
      <w:spacing w:line="546" w:lineRule="atLeast"/>
    </w:pPr>
    <w:rPr>
      <w:rFonts w:cs="Times New Roman"/>
      <w:color w:val="auto"/>
    </w:rPr>
  </w:style>
  <w:style w:type="paragraph" w:customStyle="1" w:styleId="CM76">
    <w:name w:val="CM76"/>
    <w:basedOn w:val="Default"/>
    <w:next w:val="Default"/>
    <w:uiPriority w:val="99"/>
    <w:rsid w:val="00D630C4"/>
    <w:pPr>
      <w:spacing w:after="308"/>
    </w:pPr>
    <w:rPr>
      <w:rFonts w:cs="Times New Roman"/>
      <w:color w:val="auto"/>
    </w:rPr>
  </w:style>
  <w:style w:type="paragraph" w:customStyle="1" w:styleId="CM39">
    <w:name w:val="CM39"/>
    <w:basedOn w:val="Default"/>
    <w:next w:val="Default"/>
    <w:uiPriority w:val="99"/>
    <w:rsid w:val="00D630C4"/>
    <w:pPr>
      <w:spacing w:line="546" w:lineRule="atLeast"/>
    </w:pPr>
    <w:rPr>
      <w:rFonts w:cs="Times New Roman"/>
      <w:color w:val="auto"/>
    </w:rPr>
  </w:style>
  <w:style w:type="paragraph" w:customStyle="1" w:styleId="CM68">
    <w:name w:val="CM68"/>
    <w:basedOn w:val="Default"/>
    <w:next w:val="Default"/>
    <w:uiPriority w:val="99"/>
    <w:rsid w:val="00D630C4"/>
    <w:pPr>
      <w:spacing w:line="546" w:lineRule="atLeast"/>
    </w:pPr>
    <w:rPr>
      <w:rFonts w:cs="Times New Roman"/>
      <w:color w:val="auto"/>
    </w:rPr>
  </w:style>
  <w:style w:type="paragraph" w:customStyle="1" w:styleId="CM69">
    <w:name w:val="CM69"/>
    <w:basedOn w:val="Default"/>
    <w:next w:val="Default"/>
    <w:uiPriority w:val="99"/>
    <w:rsid w:val="00D630C4"/>
    <w:pPr>
      <w:spacing w:line="546" w:lineRule="atLeast"/>
    </w:pPr>
    <w:rPr>
      <w:rFonts w:cs="Times New Roman"/>
      <w:color w:val="auto"/>
    </w:rPr>
  </w:style>
  <w:style w:type="paragraph" w:customStyle="1" w:styleId="CharCharCharChar">
    <w:name w:val="Char Char Char Char"/>
    <w:basedOn w:val="a"/>
    <w:rsid w:val="00D630C4"/>
    <w:pPr>
      <w:widowControl/>
      <w:autoSpaceDE w:val="0"/>
      <w:autoSpaceDN w:val="0"/>
      <w:adjustRightInd w:val="0"/>
      <w:spacing w:after="160" w:line="240" w:lineRule="exact"/>
      <w:jc w:val="left"/>
    </w:pPr>
    <w:rPr>
      <w:rFonts w:ascii="Times New Roman" w:eastAsia="宋体" w:hAnsi="Times New Roman" w:cs="Times New Roman"/>
      <w:szCs w:val="20"/>
    </w:rPr>
  </w:style>
  <w:style w:type="table" w:customStyle="1" w:styleId="TableNormal">
    <w:name w:val="Table Normal"/>
    <w:uiPriority w:val="2"/>
    <w:unhideWhenUsed/>
    <w:qFormat/>
    <w:rsid w:val="00D630C4"/>
    <w:pPr>
      <w:widowControl w:val="0"/>
    </w:pPr>
    <w:rPr>
      <w:kern w:val="0"/>
      <w:sz w:val="22"/>
      <w:szCs w:val="20"/>
      <w:lang w:eastAsia="en-US"/>
    </w:rPr>
    <w:tblPr>
      <w:tblCellMar>
        <w:top w:w="0" w:type="dxa"/>
        <w:left w:w="0" w:type="dxa"/>
        <w:bottom w:w="0" w:type="dxa"/>
        <w:right w:w="0" w:type="dxa"/>
      </w:tblCellMar>
    </w:tblPr>
  </w:style>
  <w:style w:type="paragraph" w:styleId="af3">
    <w:name w:val="List Paragraph"/>
    <w:basedOn w:val="a"/>
    <w:uiPriority w:val="1"/>
    <w:qFormat/>
    <w:rsid w:val="00D630C4"/>
    <w:pPr>
      <w:jc w:val="left"/>
    </w:pPr>
    <w:rPr>
      <w:kern w:val="0"/>
      <w:sz w:val="22"/>
      <w:lang w:eastAsia="en-US"/>
    </w:rPr>
  </w:style>
  <w:style w:type="paragraph" w:customStyle="1" w:styleId="TableParagraph">
    <w:name w:val="Table Paragraph"/>
    <w:basedOn w:val="a"/>
    <w:uiPriority w:val="1"/>
    <w:qFormat/>
    <w:rsid w:val="00D630C4"/>
    <w:pPr>
      <w:jc w:val="left"/>
    </w:pPr>
    <w:rPr>
      <w:kern w:val="0"/>
      <w:sz w:val="22"/>
      <w:lang w:eastAsia="en-US"/>
    </w:rPr>
  </w:style>
  <w:style w:type="paragraph" w:styleId="TOC4">
    <w:name w:val="toc 4"/>
    <w:basedOn w:val="a"/>
    <w:next w:val="a"/>
    <w:autoRedefine/>
    <w:uiPriority w:val="39"/>
    <w:unhideWhenUsed/>
    <w:rsid w:val="00D630C4"/>
    <w:pPr>
      <w:ind w:leftChars="600" w:left="1260"/>
    </w:pPr>
  </w:style>
  <w:style w:type="paragraph" w:styleId="TOC5">
    <w:name w:val="toc 5"/>
    <w:basedOn w:val="a"/>
    <w:next w:val="a"/>
    <w:autoRedefine/>
    <w:uiPriority w:val="39"/>
    <w:unhideWhenUsed/>
    <w:rsid w:val="00D630C4"/>
    <w:pPr>
      <w:ind w:leftChars="800" w:left="1680"/>
    </w:pPr>
  </w:style>
  <w:style w:type="paragraph" w:styleId="TOC6">
    <w:name w:val="toc 6"/>
    <w:basedOn w:val="a"/>
    <w:next w:val="a"/>
    <w:autoRedefine/>
    <w:uiPriority w:val="39"/>
    <w:unhideWhenUsed/>
    <w:rsid w:val="00D630C4"/>
    <w:pPr>
      <w:ind w:leftChars="1000" w:left="2100"/>
    </w:pPr>
  </w:style>
  <w:style w:type="paragraph" w:styleId="TOC7">
    <w:name w:val="toc 7"/>
    <w:basedOn w:val="a"/>
    <w:next w:val="a"/>
    <w:autoRedefine/>
    <w:uiPriority w:val="39"/>
    <w:unhideWhenUsed/>
    <w:rsid w:val="00D630C4"/>
    <w:pPr>
      <w:ind w:leftChars="1200" w:left="2520"/>
    </w:pPr>
  </w:style>
  <w:style w:type="paragraph" w:styleId="TOC8">
    <w:name w:val="toc 8"/>
    <w:basedOn w:val="a"/>
    <w:next w:val="a"/>
    <w:autoRedefine/>
    <w:uiPriority w:val="39"/>
    <w:unhideWhenUsed/>
    <w:rsid w:val="00D630C4"/>
    <w:pPr>
      <w:ind w:leftChars="1400" w:left="2940"/>
    </w:pPr>
  </w:style>
  <w:style w:type="paragraph" w:styleId="TOC9">
    <w:name w:val="toc 9"/>
    <w:basedOn w:val="a"/>
    <w:next w:val="a"/>
    <w:autoRedefine/>
    <w:uiPriority w:val="39"/>
    <w:unhideWhenUsed/>
    <w:rsid w:val="00D630C4"/>
    <w:pPr>
      <w:ind w:leftChars="1600" w:left="3360"/>
    </w:pPr>
  </w:style>
  <w:style w:type="paragraph" w:customStyle="1" w:styleId="IASBNormalnpara">
    <w:name w:val="IASB Normal npara"/>
    <w:basedOn w:val="a"/>
    <w:rsid w:val="00D630C4"/>
    <w:pPr>
      <w:widowControl/>
      <w:spacing w:before="100"/>
      <w:ind w:left="782" w:hanging="782"/>
    </w:pPr>
    <w:rPr>
      <w:rFonts w:ascii="Times New Roman" w:eastAsia="宋体" w:hAnsi="Times New Roman" w:cs="Times New Roman"/>
      <w:kern w:val="0"/>
      <w:sz w:val="19"/>
      <w:szCs w:val="20"/>
      <w:lang w:eastAsia="en-US"/>
    </w:rPr>
  </w:style>
  <w:style w:type="paragraph" w:customStyle="1" w:styleId="IASBNormalnparaL1">
    <w:name w:val="IASB Normal nparaL1"/>
    <w:basedOn w:val="a"/>
    <w:rsid w:val="00D630C4"/>
    <w:pPr>
      <w:widowControl/>
      <w:spacing w:before="100"/>
      <w:ind w:left="1564" w:hanging="782"/>
    </w:pPr>
    <w:rPr>
      <w:rFonts w:ascii="Times New Roman" w:eastAsia="宋体" w:hAnsi="Times New Roman" w:cs="Times New Roman"/>
      <w:kern w:val="0"/>
      <w:sz w:val="19"/>
      <w:szCs w:val="20"/>
      <w:lang w:eastAsia="en-US"/>
    </w:rPr>
  </w:style>
  <w:style w:type="paragraph" w:customStyle="1" w:styleId="IASBTableTNR">
    <w:name w:val="IASB Table TNR"/>
    <w:basedOn w:val="a"/>
    <w:rsid w:val="00D630C4"/>
    <w:pPr>
      <w:widowControl/>
      <w:spacing w:before="120"/>
      <w:jc w:val="left"/>
    </w:pPr>
    <w:rPr>
      <w:rFonts w:ascii="Times New Roman" w:eastAsia="宋体" w:hAnsi="Times New Roman" w:cs="Times New Roman"/>
      <w:kern w:val="0"/>
      <w:sz w:val="19"/>
      <w:szCs w:val="20"/>
    </w:rPr>
  </w:style>
  <w:style w:type="paragraph" w:customStyle="1" w:styleId="promulgatetitle">
    <w:name w:val="promulgatetitle"/>
    <w:basedOn w:val="a"/>
    <w:rsid w:val="00D630C4"/>
    <w:pPr>
      <w:widowControl/>
      <w:spacing w:before="100" w:beforeAutospacing="1" w:after="100" w:afterAutospacing="1"/>
      <w:jc w:val="left"/>
    </w:pPr>
    <w:rPr>
      <w:rFonts w:ascii="宋体" w:eastAsia="宋体" w:hAnsi="宋体" w:cs="宋体"/>
      <w:kern w:val="0"/>
      <w:sz w:val="24"/>
      <w:szCs w:val="24"/>
    </w:rPr>
  </w:style>
  <w:style w:type="paragraph" w:customStyle="1" w:styleId="promulgatesubtitle">
    <w:name w:val="promulgatesubtitle"/>
    <w:basedOn w:val="a"/>
    <w:rsid w:val="00D630C4"/>
    <w:pPr>
      <w:widowControl/>
      <w:spacing w:before="100" w:beforeAutospacing="1" w:after="100" w:afterAutospacing="1"/>
      <w:jc w:val="left"/>
    </w:pPr>
    <w:rPr>
      <w:rFonts w:ascii="宋体" w:eastAsia="宋体" w:hAnsi="宋体" w:cs="宋体"/>
      <w:kern w:val="0"/>
      <w:sz w:val="24"/>
      <w:szCs w:val="24"/>
    </w:rPr>
  </w:style>
  <w:style w:type="paragraph" w:customStyle="1" w:styleId="promulgatepopulation">
    <w:name w:val="promulgatepopulation"/>
    <w:basedOn w:val="a"/>
    <w:rsid w:val="00D630C4"/>
    <w:pPr>
      <w:widowControl/>
      <w:spacing w:before="100" w:beforeAutospacing="1" w:after="100" w:afterAutospacing="1"/>
      <w:jc w:val="left"/>
    </w:pPr>
    <w:rPr>
      <w:rFonts w:ascii="宋体" w:eastAsia="宋体" w:hAnsi="宋体" w:cs="宋体"/>
      <w:kern w:val="0"/>
      <w:sz w:val="24"/>
      <w:szCs w:val="24"/>
    </w:rPr>
  </w:style>
  <w:style w:type="paragraph" w:customStyle="1" w:styleId="doc-a">
    <w:name w:val="doc-a"/>
    <w:basedOn w:val="a"/>
    <w:rsid w:val="00D630C4"/>
    <w:pPr>
      <w:widowControl/>
      <w:spacing w:before="100" w:beforeAutospacing="1" w:after="100" w:afterAutospacing="1"/>
      <w:jc w:val="left"/>
    </w:pPr>
    <w:rPr>
      <w:rFonts w:ascii="宋体" w:eastAsia="宋体" w:hAnsi="宋体" w:cs="宋体"/>
      <w:kern w:val="0"/>
      <w:sz w:val="24"/>
      <w:szCs w:val="24"/>
    </w:rPr>
  </w:style>
  <w:style w:type="paragraph" w:customStyle="1" w:styleId="promulgatedate">
    <w:name w:val="promulgatedate"/>
    <w:basedOn w:val="a"/>
    <w:rsid w:val="00D630C4"/>
    <w:pPr>
      <w:widowControl/>
      <w:spacing w:before="100" w:beforeAutospacing="1" w:after="100" w:afterAutospacing="1"/>
      <w:jc w:val="left"/>
    </w:pPr>
    <w:rPr>
      <w:rFonts w:ascii="宋体" w:eastAsia="宋体" w:hAnsi="宋体" w:cs="宋体"/>
      <w:kern w:val="0"/>
      <w:sz w:val="24"/>
      <w:szCs w:val="24"/>
    </w:rPr>
  </w:style>
  <w:style w:type="paragraph" w:customStyle="1" w:styleId="attachtitle">
    <w:name w:val="attachtitle"/>
    <w:basedOn w:val="a"/>
    <w:rsid w:val="00D630C4"/>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D630C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1">
    <w:name w:val="正文文本 (2)_"/>
    <w:basedOn w:val="a0"/>
    <w:link w:val="22"/>
    <w:rsid w:val="00D630C4"/>
    <w:rPr>
      <w:rFonts w:ascii="MingLiU" w:eastAsia="MingLiU" w:hAnsi="MingLiU" w:cs="MingLiU"/>
      <w:shd w:val="clear" w:color="auto" w:fill="FFFFFF"/>
      <w:lang w:val="zh-CN" w:bidi="zh-CN"/>
    </w:rPr>
  </w:style>
  <w:style w:type="character" w:customStyle="1" w:styleId="af4">
    <w:name w:val="正文文本_"/>
    <w:basedOn w:val="a0"/>
    <w:link w:val="11"/>
    <w:rsid w:val="00D630C4"/>
    <w:rPr>
      <w:rFonts w:ascii="MingLiU" w:eastAsia="MingLiU" w:hAnsi="MingLiU" w:cs="MingLiU"/>
      <w:shd w:val="clear" w:color="auto" w:fill="FFFFFF"/>
      <w:lang w:val="zh-CN" w:bidi="zh-CN"/>
    </w:rPr>
  </w:style>
  <w:style w:type="character" w:customStyle="1" w:styleId="af5">
    <w:name w:val="图片标题_"/>
    <w:basedOn w:val="a0"/>
    <w:link w:val="af6"/>
    <w:rsid w:val="00D630C4"/>
    <w:rPr>
      <w:rFonts w:ascii="MingLiU" w:eastAsia="MingLiU" w:hAnsi="MingLiU" w:cs="MingLiU"/>
      <w:shd w:val="clear" w:color="auto" w:fill="FFFFFF"/>
      <w:lang w:val="zh-CN" w:bidi="zh-CN"/>
    </w:rPr>
  </w:style>
  <w:style w:type="character" w:customStyle="1" w:styleId="23">
    <w:name w:val="标题 #2_"/>
    <w:basedOn w:val="a0"/>
    <w:link w:val="24"/>
    <w:rsid w:val="00D630C4"/>
    <w:rPr>
      <w:rFonts w:ascii="MingLiU" w:eastAsia="MingLiU" w:hAnsi="MingLiU" w:cs="MingLiU"/>
      <w:sz w:val="42"/>
      <w:szCs w:val="42"/>
      <w:shd w:val="clear" w:color="auto" w:fill="FFFFFF"/>
      <w:lang w:val="zh-CN" w:bidi="zh-CN"/>
    </w:rPr>
  </w:style>
  <w:style w:type="character" w:customStyle="1" w:styleId="4">
    <w:name w:val="正文文本 (4)_"/>
    <w:basedOn w:val="a0"/>
    <w:link w:val="40"/>
    <w:rsid w:val="00D630C4"/>
    <w:rPr>
      <w:rFonts w:ascii="Arial" w:eastAsia="Arial" w:hAnsi="Arial" w:cs="Arial"/>
      <w:b/>
      <w:bCs/>
      <w:sz w:val="8"/>
      <w:szCs w:val="8"/>
      <w:shd w:val="clear" w:color="auto" w:fill="FFFFFF"/>
    </w:rPr>
  </w:style>
  <w:style w:type="character" w:customStyle="1" w:styleId="5">
    <w:name w:val="正文文本 (5)_"/>
    <w:basedOn w:val="a0"/>
    <w:link w:val="50"/>
    <w:rsid w:val="00D630C4"/>
    <w:rPr>
      <w:rFonts w:ascii="Arial Unicode MS" w:eastAsia="Arial Unicode MS" w:hAnsi="Arial Unicode MS" w:cs="Arial Unicode MS"/>
      <w:sz w:val="8"/>
      <w:szCs w:val="8"/>
      <w:u w:val="single"/>
      <w:shd w:val="clear" w:color="auto" w:fill="FFFFFF"/>
      <w:lang w:val="zh-CN" w:bidi="zh-CN"/>
    </w:rPr>
  </w:style>
  <w:style w:type="character" w:customStyle="1" w:styleId="25">
    <w:name w:val="页眉或页脚 (2)_"/>
    <w:basedOn w:val="a0"/>
    <w:link w:val="26"/>
    <w:rsid w:val="00D630C4"/>
    <w:rPr>
      <w:rFonts w:ascii="Times New Roman" w:eastAsia="Times New Roman" w:hAnsi="Times New Roman" w:cs="Times New Roman"/>
      <w:shd w:val="clear" w:color="auto" w:fill="FFFFFF"/>
      <w:lang w:val="zh-CN" w:bidi="zh-CN"/>
    </w:rPr>
  </w:style>
  <w:style w:type="character" w:customStyle="1" w:styleId="33">
    <w:name w:val="正文文本 (3)_"/>
    <w:basedOn w:val="a0"/>
    <w:link w:val="34"/>
    <w:rsid w:val="00D630C4"/>
    <w:rPr>
      <w:rFonts w:ascii="MingLiU" w:eastAsia="MingLiU" w:hAnsi="MingLiU" w:cs="MingLiU"/>
      <w:sz w:val="32"/>
      <w:szCs w:val="32"/>
      <w:shd w:val="clear" w:color="auto" w:fill="FFFFFF"/>
      <w:lang w:val="zh-CN" w:bidi="zh-CN"/>
    </w:rPr>
  </w:style>
  <w:style w:type="character" w:customStyle="1" w:styleId="af7">
    <w:name w:val="目录_"/>
    <w:basedOn w:val="a0"/>
    <w:link w:val="af8"/>
    <w:rsid w:val="00D630C4"/>
    <w:rPr>
      <w:rFonts w:ascii="MingLiU" w:eastAsia="MingLiU" w:hAnsi="MingLiU" w:cs="MingLiU"/>
      <w:shd w:val="clear" w:color="auto" w:fill="FFFFFF"/>
      <w:lang w:val="zh-CN" w:bidi="zh-CN"/>
    </w:rPr>
  </w:style>
  <w:style w:type="character" w:customStyle="1" w:styleId="af9">
    <w:name w:val="表格标题_"/>
    <w:basedOn w:val="a0"/>
    <w:link w:val="afa"/>
    <w:rsid w:val="00D630C4"/>
    <w:rPr>
      <w:rFonts w:ascii="MingLiU" w:eastAsia="MingLiU" w:hAnsi="MingLiU" w:cs="MingLiU"/>
      <w:sz w:val="17"/>
      <w:szCs w:val="17"/>
      <w:shd w:val="clear" w:color="auto" w:fill="FFFFFF"/>
      <w:lang w:val="zh-CN" w:bidi="zh-CN"/>
    </w:rPr>
  </w:style>
  <w:style w:type="character" w:customStyle="1" w:styleId="afb">
    <w:name w:val="其他_"/>
    <w:basedOn w:val="a0"/>
    <w:link w:val="afc"/>
    <w:rsid w:val="00D630C4"/>
    <w:rPr>
      <w:rFonts w:ascii="MingLiU" w:eastAsia="MingLiU" w:hAnsi="MingLiU" w:cs="MingLiU"/>
      <w:shd w:val="clear" w:color="auto" w:fill="FFFFFF"/>
      <w:lang w:val="zh-CN" w:bidi="zh-CN"/>
    </w:rPr>
  </w:style>
  <w:style w:type="character" w:customStyle="1" w:styleId="afd">
    <w:name w:val="页眉或页脚_"/>
    <w:basedOn w:val="a0"/>
    <w:link w:val="afe"/>
    <w:rsid w:val="00D630C4"/>
    <w:rPr>
      <w:rFonts w:ascii="MingLiU" w:eastAsia="MingLiU" w:hAnsi="MingLiU" w:cs="MingLiU"/>
      <w:shd w:val="clear" w:color="auto" w:fill="FFFFFF"/>
      <w:lang w:val="zh-CN" w:bidi="zh-CN"/>
    </w:rPr>
  </w:style>
  <w:style w:type="character" w:customStyle="1" w:styleId="8">
    <w:name w:val="正文文本 (8)_"/>
    <w:basedOn w:val="a0"/>
    <w:link w:val="80"/>
    <w:rsid w:val="00D630C4"/>
    <w:rPr>
      <w:rFonts w:ascii="Trebuchet MS" w:eastAsia="Trebuchet MS" w:hAnsi="Trebuchet MS" w:cs="Trebuchet MS"/>
      <w:shd w:val="clear" w:color="auto" w:fill="FFFFFF"/>
      <w:lang w:val="zh-CN" w:bidi="zh-CN"/>
    </w:rPr>
  </w:style>
  <w:style w:type="character" w:customStyle="1" w:styleId="9">
    <w:name w:val="正文文本 (9)_"/>
    <w:basedOn w:val="a0"/>
    <w:link w:val="90"/>
    <w:rsid w:val="00D630C4"/>
    <w:rPr>
      <w:rFonts w:ascii="MingLiU" w:eastAsia="MingLiU" w:hAnsi="MingLiU" w:cs="MingLiU"/>
      <w:strike/>
      <w:sz w:val="8"/>
      <w:szCs w:val="8"/>
      <w:shd w:val="clear" w:color="auto" w:fill="FFFFFF"/>
      <w:lang w:val="zh-CN" w:bidi="zh-CN"/>
    </w:rPr>
  </w:style>
  <w:style w:type="character" w:customStyle="1" w:styleId="12">
    <w:name w:val="标题 #1_"/>
    <w:basedOn w:val="a0"/>
    <w:link w:val="13"/>
    <w:rsid w:val="00D630C4"/>
    <w:rPr>
      <w:rFonts w:ascii="MingLiU" w:eastAsia="MingLiU" w:hAnsi="MingLiU" w:cs="MingLiU"/>
      <w:sz w:val="58"/>
      <w:szCs w:val="58"/>
      <w:shd w:val="clear" w:color="auto" w:fill="FFFFFF"/>
      <w:lang w:val="zh-CN" w:bidi="zh-CN"/>
    </w:rPr>
  </w:style>
  <w:style w:type="character" w:customStyle="1" w:styleId="35">
    <w:name w:val="标题 #3_"/>
    <w:basedOn w:val="a0"/>
    <w:link w:val="36"/>
    <w:rsid w:val="00D630C4"/>
    <w:rPr>
      <w:rFonts w:ascii="MingLiU" w:eastAsia="MingLiU" w:hAnsi="MingLiU" w:cs="MingLiU"/>
      <w:sz w:val="34"/>
      <w:szCs w:val="34"/>
      <w:shd w:val="clear" w:color="auto" w:fill="FFFFFF"/>
      <w:lang w:val="zh-CN" w:bidi="zh-CN"/>
    </w:rPr>
  </w:style>
  <w:style w:type="paragraph" w:customStyle="1" w:styleId="22">
    <w:name w:val="正文文本 (2)"/>
    <w:basedOn w:val="a"/>
    <w:link w:val="21"/>
    <w:rsid w:val="00D630C4"/>
    <w:pPr>
      <w:shd w:val="clear" w:color="auto" w:fill="FFFFFF"/>
      <w:spacing w:after="160"/>
      <w:jc w:val="left"/>
    </w:pPr>
    <w:rPr>
      <w:rFonts w:ascii="MingLiU" w:eastAsia="MingLiU" w:hAnsi="MingLiU" w:cs="MingLiU"/>
      <w:lang w:val="zh-CN" w:bidi="zh-CN"/>
    </w:rPr>
  </w:style>
  <w:style w:type="paragraph" w:customStyle="1" w:styleId="11">
    <w:name w:val="正文文本1"/>
    <w:basedOn w:val="a"/>
    <w:link w:val="af4"/>
    <w:rsid w:val="00D630C4"/>
    <w:pPr>
      <w:shd w:val="clear" w:color="auto" w:fill="FFFFFF"/>
      <w:spacing w:line="413" w:lineRule="auto"/>
      <w:ind w:firstLine="400"/>
      <w:jc w:val="left"/>
    </w:pPr>
    <w:rPr>
      <w:rFonts w:ascii="MingLiU" w:eastAsia="MingLiU" w:hAnsi="MingLiU" w:cs="MingLiU"/>
      <w:lang w:val="zh-CN" w:bidi="zh-CN"/>
    </w:rPr>
  </w:style>
  <w:style w:type="paragraph" w:customStyle="1" w:styleId="af6">
    <w:name w:val="图片标题"/>
    <w:basedOn w:val="a"/>
    <w:link w:val="af5"/>
    <w:rsid w:val="00D630C4"/>
    <w:pPr>
      <w:shd w:val="clear" w:color="auto" w:fill="FFFFFF"/>
      <w:jc w:val="left"/>
    </w:pPr>
    <w:rPr>
      <w:rFonts w:ascii="MingLiU" w:eastAsia="MingLiU" w:hAnsi="MingLiU" w:cs="MingLiU"/>
      <w:lang w:val="zh-CN" w:bidi="zh-CN"/>
    </w:rPr>
  </w:style>
  <w:style w:type="paragraph" w:customStyle="1" w:styleId="24">
    <w:name w:val="标题 #2"/>
    <w:basedOn w:val="a"/>
    <w:link w:val="23"/>
    <w:rsid w:val="00D630C4"/>
    <w:pPr>
      <w:shd w:val="clear" w:color="auto" w:fill="FFFFFF"/>
      <w:spacing w:after="1180"/>
      <w:jc w:val="left"/>
      <w:outlineLvl w:val="1"/>
    </w:pPr>
    <w:rPr>
      <w:rFonts w:ascii="MingLiU" w:eastAsia="MingLiU" w:hAnsi="MingLiU" w:cs="MingLiU"/>
      <w:sz w:val="42"/>
      <w:szCs w:val="42"/>
      <w:lang w:val="zh-CN" w:bidi="zh-CN"/>
    </w:rPr>
  </w:style>
  <w:style w:type="paragraph" w:customStyle="1" w:styleId="40">
    <w:name w:val="正文文本 (4)"/>
    <w:basedOn w:val="a"/>
    <w:link w:val="4"/>
    <w:rsid w:val="00D630C4"/>
    <w:pPr>
      <w:shd w:val="clear" w:color="auto" w:fill="FFFFFF"/>
      <w:jc w:val="left"/>
    </w:pPr>
    <w:rPr>
      <w:rFonts w:ascii="Arial" w:eastAsia="Arial" w:hAnsi="Arial" w:cs="Arial"/>
      <w:b/>
      <w:bCs/>
      <w:sz w:val="8"/>
      <w:szCs w:val="8"/>
    </w:rPr>
  </w:style>
  <w:style w:type="paragraph" w:customStyle="1" w:styleId="50">
    <w:name w:val="正文文本 (5)"/>
    <w:basedOn w:val="a"/>
    <w:link w:val="5"/>
    <w:rsid w:val="00D630C4"/>
    <w:pPr>
      <w:shd w:val="clear" w:color="auto" w:fill="FFFFFF"/>
      <w:spacing w:line="180" w:lineRule="auto"/>
      <w:jc w:val="left"/>
    </w:pPr>
    <w:rPr>
      <w:rFonts w:ascii="Arial Unicode MS" w:eastAsia="Arial Unicode MS" w:hAnsi="Arial Unicode MS" w:cs="Arial Unicode MS"/>
      <w:sz w:val="8"/>
      <w:szCs w:val="8"/>
      <w:u w:val="single"/>
      <w:lang w:val="zh-CN" w:bidi="zh-CN"/>
    </w:rPr>
  </w:style>
  <w:style w:type="paragraph" w:customStyle="1" w:styleId="26">
    <w:name w:val="页眉或页脚 (2)"/>
    <w:basedOn w:val="a"/>
    <w:link w:val="25"/>
    <w:rsid w:val="00D630C4"/>
    <w:pPr>
      <w:shd w:val="clear" w:color="auto" w:fill="FFFFFF"/>
      <w:jc w:val="left"/>
    </w:pPr>
    <w:rPr>
      <w:rFonts w:ascii="Times New Roman" w:eastAsia="Times New Roman" w:hAnsi="Times New Roman" w:cs="Times New Roman"/>
      <w:lang w:val="zh-CN" w:bidi="zh-CN"/>
    </w:rPr>
  </w:style>
  <w:style w:type="paragraph" w:customStyle="1" w:styleId="34">
    <w:name w:val="正文文本 (3)"/>
    <w:basedOn w:val="a"/>
    <w:link w:val="33"/>
    <w:rsid w:val="00D630C4"/>
    <w:pPr>
      <w:shd w:val="clear" w:color="auto" w:fill="FFFFFF"/>
      <w:spacing w:after="200"/>
      <w:ind w:firstLine="610"/>
      <w:jc w:val="left"/>
    </w:pPr>
    <w:rPr>
      <w:rFonts w:ascii="MingLiU" w:eastAsia="MingLiU" w:hAnsi="MingLiU" w:cs="MingLiU"/>
      <w:sz w:val="32"/>
      <w:szCs w:val="32"/>
      <w:lang w:val="zh-CN" w:bidi="zh-CN"/>
    </w:rPr>
  </w:style>
  <w:style w:type="paragraph" w:customStyle="1" w:styleId="af8">
    <w:name w:val="目录"/>
    <w:basedOn w:val="a"/>
    <w:link w:val="af7"/>
    <w:rsid w:val="00D630C4"/>
    <w:pPr>
      <w:shd w:val="clear" w:color="auto" w:fill="FFFFFF"/>
      <w:spacing w:line="503" w:lineRule="exact"/>
      <w:ind w:left="80" w:firstLine="410"/>
      <w:jc w:val="left"/>
    </w:pPr>
    <w:rPr>
      <w:rFonts w:ascii="MingLiU" w:eastAsia="MingLiU" w:hAnsi="MingLiU" w:cs="MingLiU"/>
      <w:lang w:val="zh-CN" w:bidi="zh-CN"/>
    </w:rPr>
  </w:style>
  <w:style w:type="paragraph" w:customStyle="1" w:styleId="afa">
    <w:name w:val="表格标题"/>
    <w:basedOn w:val="a"/>
    <w:link w:val="af9"/>
    <w:rsid w:val="00D630C4"/>
    <w:pPr>
      <w:shd w:val="clear" w:color="auto" w:fill="FFFFFF"/>
      <w:spacing w:line="249" w:lineRule="exact"/>
      <w:ind w:firstLine="400"/>
      <w:jc w:val="left"/>
    </w:pPr>
    <w:rPr>
      <w:rFonts w:ascii="MingLiU" w:eastAsia="MingLiU" w:hAnsi="MingLiU" w:cs="MingLiU"/>
      <w:sz w:val="17"/>
      <w:szCs w:val="17"/>
      <w:lang w:val="zh-CN" w:bidi="zh-CN"/>
    </w:rPr>
  </w:style>
  <w:style w:type="paragraph" w:customStyle="1" w:styleId="afc">
    <w:name w:val="其他"/>
    <w:basedOn w:val="a"/>
    <w:link w:val="afb"/>
    <w:rsid w:val="00D630C4"/>
    <w:pPr>
      <w:shd w:val="clear" w:color="auto" w:fill="FFFFFF"/>
      <w:spacing w:line="413" w:lineRule="auto"/>
      <w:ind w:firstLine="400"/>
      <w:jc w:val="left"/>
    </w:pPr>
    <w:rPr>
      <w:rFonts w:ascii="MingLiU" w:eastAsia="MingLiU" w:hAnsi="MingLiU" w:cs="MingLiU"/>
      <w:lang w:val="zh-CN" w:bidi="zh-CN"/>
    </w:rPr>
  </w:style>
  <w:style w:type="paragraph" w:customStyle="1" w:styleId="afe">
    <w:name w:val="页眉或页脚"/>
    <w:basedOn w:val="a"/>
    <w:link w:val="afd"/>
    <w:rsid w:val="00D630C4"/>
    <w:pPr>
      <w:shd w:val="clear" w:color="auto" w:fill="FFFFFF"/>
      <w:jc w:val="left"/>
    </w:pPr>
    <w:rPr>
      <w:rFonts w:ascii="MingLiU" w:eastAsia="MingLiU" w:hAnsi="MingLiU" w:cs="MingLiU"/>
      <w:lang w:val="zh-CN" w:bidi="zh-CN"/>
    </w:rPr>
  </w:style>
  <w:style w:type="paragraph" w:customStyle="1" w:styleId="80">
    <w:name w:val="正文文本 (8)"/>
    <w:basedOn w:val="a"/>
    <w:link w:val="8"/>
    <w:rsid w:val="00D630C4"/>
    <w:pPr>
      <w:shd w:val="clear" w:color="auto" w:fill="FFFFFF"/>
      <w:spacing w:line="319" w:lineRule="auto"/>
      <w:jc w:val="left"/>
    </w:pPr>
    <w:rPr>
      <w:rFonts w:ascii="Trebuchet MS" w:eastAsia="Trebuchet MS" w:hAnsi="Trebuchet MS" w:cs="Trebuchet MS"/>
      <w:lang w:val="zh-CN" w:bidi="zh-CN"/>
    </w:rPr>
  </w:style>
  <w:style w:type="paragraph" w:customStyle="1" w:styleId="90">
    <w:name w:val="正文文本 (9)"/>
    <w:basedOn w:val="a"/>
    <w:link w:val="9"/>
    <w:rsid w:val="00D630C4"/>
    <w:pPr>
      <w:shd w:val="clear" w:color="auto" w:fill="FFFFFF"/>
      <w:spacing w:after="160"/>
      <w:ind w:left="2660"/>
      <w:jc w:val="left"/>
    </w:pPr>
    <w:rPr>
      <w:rFonts w:ascii="MingLiU" w:eastAsia="MingLiU" w:hAnsi="MingLiU" w:cs="MingLiU"/>
      <w:strike/>
      <w:sz w:val="8"/>
      <w:szCs w:val="8"/>
      <w:lang w:val="zh-CN" w:bidi="zh-CN"/>
    </w:rPr>
  </w:style>
  <w:style w:type="paragraph" w:customStyle="1" w:styleId="13">
    <w:name w:val="标题 #1"/>
    <w:basedOn w:val="a"/>
    <w:link w:val="12"/>
    <w:rsid w:val="00D630C4"/>
    <w:pPr>
      <w:shd w:val="clear" w:color="auto" w:fill="FFFFFF"/>
      <w:spacing w:after="100" w:line="909" w:lineRule="exact"/>
      <w:jc w:val="center"/>
      <w:outlineLvl w:val="0"/>
    </w:pPr>
    <w:rPr>
      <w:rFonts w:ascii="MingLiU" w:eastAsia="MingLiU" w:hAnsi="MingLiU" w:cs="MingLiU"/>
      <w:sz w:val="58"/>
      <w:szCs w:val="58"/>
      <w:lang w:val="zh-CN" w:bidi="zh-CN"/>
    </w:rPr>
  </w:style>
  <w:style w:type="paragraph" w:customStyle="1" w:styleId="36">
    <w:name w:val="标题 #3"/>
    <w:basedOn w:val="a"/>
    <w:link w:val="35"/>
    <w:rsid w:val="00D630C4"/>
    <w:pPr>
      <w:shd w:val="clear" w:color="auto" w:fill="FFFFFF"/>
      <w:spacing w:after="440"/>
      <w:jc w:val="center"/>
      <w:outlineLvl w:val="2"/>
    </w:pPr>
    <w:rPr>
      <w:rFonts w:ascii="MingLiU" w:eastAsia="MingLiU" w:hAnsi="MingLiU" w:cs="MingLiU"/>
      <w:sz w:val="34"/>
      <w:szCs w:val="3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162</Pages>
  <Words>12314</Words>
  <Characters>70194</Characters>
  <Application>Microsoft Office Word</Application>
  <DocSecurity>0</DocSecurity>
  <Lines>584</Lines>
  <Paragraphs>164</Paragraphs>
  <ScaleCrop>false</ScaleCrop>
  <Company/>
  <LinksUpToDate>false</LinksUpToDate>
  <CharactersWithSpaces>82344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2021-02-11T06:07:00Z</dcterms:created>
  <dcterms:modified xsi:type="dcterms:W3CDTF">2021-02-11T06:14:00Z</dcterms:modified>
</cp:coreProperties>
</file>