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51D63E9C"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A91435">
        <w:rPr>
          <w:rFonts w:asciiTheme="minorEastAsia" w:hAnsiTheme="minorEastAsia"/>
          <w:sz w:val="44"/>
          <w:szCs w:val="44"/>
        </w:rPr>
        <w:t>4.</w:t>
      </w:r>
      <w:r w:rsidR="00143735">
        <w:rPr>
          <w:rFonts w:asciiTheme="minorEastAsia" w:hAnsiTheme="minorEastAsia"/>
          <w:sz w:val="44"/>
          <w:szCs w:val="44"/>
        </w:rPr>
        <w:t>7.</w:t>
      </w:r>
      <w:r w:rsidR="005E47E7">
        <w:rPr>
          <w:rFonts w:asciiTheme="minorEastAsia" w:hAnsiTheme="minorEastAsia"/>
          <w:sz w:val="44"/>
          <w:szCs w:val="44"/>
        </w:rPr>
        <w:t>4</w:t>
      </w:r>
      <w:r w:rsidR="008D63C6" w:rsidRPr="00740A21">
        <w:rPr>
          <w:rFonts w:asciiTheme="minorEastAsia" w:hAnsiTheme="minorEastAsia"/>
          <w:sz w:val="44"/>
          <w:szCs w:val="44"/>
        </w:rPr>
        <w:t xml:space="preserve">  </w:t>
      </w:r>
      <w:r w:rsidR="005E47E7" w:rsidRPr="005E47E7">
        <w:rPr>
          <w:rFonts w:asciiTheme="minorEastAsia" w:hAnsiTheme="minorEastAsia" w:hint="eastAsia"/>
          <w:sz w:val="44"/>
          <w:szCs w:val="44"/>
        </w:rPr>
        <w:t>证券、期货行业，</w:t>
      </w:r>
      <w:r w:rsidR="000E06BC">
        <w:rPr>
          <w:rFonts w:asciiTheme="minorEastAsia" w:hAnsiTheme="minorEastAsia" w:hint="eastAsia"/>
          <w:sz w:val="44"/>
          <w:szCs w:val="44"/>
        </w:rPr>
        <w:t>上海</w:t>
      </w:r>
      <w:r w:rsidR="005E47E7" w:rsidRPr="005E47E7">
        <w:rPr>
          <w:rFonts w:asciiTheme="minorEastAsia" w:hAnsiTheme="minorEastAsia" w:hint="eastAsia"/>
          <w:sz w:val="44"/>
          <w:szCs w:val="44"/>
        </w:rPr>
        <w:t>国际能源交易中心</w:t>
      </w:r>
    </w:p>
    <w:p w14:paraId="440C9E42" w14:textId="77777777" w:rsidR="00A065C8" w:rsidRDefault="00A065C8" w:rsidP="00B00E6D">
      <w:pPr>
        <w:spacing w:beforeLines="50" w:before="156" w:line="480" w:lineRule="atLeast"/>
        <w:ind w:firstLineChars="200" w:firstLine="480"/>
        <w:jc w:val="left"/>
        <w:rPr>
          <w:color w:val="333333"/>
          <w:sz w:val="24"/>
          <w:szCs w:val="24"/>
          <w:shd w:val="clear" w:color="auto" w:fill="FFFFFF"/>
        </w:rPr>
      </w:pPr>
    </w:p>
    <w:p w14:paraId="464582DA" w14:textId="1A03C4F8" w:rsidR="000E1550" w:rsidRPr="00B00E6D" w:rsidRDefault="00B00E6D" w:rsidP="00B00E6D">
      <w:pPr>
        <w:spacing w:beforeLines="50" w:before="156" w:line="480" w:lineRule="atLeast"/>
        <w:ind w:firstLineChars="200" w:firstLine="480"/>
        <w:jc w:val="left"/>
        <w:rPr>
          <w:rFonts w:asciiTheme="minorEastAsia" w:hAnsiTheme="minorEastAsia"/>
          <w:b/>
          <w:bCs/>
          <w:kern w:val="44"/>
          <w:sz w:val="24"/>
          <w:szCs w:val="24"/>
        </w:rPr>
      </w:pPr>
      <w:r w:rsidRPr="00B00E6D">
        <w:rPr>
          <w:rFonts w:hint="eastAsia"/>
          <w:color w:val="333333"/>
          <w:sz w:val="24"/>
          <w:szCs w:val="24"/>
          <w:shd w:val="clear" w:color="auto" w:fill="FFFFFF"/>
        </w:rPr>
        <w:t> </w:t>
      </w:r>
      <w:r w:rsidRPr="00B00E6D">
        <w:rPr>
          <w:rFonts w:hint="eastAsia"/>
          <w:color w:val="333333"/>
          <w:sz w:val="24"/>
          <w:szCs w:val="24"/>
          <w:shd w:val="clear" w:color="auto" w:fill="FFFFFF"/>
        </w:rPr>
        <w:t>根据《</w:t>
      </w:r>
      <w:hyperlink r:id="rId8" w:tgtFrame="_self" w:history="1">
        <w:r w:rsidRPr="00B00E6D">
          <w:rPr>
            <w:rFonts w:hint="eastAsia"/>
            <w:color w:val="6E6E6E"/>
            <w:sz w:val="24"/>
            <w:szCs w:val="24"/>
            <w:u w:val="single"/>
            <w:shd w:val="clear" w:color="auto" w:fill="FFFFFF"/>
          </w:rPr>
          <w:t>中华人民共和国企业所得税法</w:t>
        </w:r>
      </w:hyperlink>
      <w:r w:rsidRPr="00B00E6D">
        <w:rPr>
          <w:rFonts w:hint="eastAsia"/>
          <w:color w:val="333333"/>
          <w:sz w:val="24"/>
          <w:szCs w:val="24"/>
          <w:shd w:val="clear" w:color="auto" w:fill="FFFFFF"/>
        </w:rPr>
        <w:t>》和《</w:t>
      </w:r>
      <w:hyperlink r:id="rId9" w:tgtFrame="_self" w:history="1">
        <w:r w:rsidRPr="00B00E6D">
          <w:rPr>
            <w:rFonts w:hint="eastAsia"/>
            <w:color w:val="6E6E6E"/>
            <w:sz w:val="24"/>
            <w:szCs w:val="24"/>
            <w:u w:val="single"/>
            <w:shd w:val="clear" w:color="auto" w:fill="FFFFFF"/>
          </w:rPr>
          <w:t>中华人民共和国企业所得税法实施条例</w:t>
        </w:r>
      </w:hyperlink>
      <w:r w:rsidRPr="00B00E6D">
        <w:rPr>
          <w:rFonts w:hint="eastAsia"/>
          <w:color w:val="333333"/>
          <w:sz w:val="24"/>
          <w:szCs w:val="24"/>
          <w:shd w:val="clear" w:color="auto" w:fill="FFFFFF"/>
        </w:rPr>
        <w:t>》的有关规定，现就证券行业准备金支出企业所得税税前扣除有关政策问题明确如下：</w:t>
      </w:r>
    </w:p>
    <w:p w14:paraId="76351C5F" w14:textId="77777777" w:rsidR="00555221" w:rsidRPr="00555221" w:rsidRDefault="00555221" w:rsidP="00555221">
      <w:pPr>
        <w:pStyle w:val="1"/>
        <w:spacing w:beforeLines="50" w:before="156" w:after="0" w:line="480" w:lineRule="atLeas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一、证券类准备金</w:t>
      </w:r>
    </w:p>
    <w:p w14:paraId="6E8E6B69"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（一）证券交易所风险基金。</w:t>
      </w:r>
    </w:p>
    <w:p w14:paraId="68BB8192"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上海、深圳证券交易所依据《证券交易所风险基金管理暂行办法》（证监发〔2000〕22号）的有关规定，按证券交易所交易收取经手费的20%、会员年费的10%提取的证券交易所风险基金，在各基金净资产不超过10亿元的额度内，准予在企业所得税税前扣除。</w:t>
      </w:r>
    </w:p>
    <w:p w14:paraId="7C66A390" w14:textId="430DC494"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bookmarkStart w:id="0" w:name="_Hlk13551763"/>
      <w:r w:rsidRPr="00555221">
        <w:rPr>
          <w:rFonts w:asciiTheme="minorEastAsia" w:hAnsiTheme="minorEastAsia" w:hint="eastAsia"/>
          <w:color w:val="000000" w:themeColor="text1"/>
          <w:sz w:val="24"/>
          <w:szCs w:val="24"/>
        </w:rPr>
        <w:t>（</w:t>
      </w:r>
      <w:hyperlink r:id="rId10" w:history="1">
        <w:r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第一条第一款）</w:t>
      </w:r>
    </w:p>
    <w:bookmarkEnd w:id="0"/>
    <w:p w14:paraId="089DD03D"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（二）证券结算风险基金。</w:t>
      </w:r>
    </w:p>
    <w:p w14:paraId="294A70A1"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1.中国证券登记结算公司所属上海分公司、深圳分公司依据《证券结算风险基金管理办法》（证监发〔2006〕65号）的有关规定，按证券登记结算公司业务收入的20%提取的证券结算风险基金，在各基金净资产不超过30亿元的额度内，准予在企业所得税税前扣除。</w:t>
      </w:r>
    </w:p>
    <w:p w14:paraId="27CF9A5F" w14:textId="2942DEEE"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bookmarkStart w:id="1" w:name="_Hlk13551793"/>
      <w:r w:rsidRPr="00555221">
        <w:rPr>
          <w:rFonts w:asciiTheme="minorEastAsia" w:hAnsiTheme="minorEastAsia" w:hint="eastAsia"/>
          <w:color w:val="000000" w:themeColor="text1"/>
          <w:sz w:val="24"/>
          <w:szCs w:val="24"/>
        </w:rPr>
        <w:t>（</w:t>
      </w:r>
      <w:hyperlink r:id="rId11"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第一条第二款第一项）</w:t>
      </w:r>
    </w:p>
    <w:bookmarkEnd w:id="1"/>
    <w:p w14:paraId="6261E5BB"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2.证券公司依据《证券结算风险基金管理办法》（证监发〔2006〕65号）的有关规定，作为结算会员按人民币普通股和基金成交金额的十万分之三、国债现货成交金额的十万分之一、1天期国债回购成交额的千万分之五、2天期国债回购成交额的千万分之十、3天期国债回购成交额的千万分之十五、4天期国债</w:t>
      </w:r>
      <w:r w:rsidRPr="00555221">
        <w:rPr>
          <w:rFonts w:asciiTheme="minorEastAsia" w:eastAsiaTheme="minorEastAsia" w:hAnsiTheme="minorEastAsia" w:hint="eastAsia"/>
          <w:color w:val="000000" w:themeColor="text1"/>
        </w:rPr>
        <w:lastRenderedPageBreak/>
        <w:t>回购成交额的千万分之二十、7天期国债回购成交额的千万分之五十、14天期国债回购成交额的十万分之一、28天期国债回购成交额的十万分之二、91天期国债回购成交额的十万分之六、182天期国债回购成交额的十万分之十二逐日交纳的证券结算风险基金，准予在企业所得税税前扣除。</w:t>
      </w:r>
    </w:p>
    <w:p w14:paraId="60B7321D" w14:textId="6F87BA4F"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12"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第一条第二款第二项）</w:t>
      </w:r>
    </w:p>
    <w:p w14:paraId="6F0A740D"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（三）证券投资者保护基金。</w:t>
      </w:r>
    </w:p>
    <w:p w14:paraId="7F12F7AD"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1.上海、深圳证券交易所依据《证券投资者保护基金管理办法》（证监会令第27号、第124号）的有关规定，在风险基金分别达到规定的上限后，按交易经手费的20%缴纳的证券投资者保护基金，准予在企业所得税税前扣除。</w:t>
      </w:r>
    </w:p>
    <w:p w14:paraId="15B4A9DA" w14:textId="2CF38DA7"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13"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第一条第三款第一项）</w:t>
      </w:r>
    </w:p>
    <w:p w14:paraId="4EE4C95D"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2.证券公司依据《证券投资者保护基金管理办法》（证监会令第27号、第124号）的有关规定，按其营业收入0.5%—5%缴纳的证券投资者保护基金，准予在企业所得税税前扣除。</w:t>
      </w:r>
    </w:p>
    <w:p w14:paraId="3A0DE554" w14:textId="6130E788" w:rsid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14"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第一条第三款第二项）</w:t>
      </w:r>
    </w:p>
    <w:p w14:paraId="5E93FB34" w14:textId="39B4E723" w:rsidR="00B00E6D" w:rsidRPr="00B00E6D" w:rsidRDefault="00B00E6D" w:rsidP="00B00E6D">
      <w:pPr>
        <w:pStyle w:val="2"/>
        <w:spacing w:beforeLines="50" w:before="156" w:after="0" w:line="480" w:lineRule="atLeast"/>
        <w:rPr>
          <w:rFonts w:asciiTheme="minorEastAsia" w:eastAsiaTheme="minorEastAsia" w:hAnsiTheme="minorEastAsia"/>
          <w:color w:val="000000" w:themeColor="text1"/>
          <w:sz w:val="24"/>
          <w:szCs w:val="24"/>
        </w:rPr>
      </w:pPr>
      <w:r w:rsidRPr="00B00E6D">
        <w:rPr>
          <w:rFonts w:asciiTheme="minorEastAsia" w:eastAsiaTheme="minorEastAsia" w:hAnsiTheme="minorEastAsia" w:hint="eastAsia"/>
          <w:color w:val="000000" w:themeColor="text1"/>
          <w:sz w:val="24"/>
          <w:szCs w:val="24"/>
        </w:rPr>
        <w:t>附注：执行期限</w:t>
      </w:r>
    </w:p>
    <w:p w14:paraId="6C140619" w14:textId="223FE2DA" w:rsidR="00B00E6D" w:rsidRDefault="00B00E6D" w:rsidP="00B00E6D">
      <w:pPr>
        <w:spacing w:beforeLines="50" w:before="156" w:line="480" w:lineRule="atLeast"/>
        <w:ind w:firstLineChars="200" w:firstLine="480"/>
        <w:jc w:val="left"/>
        <w:rPr>
          <w:color w:val="333333"/>
          <w:sz w:val="24"/>
          <w:szCs w:val="24"/>
          <w:shd w:val="clear" w:color="auto" w:fill="FFFFFF"/>
        </w:rPr>
      </w:pPr>
      <w:r w:rsidRPr="00B00E6D">
        <w:rPr>
          <w:rFonts w:hint="eastAsia"/>
          <w:color w:val="333333"/>
          <w:sz w:val="24"/>
          <w:szCs w:val="24"/>
          <w:shd w:val="clear" w:color="auto" w:fill="FFFFFF"/>
        </w:rPr>
        <w:t>本通知自</w:t>
      </w:r>
      <w:r w:rsidRPr="00B00E6D">
        <w:rPr>
          <w:rFonts w:hint="eastAsia"/>
          <w:color w:val="333333"/>
          <w:sz w:val="24"/>
          <w:szCs w:val="24"/>
          <w:shd w:val="clear" w:color="auto" w:fill="FFFFFF"/>
        </w:rPr>
        <w:t>2016</w:t>
      </w:r>
      <w:r w:rsidRPr="00B00E6D">
        <w:rPr>
          <w:rFonts w:hint="eastAsia"/>
          <w:color w:val="333333"/>
          <w:sz w:val="24"/>
          <w:szCs w:val="24"/>
          <w:shd w:val="clear" w:color="auto" w:fill="FFFFFF"/>
        </w:rPr>
        <w:t>年</w:t>
      </w:r>
      <w:r w:rsidRPr="00B00E6D">
        <w:rPr>
          <w:rFonts w:hint="eastAsia"/>
          <w:color w:val="333333"/>
          <w:sz w:val="24"/>
          <w:szCs w:val="24"/>
          <w:shd w:val="clear" w:color="auto" w:fill="FFFFFF"/>
        </w:rPr>
        <w:t>1</w:t>
      </w:r>
      <w:r w:rsidRPr="00B00E6D">
        <w:rPr>
          <w:rFonts w:hint="eastAsia"/>
          <w:color w:val="333333"/>
          <w:sz w:val="24"/>
          <w:szCs w:val="24"/>
          <w:shd w:val="clear" w:color="auto" w:fill="FFFFFF"/>
        </w:rPr>
        <w:t>月</w:t>
      </w:r>
      <w:r w:rsidRPr="00B00E6D">
        <w:rPr>
          <w:rFonts w:hint="eastAsia"/>
          <w:color w:val="333333"/>
          <w:sz w:val="24"/>
          <w:szCs w:val="24"/>
          <w:shd w:val="clear" w:color="auto" w:fill="FFFFFF"/>
        </w:rPr>
        <w:t>1</w:t>
      </w:r>
      <w:r w:rsidRPr="00B00E6D">
        <w:rPr>
          <w:rFonts w:hint="eastAsia"/>
          <w:color w:val="333333"/>
          <w:sz w:val="24"/>
          <w:szCs w:val="24"/>
          <w:shd w:val="clear" w:color="auto" w:fill="FFFFFF"/>
        </w:rPr>
        <w:t>日起至</w:t>
      </w:r>
      <w:r w:rsidRPr="00243532">
        <w:rPr>
          <w:rFonts w:hint="eastAsia"/>
          <w:strike/>
          <w:color w:val="333333"/>
          <w:sz w:val="24"/>
          <w:szCs w:val="24"/>
          <w:shd w:val="clear" w:color="auto" w:fill="FFFFFF"/>
        </w:rPr>
        <w:t>2020</w:t>
      </w:r>
      <w:r w:rsidRPr="00243532">
        <w:rPr>
          <w:rFonts w:hint="eastAsia"/>
          <w:strike/>
          <w:color w:val="333333"/>
          <w:sz w:val="24"/>
          <w:szCs w:val="24"/>
          <w:shd w:val="clear" w:color="auto" w:fill="FFFFFF"/>
        </w:rPr>
        <w:t>年</w:t>
      </w:r>
      <w:r w:rsidRPr="00243532">
        <w:rPr>
          <w:rFonts w:hint="eastAsia"/>
          <w:strike/>
          <w:color w:val="333333"/>
          <w:sz w:val="24"/>
          <w:szCs w:val="24"/>
          <w:shd w:val="clear" w:color="auto" w:fill="FFFFFF"/>
        </w:rPr>
        <w:t>12</w:t>
      </w:r>
      <w:r w:rsidRPr="00243532">
        <w:rPr>
          <w:rFonts w:hint="eastAsia"/>
          <w:strike/>
          <w:color w:val="333333"/>
          <w:sz w:val="24"/>
          <w:szCs w:val="24"/>
          <w:shd w:val="clear" w:color="auto" w:fill="FFFFFF"/>
        </w:rPr>
        <w:t>月</w:t>
      </w:r>
      <w:r w:rsidRPr="00243532">
        <w:rPr>
          <w:rFonts w:hint="eastAsia"/>
          <w:strike/>
          <w:color w:val="333333"/>
          <w:sz w:val="24"/>
          <w:szCs w:val="24"/>
          <w:shd w:val="clear" w:color="auto" w:fill="FFFFFF"/>
        </w:rPr>
        <w:t>31</w:t>
      </w:r>
      <w:r w:rsidRPr="00243532">
        <w:rPr>
          <w:rFonts w:hint="eastAsia"/>
          <w:strike/>
          <w:color w:val="333333"/>
          <w:sz w:val="24"/>
          <w:szCs w:val="24"/>
          <w:shd w:val="clear" w:color="auto" w:fill="FFFFFF"/>
        </w:rPr>
        <w:t>日</w:t>
      </w:r>
      <w:r w:rsidRPr="00B00E6D">
        <w:rPr>
          <w:rFonts w:hint="eastAsia"/>
          <w:color w:val="333333"/>
          <w:sz w:val="24"/>
          <w:szCs w:val="24"/>
          <w:shd w:val="clear" w:color="auto" w:fill="FFFFFF"/>
        </w:rPr>
        <w:t>止执行。《财政部</w:t>
      </w:r>
      <w:r w:rsidRPr="00B00E6D">
        <w:rPr>
          <w:rFonts w:hint="eastAsia"/>
          <w:color w:val="333333"/>
          <w:sz w:val="24"/>
          <w:szCs w:val="24"/>
          <w:shd w:val="clear" w:color="auto" w:fill="FFFFFF"/>
        </w:rPr>
        <w:t xml:space="preserve"> </w:t>
      </w:r>
      <w:r w:rsidRPr="00B00E6D">
        <w:rPr>
          <w:rFonts w:hint="eastAsia"/>
          <w:color w:val="333333"/>
          <w:sz w:val="24"/>
          <w:szCs w:val="24"/>
          <w:shd w:val="clear" w:color="auto" w:fill="FFFFFF"/>
        </w:rPr>
        <w:t>国家税务总局关于证券行业准备金支出企业所得税税前扣除有关政策问题的通知》（</w:t>
      </w:r>
      <w:hyperlink r:id="rId15" w:tgtFrame="_self" w:history="1">
        <w:r w:rsidRPr="00B00E6D">
          <w:rPr>
            <w:rFonts w:hint="eastAsia"/>
            <w:color w:val="6E6E6E"/>
            <w:sz w:val="24"/>
            <w:szCs w:val="24"/>
            <w:u w:val="single"/>
            <w:shd w:val="clear" w:color="auto" w:fill="FFFFFF"/>
          </w:rPr>
          <w:t>财税〔</w:t>
        </w:r>
        <w:r w:rsidRPr="00B00E6D">
          <w:rPr>
            <w:rFonts w:hint="eastAsia"/>
            <w:color w:val="6E6E6E"/>
            <w:sz w:val="24"/>
            <w:szCs w:val="24"/>
            <w:u w:val="single"/>
            <w:shd w:val="clear" w:color="auto" w:fill="FFFFFF"/>
          </w:rPr>
          <w:t>2012</w:t>
        </w:r>
        <w:r w:rsidRPr="00B00E6D">
          <w:rPr>
            <w:rFonts w:hint="eastAsia"/>
            <w:color w:val="6E6E6E"/>
            <w:sz w:val="24"/>
            <w:szCs w:val="24"/>
            <w:u w:val="single"/>
            <w:shd w:val="clear" w:color="auto" w:fill="FFFFFF"/>
          </w:rPr>
          <w:t>〕</w:t>
        </w:r>
        <w:r w:rsidRPr="00B00E6D">
          <w:rPr>
            <w:rFonts w:hint="eastAsia"/>
            <w:color w:val="6E6E6E"/>
            <w:sz w:val="24"/>
            <w:szCs w:val="24"/>
            <w:u w:val="single"/>
            <w:shd w:val="clear" w:color="auto" w:fill="FFFFFF"/>
          </w:rPr>
          <w:t>11</w:t>
        </w:r>
        <w:r w:rsidRPr="00B00E6D">
          <w:rPr>
            <w:rFonts w:hint="eastAsia"/>
            <w:color w:val="6E6E6E"/>
            <w:sz w:val="24"/>
            <w:szCs w:val="24"/>
            <w:u w:val="single"/>
            <w:shd w:val="clear" w:color="auto" w:fill="FFFFFF"/>
          </w:rPr>
          <w:t>号</w:t>
        </w:r>
      </w:hyperlink>
      <w:r w:rsidRPr="00B00E6D">
        <w:rPr>
          <w:rFonts w:hint="eastAsia"/>
          <w:color w:val="333333"/>
          <w:sz w:val="24"/>
          <w:szCs w:val="24"/>
          <w:shd w:val="clear" w:color="auto" w:fill="FFFFFF"/>
        </w:rPr>
        <w:t>）同时废止。</w:t>
      </w:r>
    </w:p>
    <w:p w14:paraId="0DDBF9BF" w14:textId="3C32EC1A" w:rsidR="00B00E6D" w:rsidRDefault="00B00E6D" w:rsidP="00B00E6D">
      <w:pPr>
        <w:spacing w:beforeLines="50" w:before="156" w:line="480" w:lineRule="atLeast"/>
        <w:jc w:val="right"/>
        <w:rPr>
          <w:rFonts w:asciiTheme="minorEastAsia" w:hAnsiTheme="minorEastAsia" w:hint="eastAsia"/>
          <w:color w:val="000000" w:themeColor="text1"/>
          <w:sz w:val="24"/>
          <w:szCs w:val="24"/>
        </w:rPr>
      </w:pPr>
      <w:r w:rsidRPr="00555221">
        <w:rPr>
          <w:rFonts w:asciiTheme="minorEastAsia" w:hAnsiTheme="minorEastAsia" w:hint="eastAsia"/>
          <w:color w:val="000000" w:themeColor="text1"/>
          <w:sz w:val="24"/>
          <w:szCs w:val="24"/>
        </w:rPr>
        <w:t>（</w:t>
      </w:r>
      <w:hyperlink r:id="rId16" w:history="1">
        <w:r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四</w:t>
      </w:r>
      <w:r w:rsidRPr="00555221">
        <w:rPr>
          <w:rFonts w:asciiTheme="minorEastAsia" w:hAnsiTheme="minorEastAsia" w:hint="eastAsia"/>
          <w:color w:val="000000" w:themeColor="text1"/>
          <w:sz w:val="24"/>
          <w:szCs w:val="24"/>
        </w:rPr>
        <w:t>条</w:t>
      </w:r>
      <w:r>
        <w:rPr>
          <w:rFonts w:asciiTheme="minorEastAsia" w:hAnsiTheme="minorEastAsia" w:hint="eastAsia"/>
          <w:color w:val="000000" w:themeColor="text1"/>
          <w:sz w:val="24"/>
          <w:szCs w:val="24"/>
        </w:rPr>
        <w:t>）</w:t>
      </w:r>
    </w:p>
    <w:p w14:paraId="7EE99427" w14:textId="03842C5B" w:rsidR="00243532" w:rsidRPr="00243532" w:rsidRDefault="00243532" w:rsidP="00243532">
      <w:pPr>
        <w:spacing w:beforeLines="50" w:before="156" w:line="480" w:lineRule="atLeast"/>
        <w:ind w:firstLineChars="200" w:firstLine="480"/>
        <w:jc w:val="left"/>
        <w:rPr>
          <w:rFonts w:asciiTheme="minorEastAsia" w:hAnsiTheme="minorEastAsia"/>
          <w:color w:val="000000" w:themeColor="text1"/>
          <w:sz w:val="24"/>
          <w:szCs w:val="24"/>
        </w:rPr>
      </w:pPr>
      <w:r w:rsidRPr="00243532">
        <w:rPr>
          <w:rFonts w:hint="eastAsia"/>
          <w:color w:val="333333"/>
          <w:sz w:val="24"/>
          <w:szCs w:val="24"/>
          <w:shd w:val="clear" w:color="auto" w:fill="FFFFFF"/>
        </w:rPr>
        <w:t>[</w:t>
      </w:r>
      <w:hyperlink r:id="rId17" w:tgtFrame="_self" w:history="1">
        <w:r w:rsidRPr="00243532">
          <w:rPr>
            <w:rFonts w:hint="eastAsia"/>
            <w:color w:val="0070C0"/>
            <w:sz w:val="24"/>
            <w:szCs w:val="24"/>
            <w:u w:val="single"/>
            <w:shd w:val="clear" w:color="auto" w:fill="FFFFFF"/>
          </w:rPr>
          <w:t>财政部</w:t>
        </w:r>
        <w:r w:rsidRPr="00243532">
          <w:rPr>
            <w:rFonts w:hint="eastAsia"/>
            <w:color w:val="0070C0"/>
            <w:sz w:val="24"/>
            <w:szCs w:val="24"/>
            <w:u w:val="single"/>
            <w:shd w:val="clear" w:color="auto" w:fill="FFFFFF"/>
          </w:rPr>
          <w:t xml:space="preserve"> </w:t>
        </w:r>
        <w:r w:rsidRPr="00243532">
          <w:rPr>
            <w:rFonts w:hint="eastAsia"/>
            <w:color w:val="0070C0"/>
            <w:sz w:val="24"/>
            <w:szCs w:val="24"/>
            <w:u w:val="single"/>
            <w:shd w:val="clear" w:color="auto" w:fill="FFFFFF"/>
          </w:rPr>
          <w:t>税务总局公告</w:t>
        </w:r>
        <w:r w:rsidRPr="00243532">
          <w:rPr>
            <w:rFonts w:hint="eastAsia"/>
            <w:color w:val="0070C0"/>
            <w:sz w:val="24"/>
            <w:szCs w:val="24"/>
            <w:u w:val="single"/>
            <w:shd w:val="clear" w:color="auto" w:fill="FFFFFF"/>
          </w:rPr>
          <w:t>2021</w:t>
        </w:r>
        <w:r w:rsidRPr="00243532">
          <w:rPr>
            <w:rFonts w:hint="eastAsia"/>
            <w:color w:val="0070C0"/>
            <w:sz w:val="24"/>
            <w:szCs w:val="24"/>
            <w:u w:val="single"/>
            <w:shd w:val="clear" w:color="auto" w:fill="FFFFFF"/>
          </w:rPr>
          <w:t>年第</w:t>
        </w:r>
        <w:r w:rsidRPr="00243532">
          <w:rPr>
            <w:rFonts w:hint="eastAsia"/>
            <w:color w:val="0070C0"/>
            <w:sz w:val="24"/>
            <w:szCs w:val="24"/>
            <w:u w:val="single"/>
            <w:shd w:val="clear" w:color="auto" w:fill="FFFFFF"/>
          </w:rPr>
          <w:t>6</w:t>
        </w:r>
        <w:r w:rsidRPr="00243532">
          <w:rPr>
            <w:rFonts w:hint="eastAsia"/>
            <w:color w:val="0070C0"/>
            <w:sz w:val="24"/>
            <w:szCs w:val="24"/>
            <w:u w:val="single"/>
            <w:shd w:val="clear" w:color="auto" w:fill="FFFFFF"/>
          </w:rPr>
          <w:t>号</w:t>
        </w:r>
      </w:hyperlink>
      <w:r w:rsidRPr="00243532">
        <w:rPr>
          <w:rFonts w:hint="eastAsia"/>
          <w:color w:val="333333"/>
          <w:sz w:val="24"/>
          <w:szCs w:val="24"/>
          <w:shd w:val="clear" w:color="auto" w:fill="FFFFFF"/>
        </w:rPr>
        <w:t>第四条规定，本文规定的准备金企业所得税税前扣除政策到期后继续执行</w:t>
      </w:r>
      <w:r w:rsidRPr="00243532">
        <w:rPr>
          <w:rFonts w:hint="eastAsia"/>
          <w:color w:val="333333"/>
          <w:sz w:val="24"/>
          <w:szCs w:val="24"/>
          <w:shd w:val="clear" w:color="auto" w:fill="FFFFFF"/>
        </w:rPr>
        <w:t>]</w:t>
      </w:r>
    </w:p>
    <w:p w14:paraId="42239A9C" w14:textId="77777777" w:rsidR="00555221" w:rsidRPr="00555221" w:rsidRDefault="00555221" w:rsidP="00555221">
      <w:pPr>
        <w:pStyle w:val="1"/>
        <w:spacing w:beforeLines="50" w:before="156" w:after="0" w:line="480" w:lineRule="atLeas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lastRenderedPageBreak/>
        <w:t>二、期货类准备金</w:t>
      </w:r>
    </w:p>
    <w:p w14:paraId="6AEF3D5E"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（一）期货交易所风险准备金。</w:t>
      </w:r>
    </w:p>
    <w:p w14:paraId="77123229"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大连商品交易所、郑州商品交易所和中国金融期货交易所依据《期货交易管理条例》（国务院令第489号）、《期货交易所管理办法》（证监会令第42号）和《商品期货交易财务管理暂行规定》（财商字〔1997〕44号）的有关规定，上海期货交易所依据《期货交易管理条例》（国务院令第489号）、《期货交易所管理办法》（证监会令第42号）和《关于调整上海期货交易所风险准备金规模的批复》（证监函〔2009〕407号）的有关规定，分别按向会员收取手续费收入的20%计提的风险准备金，在风险准备金余额达到有关规定的额度内，准予在企业所得税税前扣除。</w:t>
      </w:r>
    </w:p>
    <w:p w14:paraId="101B4835" w14:textId="29482023"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bookmarkStart w:id="2" w:name="_Hlk13551834"/>
      <w:r w:rsidRPr="00555221">
        <w:rPr>
          <w:rFonts w:asciiTheme="minorEastAsia" w:hAnsiTheme="minorEastAsia" w:hint="eastAsia"/>
          <w:color w:val="000000" w:themeColor="text1"/>
          <w:sz w:val="24"/>
          <w:szCs w:val="24"/>
        </w:rPr>
        <w:t>（</w:t>
      </w:r>
      <w:hyperlink r:id="rId18"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第二条第一款）</w:t>
      </w:r>
    </w:p>
    <w:bookmarkEnd w:id="2"/>
    <w:p w14:paraId="01ADCFBB"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（二）期货公司风险准备金。</w:t>
      </w:r>
    </w:p>
    <w:p w14:paraId="0406EE70"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期货公司依据《期货公司管理办法》（证监会令第43号）和《商品期货交易财务管理暂行规定》（财商字〔1997〕44号）的有关规定，从其收取的交易手续费收入减去应付期货交易所手续费后的净收入的5%提取的期货公司风险准备金，准予在企业所得税税前扣除。</w:t>
      </w:r>
    </w:p>
    <w:p w14:paraId="18F5E654" w14:textId="25C2FC95"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19"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第二条第二款）</w:t>
      </w:r>
    </w:p>
    <w:p w14:paraId="2C91F25C" w14:textId="77777777"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（三）期货投资者保障基金。</w:t>
      </w:r>
    </w:p>
    <w:p w14:paraId="760B7372"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1.上海期货交易所、大连商品交易所、郑州商品交易所和中国金融期货交易所依据《期货投资者保障基金管理办法》（证监会令第38号、第129号）和《关于明确期货投资者保障基金缴纳比例有关事项的规定》（证监会 财政部公告〔2016〕26号）的有关规定，按其向期货公司会员收取的交易手续费的2%（2016年12月8日前按3%）缴纳的期货投资者保障基金，在基金总额达到有关规定的额度内，准予在企业所得税税前扣除。</w:t>
      </w:r>
    </w:p>
    <w:p w14:paraId="3058D191" w14:textId="79E28ACE"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bookmarkStart w:id="3" w:name="_Hlk13551854"/>
      <w:r w:rsidRPr="00555221">
        <w:rPr>
          <w:rFonts w:asciiTheme="minorEastAsia" w:hAnsiTheme="minorEastAsia" w:hint="eastAsia"/>
          <w:color w:val="000000" w:themeColor="text1"/>
          <w:sz w:val="24"/>
          <w:szCs w:val="24"/>
        </w:rPr>
        <w:t>（</w:t>
      </w:r>
      <w:hyperlink r:id="rId20"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第二条第三款第一项）</w:t>
      </w:r>
    </w:p>
    <w:bookmarkEnd w:id="3"/>
    <w:p w14:paraId="5A6C6E2F"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lastRenderedPageBreak/>
        <w:t>2.期货公司依据《期货投资者保障基金管理办法》（证监会令第38号、第129号）和《关于明确期货投资者保障基金缴纳比例有关事项的规定》（证监会 财政部公告〔2016〕26号）的有关规定，从其收取的交易手续费中按照代理交易额的亿分之五至亿分之十的比例（2016年12月8日前按千万分之五至千万分之十的比例）缴纳的期货投资者保障基金，在基金总额达到有关规定的额度内，准予在企业所得税税前扣除。</w:t>
      </w:r>
    </w:p>
    <w:p w14:paraId="0CCBD7FF" w14:textId="2509FFD9"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21"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第二条第三款第二项）</w:t>
      </w:r>
    </w:p>
    <w:p w14:paraId="7C5E0EDC" w14:textId="108653AD"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bCs/>
          <w:color w:val="000000" w:themeColor="text1"/>
        </w:rPr>
      </w:pPr>
      <w:r w:rsidRPr="00555221">
        <w:rPr>
          <w:rFonts w:asciiTheme="minorEastAsia" w:eastAsiaTheme="minorEastAsia" w:hAnsiTheme="minorEastAsia" w:hint="eastAsia"/>
          <w:bCs/>
          <w:color w:val="000000" w:themeColor="text1"/>
        </w:rPr>
        <w:t>上述准备金如发生清算、退还，应按规定补征企业所得税。</w:t>
      </w:r>
    </w:p>
    <w:p w14:paraId="3F6D1A44" w14:textId="6ABB174C" w:rsidR="00555221" w:rsidRPr="00555221" w:rsidRDefault="00555221" w:rsidP="00555221">
      <w:pPr>
        <w:spacing w:beforeLines="50" w:before="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22" w:history="1">
        <w:r w:rsidR="00B00E6D"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第三条）</w:t>
      </w:r>
    </w:p>
    <w:p w14:paraId="1E3DDDCA" w14:textId="77777777" w:rsidR="00A065C8" w:rsidRPr="00B00E6D" w:rsidRDefault="00A065C8" w:rsidP="00A065C8">
      <w:pPr>
        <w:pStyle w:val="2"/>
        <w:spacing w:beforeLines="50" w:before="156" w:after="0" w:line="480" w:lineRule="atLeast"/>
        <w:rPr>
          <w:rFonts w:asciiTheme="minorEastAsia" w:eastAsiaTheme="minorEastAsia" w:hAnsiTheme="minorEastAsia"/>
          <w:color w:val="000000" w:themeColor="text1"/>
          <w:sz w:val="24"/>
          <w:szCs w:val="24"/>
        </w:rPr>
      </w:pPr>
      <w:r w:rsidRPr="00B00E6D">
        <w:rPr>
          <w:rFonts w:asciiTheme="minorEastAsia" w:eastAsiaTheme="minorEastAsia" w:hAnsiTheme="minorEastAsia" w:hint="eastAsia"/>
          <w:color w:val="000000" w:themeColor="text1"/>
          <w:sz w:val="24"/>
          <w:szCs w:val="24"/>
        </w:rPr>
        <w:t>附注：执行期限</w:t>
      </w:r>
    </w:p>
    <w:p w14:paraId="46723F16" w14:textId="77777777" w:rsidR="00A065C8" w:rsidRDefault="00A065C8" w:rsidP="00A065C8">
      <w:pPr>
        <w:spacing w:beforeLines="50" w:before="156" w:line="480" w:lineRule="atLeast"/>
        <w:ind w:firstLineChars="200" w:firstLine="480"/>
        <w:jc w:val="left"/>
        <w:rPr>
          <w:color w:val="333333"/>
          <w:sz w:val="24"/>
          <w:szCs w:val="24"/>
          <w:shd w:val="clear" w:color="auto" w:fill="FFFFFF"/>
        </w:rPr>
      </w:pPr>
      <w:r w:rsidRPr="00B00E6D">
        <w:rPr>
          <w:rFonts w:hint="eastAsia"/>
          <w:color w:val="333333"/>
          <w:sz w:val="24"/>
          <w:szCs w:val="24"/>
          <w:shd w:val="clear" w:color="auto" w:fill="FFFFFF"/>
        </w:rPr>
        <w:t>本通知自</w:t>
      </w:r>
      <w:r w:rsidRPr="00B00E6D">
        <w:rPr>
          <w:rFonts w:hint="eastAsia"/>
          <w:color w:val="333333"/>
          <w:sz w:val="24"/>
          <w:szCs w:val="24"/>
          <w:shd w:val="clear" w:color="auto" w:fill="FFFFFF"/>
        </w:rPr>
        <w:t>2016</w:t>
      </w:r>
      <w:r w:rsidRPr="00B00E6D">
        <w:rPr>
          <w:rFonts w:hint="eastAsia"/>
          <w:color w:val="333333"/>
          <w:sz w:val="24"/>
          <w:szCs w:val="24"/>
          <w:shd w:val="clear" w:color="auto" w:fill="FFFFFF"/>
        </w:rPr>
        <w:t>年</w:t>
      </w:r>
      <w:r w:rsidRPr="00B00E6D">
        <w:rPr>
          <w:rFonts w:hint="eastAsia"/>
          <w:color w:val="333333"/>
          <w:sz w:val="24"/>
          <w:szCs w:val="24"/>
          <w:shd w:val="clear" w:color="auto" w:fill="FFFFFF"/>
        </w:rPr>
        <w:t>1</w:t>
      </w:r>
      <w:r w:rsidRPr="00B00E6D">
        <w:rPr>
          <w:rFonts w:hint="eastAsia"/>
          <w:color w:val="333333"/>
          <w:sz w:val="24"/>
          <w:szCs w:val="24"/>
          <w:shd w:val="clear" w:color="auto" w:fill="FFFFFF"/>
        </w:rPr>
        <w:t>月</w:t>
      </w:r>
      <w:r w:rsidRPr="00B00E6D">
        <w:rPr>
          <w:rFonts w:hint="eastAsia"/>
          <w:color w:val="333333"/>
          <w:sz w:val="24"/>
          <w:szCs w:val="24"/>
          <w:shd w:val="clear" w:color="auto" w:fill="FFFFFF"/>
        </w:rPr>
        <w:t>1</w:t>
      </w:r>
      <w:r w:rsidRPr="00B00E6D">
        <w:rPr>
          <w:rFonts w:hint="eastAsia"/>
          <w:color w:val="333333"/>
          <w:sz w:val="24"/>
          <w:szCs w:val="24"/>
          <w:shd w:val="clear" w:color="auto" w:fill="FFFFFF"/>
        </w:rPr>
        <w:t>日起至</w:t>
      </w:r>
      <w:r w:rsidRPr="0099347B">
        <w:rPr>
          <w:rFonts w:hint="eastAsia"/>
          <w:strike/>
          <w:color w:val="333333"/>
          <w:sz w:val="24"/>
          <w:szCs w:val="24"/>
          <w:shd w:val="clear" w:color="auto" w:fill="FFFFFF"/>
        </w:rPr>
        <w:t>2020</w:t>
      </w:r>
      <w:r w:rsidRPr="0099347B">
        <w:rPr>
          <w:rFonts w:hint="eastAsia"/>
          <w:strike/>
          <w:color w:val="333333"/>
          <w:sz w:val="24"/>
          <w:szCs w:val="24"/>
          <w:shd w:val="clear" w:color="auto" w:fill="FFFFFF"/>
        </w:rPr>
        <w:t>年</w:t>
      </w:r>
      <w:r w:rsidRPr="0099347B">
        <w:rPr>
          <w:rFonts w:hint="eastAsia"/>
          <w:strike/>
          <w:color w:val="333333"/>
          <w:sz w:val="24"/>
          <w:szCs w:val="24"/>
          <w:shd w:val="clear" w:color="auto" w:fill="FFFFFF"/>
        </w:rPr>
        <w:t>12</w:t>
      </w:r>
      <w:r w:rsidRPr="0099347B">
        <w:rPr>
          <w:rFonts w:hint="eastAsia"/>
          <w:strike/>
          <w:color w:val="333333"/>
          <w:sz w:val="24"/>
          <w:szCs w:val="24"/>
          <w:shd w:val="clear" w:color="auto" w:fill="FFFFFF"/>
        </w:rPr>
        <w:t>月</w:t>
      </w:r>
      <w:r w:rsidRPr="0099347B">
        <w:rPr>
          <w:rFonts w:hint="eastAsia"/>
          <w:strike/>
          <w:color w:val="333333"/>
          <w:sz w:val="24"/>
          <w:szCs w:val="24"/>
          <w:shd w:val="clear" w:color="auto" w:fill="FFFFFF"/>
        </w:rPr>
        <w:t>31</w:t>
      </w:r>
      <w:r w:rsidRPr="0099347B">
        <w:rPr>
          <w:rFonts w:hint="eastAsia"/>
          <w:strike/>
          <w:color w:val="333333"/>
          <w:sz w:val="24"/>
          <w:szCs w:val="24"/>
          <w:shd w:val="clear" w:color="auto" w:fill="FFFFFF"/>
        </w:rPr>
        <w:t>日</w:t>
      </w:r>
      <w:r w:rsidRPr="00B00E6D">
        <w:rPr>
          <w:rFonts w:hint="eastAsia"/>
          <w:color w:val="333333"/>
          <w:sz w:val="24"/>
          <w:szCs w:val="24"/>
          <w:shd w:val="clear" w:color="auto" w:fill="FFFFFF"/>
        </w:rPr>
        <w:t>止执行。《财政部</w:t>
      </w:r>
      <w:r w:rsidRPr="00B00E6D">
        <w:rPr>
          <w:rFonts w:hint="eastAsia"/>
          <w:color w:val="333333"/>
          <w:sz w:val="24"/>
          <w:szCs w:val="24"/>
          <w:shd w:val="clear" w:color="auto" w:fill="FFFFFF"/>
        </w:rPr>
        <w:t xml:space="preserve"> </w:t>
      </w:r>
      <w:r w:rsidRPr="00B00E6D">
        <w:rPr>
          <w:rFonts w:hint="eastAsia"/>
          <w:color w:val="333333"/>
          <w:sz w:val="24"/>
          <w:szCs w:val="24"/>
          <w:shd w:val="clear" w:color="auto" w:fill="FFFFFF"/>
        </w:rPr>
        <w:t>国家税务总局关于证券行业准备金支出企业所得税税前扣除有关政策问题的通知》（</w:t>
      </w:r>
      <w:hyperlink r:id="rId23" w:tgtFrame="_self" w:history="1">
        <w:r w:rsidRPr="00B00E6D">
          <w:rPr>
            <w:rFonts w:hint="eastAsia"/>
            <w:color w:val="6E6E6E"/>
            <w:sz w:val="24"/>
            <w:szCs w:val="24"/>
            <w:u w:val="single"/>
            <w:shd w:val="clear" w:color="auto" w:fill="FFFFFF"/>
          </w:rPr>
          <w:t>财税〔</w:t>
        </w:r>
        <w:r w:rsidRPr="00B00E6D">
          <w:rPr>
            <w:rFonts w:hint="eastAsia"/>
            <w:color w:val="6E6E6E"/>
            <w:sz w:val="24"/>
            <w:szCs w:val="24"/>
            <w:u w:val="single"/>
            <w:shd w:val="clear" w:color="auto" w:fill="FFFFFF"/>
          </w:rPr>
          <w:t>2012</w:t>
        </w:r>
        <w:r w:rsidRPr="00B00E6D">
          <w:rPr>
            <w:rFonts w:hint="eastAsia"/>
            <w:color w:val="6E6E6E"/>
            <w:sz w:val="24"/>
            <w:szCs w:val="24"/>
            <w:u w:val="single"/>
            <w:shd w:val="clear" w:color="auto" w:fill="FFFFFF"/>
          </w:rPr>
          <w:t>〕</w:t>
        </w:r>
        <w:r w:rsidRPr="00B00E6D">
          <w:rPr>
            <w:rFonts w:hint="eastAsia"/>
            <w:color w:val="6E6E6E"/>
            <w:sz w:val="24"/>
            <w:szCs w:val="24"/>
            <w:u w:val="single"/>
            <w:shd w:val="clear" w:color="auto" w:fill="FFFFFF"/>
          </w:rPr>
          <w:t>11</w:t>
        </w:r>
        <w:r w:rsidRPr="00B00E6D">
          <w:rPr>
            <w:rFonts w:hint="eastAsia"/>
            <w:color w:val="6E6E6E"/>
            <w:sz w:val="24"/>
            <w:szCs w:val="24"/>
            <w:u w:val="single"/>
            <w:shd w:val="clear" w:color="auto" w:fill="FFFFFF"/>
          </w:rPr>
          <w:t>号</w:t>
        </w:r>
      </w:hyperlink>
      <w:r w:rsidRPr="00B00E6D">
        <w:rPr>
          <w:rFonts w:hint="eastAsia"/>
          <w:color w:val="333333"/>
          <w:sz w:val="24"/>
          <w:szCs w:val="24"/>
          <w:shd w:val="clear" w:color="auto" w:fill="FFFFFF"/>
        </w:rPr>
        <w:t>）同时废止。</w:t>
      </w:r>
    </w:p>
    <w:p w14:paraId="2FCE73D1" w14:textId="705C76BA" w:rsidR="00A065C8" w:rsidRDefault="00A065C8" w:rsidP="00A065C8">
      <w:pPr>
        <w:spacing w:beforeLines="50" w:before="156" w:line="480" w:lineRule="atLeast"/>
        <w:jc w:val="right"/>
        <w:rPr>
          <w:rFonts w:asciiTheme="minorEastAsia" w:hAnsiTheme="minorEastAsia" w:hint="eastAsia"/>
          <w:color w:val="000000" w:themeColor="text1"/>
          <w:sz w:val="24"/>
          <w:szCs w:val="24"/>
        </w:rPr>
      </w:pPr>
      <w:r w:rsidRPr="00555221">
        <w:rPr>
          <w:rFonts w:asciiTheme="minorEastAsia" w:hAnsiTheme="minorEastAsia" w:hint="eastAsia"/>
          <w:color w:val="000000" w:themeColor="text1"/>
          <w:sz w:val="24"/>
          <w:szCs w:val="24"/>
        </w:rPr>
        <w:t>（</w:t>
      </w:r>
      <w:hyperlink r:id="rId24" w:history="1">
        <w:r w:rsidRPr="00B00E6D">
          <w:rPr>
            <w:rStyle w:val="a6"/>
            <w:rFonts w:asciiTheme="minorEastAsia" w:hAnsiTheme="minorEastAsia" w:hint="eastAsia"/>
            <w:sz w:val="24"/>
            <w:szCs w:val="24"/>
          </w:rPr>
          <w:t>财税〔2017〕23号</w:t>
        </w:r>
      </w:hyperlink>
      <w:r w:rsidRPr="00555221">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四</w:t>
      </w:r>
      <w:r w:rsidRPr="00555221">
        <w:rPr>
          <w:rFonts w:asciiTheme="minorEastAsia" w:hAnsiTheme="minorEastAsia" w:hint="eastAsia"/>
          <w:color w:val="000000" w:themeColor="text1"/>
          <w:sz w:val="24"/>
          <w:szCs w:val="24"/>
        </w:rPr>
        <w:t>条</w:t>
      </w:r>
      <w:r>
        <w:rPr>
          <w:rFonts w:asciiTheme="minorEastAsia" w:hAnsiTheme="minorEastAsia" w:hint="eastAsia"/>
          <w:color w:val="000000" w:themeColor="text1"/>
          <w:sz w:val="24"/>
          <w:szCs w:val="24"/>
        </w:rPr>
        <w:t>）</w:t>
      </w:r>
    </w:p>
    <w:p w14:paraId="3338D724" w14:textId="3AB15CF4" w:rsidR="0099347B" w:rsidRPr="00555221" w:rsidRDefault="0099347B" w:rsidP="0099347B">
      <w:pPr>
        <w:spacing w:beforeLines="50" w:before="156" w:line="480" w:lineRule="atLeast"/>
        <w:ind w:firstLineChars="200" w:firstLine="480"/>
        <w:jc w:val="left"/>
        <w:rPr>
          <w:rFonts w:asciiTheme="minorEastAsia" w:hAnsiTheme="minorEastAsia"/>
          <w:color w:val="000000" w:themeColor="text1"/>
        </w:rPr>
      </w:pPr>
      <w:r w:rsidRPr="00243532">
        <w:rPr>
          <w:rFonts w:hint="eastAsia"/>
          <w:color w:val="333333"/>
          <w:sz w:val="24"/>
          <w:szCs w:val="24"/>
          <w:shd w:val="clear" w:color="auto" w:fill="FFFFFF"/>
        </w:rPr>
        <w:t>[</w:t>
      </w:r>
      <w:hyperlink r:id="rId25" w:tgtFrame="_self" w:history="1">
        <w:r w:rsidRPr="00243532">
          <w:rPr>
            <w:rFonts w:hint="eastAsia"/>
            <w:color w:val="0070C0"/>
            <w:sz w:val="24"/>
            <w:szCs w:val="24"/>
            <w:u w:val="single"/>
            <w:shd w:val="clear" w:color="auto" w:fill="FFFFFF"/>
          </w:rPr>
          <w:t>财政部</w:t>
        </w:r>
        <w:r w:rsidRPr="00243532">
          <w:rPr>
            <w:rFonts w:hint="eastAsia"/>
            <w:color w:val="0070C0"/>
            <w:sz w:val="24"/>
            <w:szCs w:val="24"/>
            <w:u w:val="single"/>
            <w:shd w:val="clear" w:color="auto" w:fill="FFFFFF"/>
          </w:rPr>
          <w:t xml:space="preserve"> </w:t>
        </w:r>
        <w:r w:rsidRPr="00243532">
          <w:rPr>
            <w:rFonts w:hint="eastAsia"/>
            <w:color w:val="0070C0"/>
            <w:sz w:val="24"/>
            <w:szCs w:val="24"/>
            <w:u w:val="single"/>
            <w:shd w:val="clear" w:color="auto" w:fill="FFFFFF"/>
          </w:rPr>
          <w:t>税务总局公告</w:t>
        </w:r>
        <w:r w:rsidRPr="00243532">
          <w:rPr>
            <w:rFonts w:hint="eastAsia"/>
            <w:color w:val="0070C0"/>
            <w:sz w:val="24"/>
            <w:szCs w:val="24"/>
            <w:u w:val="single"/>
            <w:shd w:val="clear" w:color="auto" w:fill="FFFFFF"/>
          </w:rPr>
          <w:t>2021</w:t>
        </w:r>
        <w:r w:rsidRPr="00243532">
          <w:rPr>
            <w:rFonts w:hint="eastAsia"/>
            <w:color w:val="0070C0"/>
            <w:sz w:val="24"/>
            <w:szCs w:val="24"/>
            <w:u w:val="single"/>
            <w:shd w:val="clear" w:color="auto" w:fill="FFFFFF"/>
          </w:rPr>
          <w:t>年第</w:t>
        </w:r>
        <w:r w:rsidRPr="00243532">
          <w:rPr>
            <w:rFonts w:hint="eastAsia"/>
            <w:color w:val="0070C0"/>
            <w:sz w:val="24"/>
            <w:szCs w:val="24"/>
            <w:u w:val="single"/>
            <w:shd w:val="clear" w:color="auto" w:fill="FFFFFF"/>
          </w:rPr>
          <w:t>6</w:t>
        </w:r>
        <w:r w:rsidRPr="00243532">
          <w:rPr>
            <w:rFonts w:hint="eastAsia"/>
            <w:color w:val="0070C0"/>
            <w:sz w:val="24"/>
            <w:szCs w:val="24"/>
            <w:u w:val="single"/>
            <w:shd w:val="clear" w:color="auto" w:fill="FFFFFF"/>
          </w:rPr>
          <w:t>号</w:t>
        </w:r>
      </w:hyperlink>
      <w:r w:rsidRPr="00243532">
        <w:rPr>
          <w:rFonts w:hint="eastAsia"/>
          <w:color w:val="333333"/>
          <w:sz w:val="24"/>
          <w:szCs w:val="24"/>
          <w:shd w:val="clear" w:color="auto" w:fill="FFFFFF"/>
        </w:rPr>
        <w:t>第四条规定，本文规定的准备金企业所得税税前扣除政策到期后继续执行</w:t>
      </w:r>
      <w:r w:rsidRPr="00243532">
        <w:rPr>
          <w:rFonts w:hint="eastAsia"/>
          <w:color w:val="333333"/>
          <w:sz w:val="24"/>
          <w:szCs w:val="24"/>
          <w:shd w:val="clear" w:color="auto" w:fill="FFFFFF"/>
        </w:rPr>
        <w:t>]</w:t>
      </w:r>
      <w:bookmarkStart w:id="4" w:name="_GoBack"/>
      <w:bookmarkEnd w:id="4"/>
    </w:p>
    <w:p w14:paraId="6F1D0B67" w14:textId="30E975B3" w:rsidR="00555221" w:rsidRDefault="00A96738" w:rsidP="00555221">
      <w:pPr>
        <w:pStyle w:val="1"/>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w:t>
      </w:r>
      <w:r w:rsidR="00555221" w:rsidRPr="00555221">
        <w:rPr>
          <w:rFonts w:asciiTheme="minorEastAsia" w:hAnsiTheme="minorEastAsia" w:hint="eastAsia"/>
          <w:color w:val="000000" w:themeColor="text1"/>
          <w:sz w:val="24"/>
          <w:szCs w:val="24"/>
        </w:rPr>
        <w:t>、上海国际能源交易中心有关风险准备金</w:t>
      </w:r>
    </w:p>
    <w:p w14:paraId="648ED903" w14:textId="3B2B653C" w:rsidR="00A065C8" w:rsidRPr="00A065C8" w:rsidRDefault="00A065C8" w:rsidP="00A065C8">
      <w:pPr>
        <w:spacing w:beforeLines="50" w:before="156" w:line="480" w:lineRule="atLeast"/>
        <w:ind w:firstLineChars="200" w:firstLine="480"/>
        <w:rPr>
          <w:rFonts w:asciiTheme="minorEastAsia" w:hAnsiTheme="minorEastAsia"/>
          <w:sz w:val="24"/>
          <w:szCs w:val="24"/>
        </w:rPr>
      </w:pPr>
      <w:r w:rsidRPr="00A065C8">
        <w:rPr>
          <w:rFonts w:asciiTheme="minorEastAsia" w:hAnsiTheme="minorEastAsia" w:hint="eastAsia"/>
          <w:color w:val="333333"/>
          <w:sz w:val="24"/>
          <w:szCs w:val="24"/>
          <w:shd w:val="clear" w:color="auto" w:fill="FFFFFF"/>
        </w:rPr>
        <w:t>根据《</w:t>
      </w:r>
      <w:hyperlink r:id="rId26" w:tgtFrame="_self" w:history="1">
        <w:r w:rsidRPr="00A065C8">
          <w:rPr>
            <w:rFonts w:asciiTheme="minorEastAsia" w:hAnsiTheme="minorEastAsia" w:hint="eastAsia"/>
            <w:color w:val="6E6E6E"/>
            <w:sz w:val="24"/>
            <w:szCs w:val="24"/>
            <w:u w:val="single"/>
            <w:shd w:val="clear" w:color="auto" w:fill="FFFFFF"/>
          </w:rPr>
          <w:t>中华人民共和国企业所得税法</w:t>
        </w:r>
      </w:hyperlink>
      <w:r w:rsidRPr="00A065C8">
        <w:rPr>
          <w:rFonts w:asciiTheme="minorEastAsia" w:hAnsiTheme="minorEastAsia" w:hint="eastAsia"/>
          <w:color w:val="333333"/>
          <w:sz w:val="24"/>
          <w:szCs w:val="24"/>
          <w:shd w:val="clear" w:color="auto" w:fill="FFFFFF"/>
        </w:rPr>
        <w:t>》和《</w:t>
      </w:r>
      <w:hyperlink r:id="rId27" w:tgtFrame="_self" w:history="1">
        <w:r w:rsidRPr="00A065C8">
          <w:rPr>
            <w:rFonts w:asciiTheme="minorEastAsia" w:hAnsiTheme="minorEastAsia" w:hint="eastAsia"/>
            <w:color w:val="6E6E6E"/>
            <w:sz w:val="24"/>
            <w:szCs w:val="24"/>
            <w:u w:val="single"/>
            <w:shd w:val="clear" w:color="auto" w:fill="FFFFFF"/>
          </w:rPr>
          <w:t>中华人民共和国企业所得税法实施条例</w:t>
        </w:r>
      </w:hyperlink>
      <w:r w:rsidRPr="00A065C8">
        <w:rPr>
          <w:rFonts w:asciiTheme="minorEastAsia" w:hAnsiTheme="minorEastAsia" w:hint="eastAsia"/>
          <w:color w:val="333333"/>
          <w:sz w:val="24"/>
          <w:szCs w:val="24"/>
          <w:shd w:val="clear" w:color="auto" w:fill="FFFFFF"/>
        </w:rPr>
        <w:t>》的有关规定，现就上海国际能源交易中心股份有限公司（以下称上海国际能源交易中心）风险准备金和期货投资者保障基金支出企业所得税税前扣除有关政策问题明确如下：</w:t>
      </w:r>
    </w:p>
    <w:p w14:paraId="484B5E10" w14:textId="4BD5033A"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（一）政策内容</w:t>
      </w:r>
    </w:p>
    <w:p w14:paraId="0E64582B" w14:textId="77777777" w:rsidR="00555221" w:rsidRPr="00555221" w:rsidRDefault="00555221" w:rsidP="00555221">
      <w:pPr>
        <w:pStyle w:val="a5"/>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上海国际能源交易中心依据《期货交易管理条例》、《期货交易所管理办法》和《商品期货交易财务管理暂行规定》的有关规定，按其向会员收取手续费收入</w:t>
      </w:r>
      <w:r w:rsidRPr="00555221">
        <w:rPr>
          <w:rFonts w:asciiTheme="minorEastAsia" w:eastAsiaTheme="minorEastAsia" w:hAnsiTheme="minorEastAsia" w:hint="eastAsia"/>
          <w:color w:val="000000" w:themeColor="text1"/>
        </w:rPr>
        <w:lastRenderedPageBreak/>
        <w:t>的20%计提的风险准备金，在风险准备金余额达到有关规定的额度内，准予在企业所得税税前扣除。</w:t>
      </w:r>
    </w:p>
    <w:p w14:paraId="3A97209E" w14:textId="29A13FB1" w:rsidR="00555221" w:rsidRPr="00555221" w:rsidRDefault="00555221" w:rsidP="00555221">
      <w:pPr>
        <w:spacing w:beforeLines="50" w:before="156" w:afterLines="50" w:after="156" w:line="480" w:lineRule="atLeast"/>
        <w:jc w:val="right"/>
        <w:rPr>
          <w:rFonts w:asciiTheme="minorEastAsia" w:hAnsiTheme="minorEastAsia"/>
          <w:color w:val="000000" w:themeColor="text1"/>
          <w:sz w:val="24"/>
          <w:szCs w:val="24"/>
        </w:rPr>
      </w:pPr>
      <w:bookmarkStart w:id="5" w:name="_Hlk21210925"/>
      <w:r w:rsidRPr="00555221">
        <w:rPr>
          <w:rFonts w:asciiTheme="minorEastAsia" w:hAnsiTheme="minorEastAsia" w:hint="eastAsia"/>
          <w:color w:val="000000" w:themeColor="text1"/>
          <w:sz w:val="24"/>
          <w:szCs w:val="24"/>
        </w:rPr>
        <w:t>（</w:t>
      </w:r>
      <w:hyperlink r:id="rId28" w:history="1">
        <w:r w:rsidRPr="00A065C8">
          <w:rPr>
            <w:rStyle w:val="a6"/>
            <w:rFonts w:asciiTheme="minorEastAsia" w:hAnsiTheme="minorEastAsia" w:hint="eastAsia"/>
            <w:sz w:val="24"/>
            <w:szCs w:val="24"/>
          </w:rPr>
          <w:t>财税〔2019〕32号</w:t>
        </w:r>
      </w:hyperlink>
      <w:r w:rsidRPr="00555221">
        <w:rPr>
          <w:rFonts w:asciiTheme="minorEastAsia" w:hAnsiTheme="minorEastAsia" w:hint="eastAsia"/>
          <w:color w:val="000000" w:themeColor="text1"/>
          <w:sz w:val="24"/>
          <w:szCs w:val="24"/>
        </w:rPr>
        <w:t>第一条）</w:t>
      </w:r>
    </w:p>
    <w:bookmarkEnd w:id="5"/>
    <w:p w14:paraId="52CB33AD" w14:textId="77777777" w:rsidR="00555221" w:rsidRPr="00555221" w:rsidRDefault="00555221" w:rsidP="00555221">
      <w:pPr>
        <w:pStyle w:val="a5"/>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上海国际能源交易中心依据《期货投资者保障基金管理办法》和《关于明确期货投资者保障基金缴纳比例有关事项的规定》的有关规定，按其向期货公司会员收取的交易手续费的2%缴纳的期货投资者保障基金，在基金总额达到有关规定的额度内，准予在企业所得税税前扣除。</w:t>
      </w:r>
    </w:p>
    <w:p w14:paraId="588A4B5D" w14:textId="36487428" w:rsidR="00555221" w:rsidRPr="00555221" w:rsidRDefault="00555221" w:rsidP="00555221">
      <w:pPr>
        <w:spacing w:beforeLines="50" w:before="156" w:afterLines="50" w:after="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29" w:history="1">
        <w:r w:rsidR="00A065C8" w:rsidRPr="00A065C8">
          <w:rPr>
            <w:rStyle w:val="a6"/>
            <w:rFonts w:asciiTheme="minorEastAsia" w:hAnsiTheme="minorEastAsia" w:hint="eastAsia"/>
            <w:sz w:val="24"/>
            <w:szCs w:val="24"/>
          </w:rPr>
          <w:t>财税〔2019〕32号</w:t>
        </w:r>
      </w:hyperlink>
      <w:r w:rsidRPr="00555221">
        <w:rPr>
          <w:rFonts w:asciiTheme="minorEastAsia" w:hAnsiTheme="minorEastAsia" w:hint="eastAsia"/>
          <w:color w:val="000000" w:themeColor="text1"/>
          <w:sz w:val="24"/>
          <w:szCs w:val="24"/>
        </w:rPr>
        <w:t>第二条）</w:t>
      </w:r>
    </w:p>
    <w:p w14:paraId="4C7A0E9E" w14:textId="77777777" w:rsidR="00555221" w:rsidRPr="00555221" w:rsidRDefault="00555221" w:rsidP="00555221">
      <w:pPr>
        <w:pStyle w:val="a5"/>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上述准备金如发生清算、退还，应按规定补征企业所得税。</w:t>
      </w:r>
    </w:p>
    <w:p w14:paraId="018FA974" w14:textId="287D1E3B" w:rsidR="00555221" w:rsidRPr="00555221" w:rsidRDefault="00555221" w:rsidP="00555221">
      <w:pPr>
        <w:spacing w:beforeLines="50" w:before="156" w:afterLines="50" w:after="156" w:line="480" w:lineRule="atLeast"/>
        <w:jc w:val="right"/>
        <w:rPr>
          <w:rFonts w:asciiTheme="minorEastAsia" w:hAnsiTheme="minorEastAsia"/>
          <w:color w:val="000000" w:themeColor="text1"/>
          <w:sz w:val="24"/>
          <w:szCs w:val="24"/>
        </w:rPr>
      </w:pPr>
      <w:r w:rsidRPr="00555221">
        <w:rPr>
          <w:rFonts w:asciiTheme="minorEastAsia" w:hAnsiTheme="minorEastAsia" w:hint="eastAsia"/>
          <w:color w:val="000000" w:themeColor="text1"/>
          <w:sz w:val="24"/>
          <w:szCs w:val="24"/>
        </w:rPr>
        <w:t>（</w:t>
      </w:r>
      <w:hyperlink r:id="rId30" w:history="1">
        <w:r w:rsidR="00A065C8" w:rsidRPr="00A065C8">
          <w:rPr>
            <w:rStyle w:val="a6"/>
            <w:rFonts w:asciiTheme="minorEastAsia" w:hAnsiTheme="minorEastAsia" w:hint="eastAsia"/>
            <w:sz w:val="24"/>
            <w:szCs w:val="24"/>
          </w:rPr>
          <w:t>财税〔2019〕32号</w:t>
        </w:r>
      </w:hyperlink>
      <w:r w:rsidRPr="00555221">
        <w:rPr>
          <w:rFonts w:asciiTheme="minorEastAsia" w:hAnsiTheme="minorEastAsia" w:hint="eastAsia"/>
          <w:color w:val="000000" w:themeColor="text1"/>
          <w:sz w:val="24"/>
          <w:szCs w:val="24"/>
        </w:rPr>
        <w:t>第三条）</w:t>
      </w:r>
    </w:p>
    <w:p w14:paraId="7F6489C0" w14:textId="5B5A9153" w:rsidR="00555221" w:rsidRPr="00555221" w:rsidRDefault="00555221" w:rsidP="00555221">
      <w:pPr>
        <w:pStyle w:val="2"/>
        <w:spacing w:beforeLines="50" w:before="156" w:after="0" w:line="480" w:lineRule="atLeast"/>
        <w:rPr>
          <w:rFonts w:asciiTheme="minorEastAsia" w:eastAsiaTheme="minorEastAsia" w:hAnsiTheme="minorEastAsia"/>
          <w:color w:val="000000" w:themeColor="text1"/>
          <w:sz w:val="24"/>
          <w:szCs w:val="24"/>
        </w:rPr>
      </w:pPr>
      <w:r w:rsidRPr="00555221">
        <w:rPr>
          <w:rFonts w:asciiTheme="minorEastAsia" w:eastAsiaTheme="minorEastAsia" w:hAnsiTheme="minorEastAsia" w:hint="eastAsia"/>
          <w:color w:val="000000" w:themeColor="text1"/>
          <w:sz w:val="24"/>
          <w:szCs w:val="24"/>
        </w:rPr>
        <w:t>（二）执行期限</w:t>
      </w:r>
    </w:p>
    <w:p w14:paraId="4F0576F2" w14:textId="77777777" w:rsidR="00555221" w:rsidRPr="00555221" w:rsidRDefault="00555221" w:rsidP="00555221">
      <w:pPr>
        <w:pStyle w:val="a5"/>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55221">
        <w:rPr>
          <w:rFonts w:asciiTheme="minorEastAsia" w:eastAsiaTheme="minorEastAsia" w:hAnsiTheme="minorEastAsia" w:hint="eastAsia"/>
          <w:color w:val="000000" w:themeColor="text1"/>
        </w:rPr>
        <w:t>本通知自2019年1月1日起至</w:t>
      </w:r>
      <w:r w:rsidRPr="0099347B">
        <w:rPr>
          <w:rFonts w:asciiTheme="minorEastAsia" w:eastAsiaTheme="minorEastAsia" w:hAnsiTheme="minorEastAsia" w:hint="eastAsia"/>
          <w:strike/>
          <w:color w:val="000000" w:themeColor="text1"/>
        </w:rPr>
        <w:t>2020年12月31日</w:t>
      </w:r>
      <w:r w:rsidRPr="00555221">
        <w:rPr>
          <w:rFonts w:asciiTheme="minorEastAsia" w:eastAsiaTheme="minorEastAsia" w:hAnsiTheme="minorEastAsia" w:hint="eastAsia"/>
          <w:color w:val="000000" w:themeColor="text1"/>
        </w:rPr>
        <w:t>止执行。上海国际能源交易中心于2018年3月上市交易后提取的符合本通知规定的风险准备金和期货投资者保障基金，可按本通知规定执行。</w:t>
      </w:r>
    </w:p>
    <w:p w14:paraId="1FB11262" w14:textId="3B9FE230" w:rsidR="00555221" w:rsidRDefault="00555221" w:rsidP="00555221">
      <w:pPr>
        <w:spacing w:beforeLines="50" w:before="156" w:afterLines="50" w:after="156" w:line="480" w:lineRule="atLeast"/>
        <w:jc w:val="right"/>
        <w:rPr>
          <w:rFonts w:asciiTheme="minorEastAsia" w:hAnsiTheme="minorEastAsia" w:hint="eastAsia"/>
          <w:color w:val="000000" w:themeColor="text1"/>
          <w:sz w:val="24"/>
          <w:szCs w:val="24"/>
        </w:rPr>
      </w:pPr>
      <w:r w:rsidRPr="00555221">
        <w:rPr>
          <w:rFonts w:asciiTheme="minorEastAsia" w:hAnsiTheme="minorEastAsia" w:hint="eastAsia"/>
          <w:color w:val="000000" w:themeColor="text1"/>
          <w:sz w:val="24"/>
          <w:szCs w:val="24"/>
        </w:rPr>
        <w:t>（</w:t>
      </w:r>
      <w:hyperlink r:id="rId31" w:history="1">
        <w:r w:rsidR="00A065C8" w:rsidRPr="00A065C8">
          <w:rPr>
            <w:rStyle w:val="a6"/>
            <w:rFonts w:asciiTheme="minorEastAsia" w:hAnsiTheme="minorEastAsia" w:hint="eastAsia"/>
            <w:sz w:val="24"/>
            <w:szCs w:val="24"/>
          </w:rPr>
          <w:t>财税〔2019〕32号</w:t>
        </w:r>
      </w:hyperlink>
      <w:r w:rsidRPr="00555221">
        <w:rPr>
          <w:rFonts w:asciiTheme="minorEastAsia" w:hAnsiTheme="minorEastAsia" w:hint="eastAsia"/>
          <w:color w:val="000000" w:themeColor="text1"/>
          <w:sz w:val="24"/>
          <w:szCs w:val="24"/>
        </w:rPr>
        <w:t>第四条）</w:t>
      </w:r>
    </w:p>
    <w:p w14:paraId="58258A56" w14:textId="77777777" w:rsidR="0099347B" w:rsidRPr="00243532" w:rsidRDefault="0099347B" w:rsidP="0099347B">
      <w:pPr>
        <w:spacing w:beforeLines="50" w:before="156" w:line="480" w:lineRule="atLeast"/>
        <w:ind w:firstLineChars="200" w:firstLine="480"/>
        <w:jc w:val="left"/>
        <w:rPr>
          <w:rFonts w:asciiTheme="minorEastAsia" w:hAnsiTheme="minorEastAsia"/>
          <w:color w:val="000000" w:themeColor="text1"/>
          <w:sz w:val="24"/>
          <w:szCs w:val="24"/>
        </w:rPr>
      </w:pPr>
      <w:r w:rsidRPr="00243532">
        <w:rPr>
          <w:rFonts w:hint="eastAsia"/>
          <w:color w:val="333333"/>
          <w:sz w:val="24"/>
          <w:szCs w:val="24"/>
          <w:shd w:val="clear" w:color="auto" w:fill="FFFFFF"/>
        </w:rPr>
        <w:t>[</w:t>
      </w:r>
      <w:hyperlink r:id="rId32" w:tgtFrame="_self" w:history="1">
        <w:r w:rsidRPr="00243532">
          <w:rPr>
            <w:rFonts w:hint="eastAsia"/>
            <w:color w:val="0070C0"/>
            <w:sz w:val="24"/>
            <w:szCs w:val="24"/>
            <w:u w:val="single"/>
            <w:shd w:val="clear" w:color="auto" w:fill="FFFFFF"/>
          </w:rPr>
          <w:t>财政部</w:t>
        </w:r>
        <w:r w:rsidRPr="00243532">
          <w:rPr>
            <w:rFonts w:hint="eastAsia"/>
            <w:color w:val="0070C0"/>
            <w:sz w:val="24"/>
            <w:szCs w:val="24"/>
            <w:u w:val="single"/>
            <w:shd w:val="clear" w:color="auto" w:fill="FFFFFF"/>
          </w:rPr>
          <w:t xml:space="preserve"> </w:t>
        </w:r>
        <w:r w:rsidRPr="00243532">
          <w:rPr>
            <w:rFonts w:hint="eastAsia"/>
            <w:color w:val="0070C0"/>
            <w:sz w:val="24"/>
            <w:szCs w:val="24"/>
            <w:u w:val="single"/>
            <w:shd w:val="clear" w:color="auto" w:fill="FFFFFF"/>
          </w:rPr>
          <w:t>税务总局公告</w:t>
        </w:r>
        <w:r w:rsidRPr="00243532">
          <w:rPr>
            <w:rFonts w:hint="eastAsia"/>
            <w:color w:val="0070C0"/>
            <w:sz w:val="24"/>
            <w:szCs w:val="24"/>
            <w:u w:val="single"/>
            <w:shd w:val="clear" w:color="auto" w:fill="FFFFFF"/>
          </w:rPr>
          <w:t>2021</w:t>
        </w:r>
        <w:r w:rsidRPr="00243532">
          <w:rPr>
            <w:rFonts w:hint="eastAsia"/>
            <w:color w:val="0070C0"/>
            <w:sz w:val="24"/>
            <w:szCs w:val="24"/>
            <w:u w:val="single"/>
            <w:shd w:val="clear" w:color="auto" w:fill="FFFFFF"/>
          </w:rPr>
          <w:t>年第</w:t>
        </w:r>
        <w:r w:rsidRPr="00243532">
          <w:rPr>
            <w:rFonts w:hint="eastAsia"/>
            <w:color w:val="0070C0"/>
            <w:sz w:val="24"/>
            <w:szCs w:val="24"/>
            <w:u w:val="single"/>
            <w:shd w:val="clear" w:color="auto" w:fill="FFFFFF"/>
          </w:rPr>
          <w:t>6</w:t>
        </w:r>
        <w:r w:rsidRPr="00243532">
          <w:rPr>
            <w:rFonts w:hint="eastAsia"/>
            <w:color w:val="0070C0"/>
            <w:sz w:val="24"/>
            <w:szCs w:val="24"/>
            <w:u w:val="single"/>
            <w:shd w:val="clear" w:color="auto" w:fill="FFFFFF"/>
          </w:rPr>
          <w:t>号</w:t>
        </w:r>
      </w:hyperlink>
      <w:r w:rsidRPr="00243532">
        <w:rPr>
          <w:rFonts w:hint="eastAsia"/>
          <w:color w:val="333333"/>
          <w:sz w:val="24"/>
          <w:szCs w:val="24"/>
          <w:shd w:val="clear" w:color="auto" w:fill="FFFFFF"/>
        </w:rPr>
        <w:t>第四条规定，本文规定的准备金企业所得税税前扣除政策到期后继续执行</w:t>
      </w:r>
      <w:r w:rsidRPr="00243532">
        <w:rPr>
          <w:rFonts w:hint="eastAsia"/>
          <w:color w:val="333333"/>
          <w:sz w:val="24"/>
          <w:szCs w:val="24"/>
          <w:shd w:val="clear" w:color="auto" w:fill="FFFFFF"/>
        </w:rPr>
        <w:t>]</w:t>
      </w:r>
    </w:p>
    <w:p w14:paraId="7F1B5F57" w14:textId="77777777" w:rsidR="0099347B" w:rsidRPr="00555221" w:rsidRDefault="0099347B" w:rsidP="00555221">
      <w:pPr>
        <w:spacing w:beforeLines="50" w:before="156" w:afterLines="50" w:after="156" w:line="480" w:lineRule="atLeast"/>
        <w:jc w:val="right"/>
        <w:rPr>
          <w:rFonts w:asciiTheme="minorEastAsia" w:hAnsiTheme="minorEastAsia"/>
          <w:color w:val="000000" w:themeColor="text1"/>
          <w:sz w:val="24"/>
          <w:szCs w:val="24"/>
        </w:rPr>
      </w:pPr>
    </w:p>
    <w:p w14:paraId="0645333A"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0AF4CBC2" w14:textId="6F2091A6" w:rsidR="0047122A" w:rsidRDefault="0047122A" w:rsidP="00726CEF">
      <w:pPr>
        <w:pStyle w:val="a5"/>
        <w:shd w:val="clear" w:color="auto" w:fill="FFFFFF"/>
        <w:spacing w:beforeLines="50" w:before="156" w:beforeAutospacing="0" w:after="0" w:afterAutospacing="0" w:line="480" w:lineRule="atLeast"/>
        <w:ind w:firstLineChars="200" w:firstLine="480"/>
        <w:rPr>
          <w:color w:val="000000" w:themeColor="text1"/>
        </w:rPr>
      </w:pPr>
    </w:p>
    <w:p w14:paraId="4F80808B" w14:textId="77777777" w:rsidR="005E47E7" w:rsidRPr="00726CEF" w:rsidRDefault="005E47E7" w:rsidP="00726CE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5E47E7" w:rsidRPr="00726CEF">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B598" w14:textId="77777777" w:rsidR="007323DE" w:rsidRDefault="007323DE" w:rsidP="008D63C6">
      <w:r>
        <w:separator/>
      </w:r>
    </w:p>
  </w:endnote>
  <w:endnote w:type="continuationSeparator" w:id="0">
    <w:p w14:paraId="123284BB" w14:textId="77777777" w:rsidR="007323DE" w:rsidRDefault="007323DE"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347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347B">
              <w:rPr>
                <w:b/>
                <w:bCs/>
                <w:noProof/>
              </w:rPr>
              <w:t>5</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C0F9D" w14:textId="77777777" w:rsidR="007323DE" w:rsidRDefault="007323DE" w:rsidP="008D63C6">
      <w:r>
        <w:separator/>
      </w:r>
    </w:p>
  </w:footnote>
  <w:footnote w:type="continuationSeparator" w:id="0">
    <w:p w14:paraId="06728EA6" w14:textId="77777777" w:rsidR="007323DE" w:rsidRDefault="007323DE"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665B5"/>
    <w:rsid w:val="00076DF4"/>
    <w:rsid w:val="000A1580"/>
    <w:rsid w:val="000E06BC"/>
    <w:rsid w:val="000E1550"/>
    <w:rsid w:val="000F6FDA"/>
    <w:rsid w:val="0010501A"/>
    <w:rsid w:val="00106154"/>
    <w:rsid w:val="0012077A"/>
    <w:rsid w:val="00124CCD"/>
    <w:rsid w:val="0013371B"/>
    <w:rsid w:val="00143735"/>
    <w:rsid w:val="00153E93"/>
    <w:rsid w:val="001773B2"/>
    <w:rsid w:val="001825B2"/>
    <w:rsid w:val="00186F69"/>
    <w:rsid w:val="00204AE5"/>
    <w:rsid w:val="00204EA7"/>
    <w:rsid w:val="0023101A"/>
    <w:rsid w:val="00243532"/>
    <w:rsid w:val="00264D0E"/>
    <w:rsid w:val="0028652D"/>
    <w:rsid w:val="002B633B"/>
    <w:rsid w:val="002D4CDD"/>
    <w:rsid w:val="002E1AF6"/>
    <w:rsid w:val="002F50D4"/>
    <w:rsid w:val="003006A6"/>
    <w:rsid w:val="003163EC"/>
    <w:rsid w:val="00322E87"/>
    <w:rsid w:val="003420C2"/>
    <w:rsid w:val="0034249D"/>
    <w:rsid w:val="003773C5"/>
    <w:rsid w:val="00390245"/>
    <w:rsid w:val="003A3829"/>
    <w:rsid w:val="003A3D20"/>
    <w:rsid w:val="003E7611"/>
    <w:rsid w:val="0040440C"/>
    <w:rsid w:val="00416ED8"/>
    <w:rsid w:val="004271D7"/>
    <w:rsid w:val="00462FF2"/>
    <w:rsid w:val="0047122A"/>
    <w:rsid w:val="004B6E8F"/>
    <w:rsid w:val="005111C0"/>
    <w:rsid w:val="005536F0"/>
    <w:rsid w:val="00555221"/>
    <w:rsid w:val="005B13D2"/>
    <w:rsid w:val="005D00CA"/>
    <w:rsid w:val="005E47E7"/>
    <w:rsid w:val="00604838"/>
    <w:rsid w:val="006309F4"/>
    <w:rsid w:val="0066072D"/>
    <w:rsid w:val="00670E0F"/>
    <w:rsid w:val="00672948"/>
    <w:rsid w:val="00677107"/>
    <w:rsid w:val="006979BE"/>
    <w:rsid w:val="006A6936"/>
    <w:rsid w:val="006E3156"/>
    <w:rsid w:val="00726CEF"/>
    <w:rsid w:val="007273FC"/>
    <w:rsid w:val="007323DE"/>
    <w:rsid w:val="0073415B"/>
    <w:rsid w:val="00740A21"/>
    <w:rsid w:val="00751B4A"/>
    <w:rsid w:val="00782523"/>
    <w:rsid w:val="007B6D37"/>
    <w:rsid w:val="007E52D4"/>
    <w:rsid w:val="00821BDC"/>
    <w:rsid w:val="00836465"/>
    <w:rsid w:val="00846BFB"/>
    <w:rsid w:val="00867863"/>
    <w:rsid w:val="00890BDB"/>
    <w:rsid w:val="008A13A6"/>
    <w:rsid w:val="008D63C6"/>
    <w:rsid w:val="008F4E32"/>
    <w:rsid w:val="008F5C3A"/>
    <w:rsid w:val="009249DE"/>
    <w:rsid w:val="009524C2"/>
    <w:rsid w:val="00990092"/>
    <w:rsid w:val="0099347B"/>
    <w:rsid w:val="009A1F5F"/>
    <w:rsid w:val="009E18C9"/>
    <w:rsid w:val="00A065C8"/>
    <w:rsid w:val="00A1440A"/>
    <w:rsid w:val="00A27AE2"/>
    <w:rsid w:val="00A73CD1"/>
    <w:rsid w:val="00A91435"/>
    <w:rsid w:val="00A96738"/>
    <w:rsid w:val="00AA70A7"/>
    <w:rsid w:val="00AC3F64"/>
    <w:rsid w:val="00AC536B"/>
    <w:rsid w:val="00AD0622"/>
    <w:rsid w:val="00AF5778"/>
    <w:rsid w:val="00AF798D"/>
    <w:rsid w:val="00B00E6D"/>
    <w:rsid w:val="00B16CF6"/>
    <w:rsid w:val="00B33E8A"/>
    <w:rsid w:val="00B86D1F"/>
    <w:rsid w:val="00BC5EB2"/>
    <w:rsid w:val="00BD0510"/>
    <w:rsid w:val="00BF3704"/>
    <w:rsid w:val="00C30CE5"/>
    <w:rsid w:val="00C31DC2"/>
    <w:rsid w:val="00C56DB0"/>
    <w:rsid w:val="00C56E20"/>
    <w:rsid w:val="00C83F5C"/>
    <w:rsid w:val="00CA4D89"/>
    <w:rsid w:val="00CE17B0"/>
    <w:rsid w:val="00CE7FDB"/>
    <w:rsid w:val="00D116FD"/>
    <w:rsid w:val="00D206C3"/>
    <w:rsid w:val="00D238CC"/>
    <w:rsid w:val="00D30FE2"/>
    <w:rsid w:val="00D42F41"/>
    <w:rsid w:val="00D505A2"/>
    <w:rsid w:val="00D72B80"/>
    <w:rsid w:val="00D84FAD"/>
    <w:rsid w:val="00D946BF"/>
    <w:rsid w:val="00DB24DC"/>
    <w:rsid w:val="00DB566A"/>
    <w:rsid w:val="00DC0CBB"/>
    <w:rsid w:val="00DE6113"/>
    <w:rsid w:val="00DF2592"/>
    <w:rsid w:val="00DF51FF"/>
    <w:rsid w:val="00E22101"/>
    <w:rsid w:val="00E45626"/>
    <w:rsid w:val="00E54CBE"/>
    <w:rsid w:val="00E67710"/>
    <w:rsid w:val="00E76EED"/>
    <w:rsid w:val="00EA120E"/>
    <w:rsid w:val="00ED50A8"/>
    <w:rsid w:val="00EE7993"/>
    <w:rsid w:val="00EF1B16"/>
    <w:rsid w:val="00F03A07"/>
    <w:rsid w:val="00F0630D"/>
    <w:rsid w:val="00F11662"/>
    <w:rsid w:val="00F12A62"/>
    <w:rsid w:val="00F2659C"/>
    <w:rsid w:val="00F51D5A"/>
    <w:rsid w:val="00F53E80"/>
    <w:rsid w:val="00F57C18"/>
    <w:rsid w:val="00F76D8C"/>
    <w:rsid w:val="00FA3BF6"/>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75.html" TargetMode="External"/><Relationship Id="rId13" Type="http://schemas.openxmlformats.org/officeDocument/2006/relationships/hyperlink" Target="http://ssfb86.com/index/News/detail/newsid/565.html" TargetMode="External"/><Relationship Id="rId18" Type="http://schemas.openxmlformats.org/officeDocument/2006/relationships/hyperlink" Target="http://ssfb86.com/index/News/detail/newsid/565.html" TargetMode="External"/><Relationship Id="rId26" Type="http://schemas.openxmlformats.org/officeDocument/2006/relationships/hyperlink" Target="http://ssfb86.com/index/News/detail/newsid/575.html" TargetMode="External"/><Relationship Id="rId3" Type="http://schemas.microsoft.com/office/2007/relationships/stylesWithEffects" Target="stylesWithEffects.xml"/><Relationship Id="rId21" Type="http://schemas.openxmlformats.org/officeDocument/2006/relationships/hyperlink" Target="http://ssfb86.com/index/News/detail/newsid/565.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fb86.com/index/News/detail/newsid/565.html" TargetMode="External"/><Relationship Id="rId17" Type="http://schemas.openxmlformats.org/officeDocument/2006/relationships/hyperlink" Target="http://ssfb86.com/index/News/detail/newsid/8796.html" TargetMode="External"/><Relationship Id="rId25" Type="http://schemas.openxmlformats.org/officeDocument/2006/relationships/hyperlink" Target="http://ssfb86.com/index/News/detail/newsid/8796.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565.html" TargetMode="External"/><Relationship Id="rId20" Type="http://schemas.openxmlformats.org/officeDocument/2006/relationships/hyperlink" Target="http://ssfb86.com/index/News/detail/newsid/565.html" TargetMode="External"/><Relationship Id="rId29" Type="http://schemas.openxmlformats.org/officeDocument/2006/relationships/hyperlink" Target="http://ssfb86.com/index/News/detail/newsid/18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565.html" TargetMode="External"/><Relationship Id="rId24" Type="http://schemas.openxmlformats.org/officeDocument/2006/relationships/hyperlink" Target="http://ssfb86.com/index/News/detail/newsid/565.html" TargetMode="External"/><Relationship Id="rId32" Type="http://schemas.openxmlformats.org/officeDocument/2006/relationships/hyperlink" Target="http://ssfb86.com/index/News/detail/newsid/8796.html" TargetMode="External"/><Relationship Id="rId5" Type="http://schemas.openxmlformats.org/officeDocument/2006/relationships/webSettings" Target="webSettings.xml"/><Relationship Id="rId15" Type="http://schemas.openxmlformats.org/officeDocument/2006/relationships/hyperlink" Target="http://ssfb86.com/index/News/detail/newsid/1590.html" TargetMode="External"/><Relationship Id="rId23" Type="http://schemas.openxmlformats.org/officeDocument/2006/relationships/hyperlink" Target="http://ssfb86.com/index/News/detail/newsid/1590.html" TargetMode="External"/><Relationship Id="rId28" Type="http://schemas.openxmlformats.org/officeDocument/2006/relationships/hyperlink" Target="http://ssfb86.com/index/News/detail/newsid/181.html" TargetMode="External"/><Relationship Id="rId10" Type="http://schemas.openxmlformats.org/officeDocument/2006/relationships/hyperlink" Target="http://ssfb86.com/index/News/detail/newsid/565.html" TargetMode="External"/><Relationship Id="rId19" Type="http://schemas.openxmlformats.org/officeDocument/2006/relationships/hyperlink" Target="http://ssfb86.com/index/News/detail/newsid/565.html" TargetMode="External"/><Relationship Id="rId31" Type="http://schemas.openxmlformats.org/officeDocument/2006/relationships/hyperlink" Target="http://ssfb86.com/index/News/detail/newsid/181.html" TargetMode="Externa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4" Type="http://schemas.openxmlformats.org/officeDocument/2006/relationships/hyperlink" Target="http://ssfb86.com/index/News/detail/newsid/565.html" TargetMode="External"/><Relationship Id="rId22" Type="http://schemas.openxmlformats.org/officeDocument/2006/relationships/hyperlink" Target="http://ssfb86.com/index/News/detail/newsid/565.html" TargetMode="External"/><Relationship Id="rId27" Type="http://schemas.openxmlformats.org/officeDocument/2006/relationships/hyperlink" Target="http://ssfb86.com/index/News/detail/newsid/7083.html" TargetMode="External"/><Relationship Id="rId30" Type="http://schemas.openxmlformats.org/officeDocument/2006/relationships/hyperlink" Target="http://ssfb86.com/index/News/detail/newsid/181.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5D58-2C55-4305-AB32-14EFC3F9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10</cp:revision>
  <dcterms:created xsi:type="dcterms:W3CDTF">2020-07-05T07:10:00Z</dcterms:created>
  <dcterms:modified xsi:type="dcterms:W3CDTF">2021-03-25T00:37:00Z</dcterms:modified>
</cp:coreProperties>
</file>