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01635EB0" w:rsidR="003773C5" w:rsidRDefault="003773C5" w:rsidP="008D63C6">
      <w:pPr>
        <w:jc w:val="center"/>
        <w:rPr>
          <w:rFonts w:asciiTheme="minorEastAsia" w:hAnsiTheme="minorEastAsia"/>
          <w:sz w:val="44"/>
          <w:szCs w:val="44"/>
        </w:rPr>
      </w:pPr>
    </w:p>
    <w:p w14:paraId="51690754" w14:textId="6AABA9EF" w:rsidR="00EC533D" w:rsidRPr="00E015BF" w:rsidRDefault="00C117A5" w:rsidP="00E015BF">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665221">
        <w:rPr>
          <w:rFonts w:asciiTheme="minorEastAsia" w:hAnsiTheme="minorEastAsia"/>
          <w:sz w:val="44"/>
          <w:szCs w:val="44"/>
        </w:rPr>
        <w:t>5</w:t>
      </w:r>
      <w:r w:rsidR="004F392F">
        <w:rPr>
          <w:rFonts w:asciiTheme="minorEastAsia" w:hAnsiTheme="minorEastAsia"/>
          <w:sz w:val="44"/>
          <w:szCs w:val="44"/>
        </w:rPr>
        <w:t>.</w:t>
      </w:r>
      <w:r w:rsidR="00FA4ACE">
        <w:rPr>
          <w:rFonts w:asciiTheme="minorEastAsia" w:hAnsiTheme="minorEastAsia"/>
          <w:sz w:val="44"/>
          <w:szCs w:val="44"/>
        </w:rPr>
        <w:t>4</w:t>
      </w:r>
      <w:r w:rsidR="00E015BF">
        <w:rPr>
          <w:rFonts w:asciiTheme="minorEastAsia" w:hAnsiTheme="minorEastAsia"/>
          <w:sz w:val="44"/>
          <w:szCs w:val="44"/>
        </w:rPr>
        <w:t>.</w:t>
      </w:r>
      <w:r w:rsidR="00D50FAC">
        <w:rPr>
          <w:rFonts w:asciiTheme="minorEastAsia" w:hAnsiTheme="minorEastAsia"/>
          <w:sz w:val="44"/>
          <w:szCs w:val="44"/>
        </w:rPr>
        <w:t>4</w:t>
      </w:r>
      <w:r w:rsidR="008D63C6" w:rsidRPr="00740A21">
        <w:rPr>
          <w:rFonts w:asciiTheme="minorEastAsia" w:hAnsiTheme="minorEastAsia"/>
          <w:sz w:val="44"/>
          <w:szCs w:val="44"/>
        </w:rPr>
        <w:t xml:space="preserve">  </w:t>
      </w:r>
      <w:r w:rsidR="00D50FAC" w:rsidRPr="00D50FAC">
        <w:rPr>
          <w:rFonts w:asciiTheme="minorEastAsia" w:hAnsiTheme="minorEastAsia" w:hint="eastAsia"/>
          <w:sz w:val="44"/>
          <w:szCs w:val="44"/>
        </w:rPr>
        <w:t>混合性投资业务所得税</w:t>
      </w:r>
    </w:p>
    <w:p w14:paraId="2FB71278" w14:textId="56A31668" w:rsidR="00721EF7" w:rsidRDefault="00721EF7" w:rsidP="00E015BF">
      <w:pPr>
        <w:pStyle w:val="a5"/>
        <w:shd w:val="clear" w:color="auto" w:fill="FFFFFF"/>
        <w:spacing w:beforeLines="50" w:before="156" w:beforeAutospacing="0" w:after="0" w:afterAutospacing="0" w:line="480" w:lineRule="atLeast"/>
        <w:ind w:firstLineChars="200" w:firstLine="480"/>
      </w:pPr>
    </w:p>
    <w:p w14:paraId="64C5E03D" w14:textId="0DFCEA5D" w:rsidR="000A65BE" w:rsidRPr="000A65BE" w:rsidRDefault="000A65BE" w:rsidP="000A65BE">
      <w:pPr>
        <w:pStyle w:val="a5"/>
        <w:shd w:val="clear" w:color="auto" w:fill="FFFFFF"/>
        <w:spacing w:beforeLines="50" w:before="156" w:beforeAutospacing="0" w:after="0" w:afterAutospacing="0" w:line="480" w:lineRule="atLeast"/>
        <w:ind w:firstLineChars="200" w:firstLine="480"/>
      </w:pPr>
      <w:r w:rsidRPr="000A65BE">
        <w:rPr>
          <w:rFonts w:asciiTheme="minorHAnsi" w:eastAsiaTheme="minorEastAsia" w:hAnsiTheme="minorHAnsi" w:cstheme="minorBidi" w:hint="eastAsia"/>
          <w:color w:val="333333"/>
          <w:kern w:val="2"/>
          <w:shd w:val="clear" w:color="auto" w:fill="FFFFFF"/>
        </w:rPr>
        <w:t>根据《</w:t>
      </w:r>
      <w:hyperlink r:id="rId9" w:tgtFrame="_self" w:history="1">
        <w:r w:rsidRPr="000A65BE">
          <w:rPr>
            <w:rFonts w:asciiTheme="minorHAnsi" w:eastAsiaTheme="minorEastAsia" w:hAnsiTheme="minorHAnsi" w:cstheme="minorBidi" w:hint="eastAsia"/>
            <w:color w:val="6E6E6E"/>
            <w:kern w:val="2"/>
            <w:u w:val="single"/>
            <w:shd w:val="clear" w:color="auto" w:fill="FFFFFF"/>
          </w:rPr>
          <w:t>中华人民共和国企业所得税法</w:t>
        </w:r>
      </w:hyperlink>
      <w:r w:rsidRPr="000A65BE">
        <w:rPr>
          <w:rFonts w:asciiTheme="minorHAnsi" w:eastAsiaTheme="minorEastAsia" w:hAnsiTheme="minorHAnsi" w:cstheme="minorBidi" w:hint="eastAsia"/>
          <w:color w:val="333333"/>
          <w:kern w:val="2"/>
          <w:shd w:val="clear" w:color="auto" w:fill="FFFFFF"/>
        </w:rPr>
        <w:t>》及其</w:t>
      </w:r>
      <w:hyperlink r:id="rId10" w:tgtFrame="_self" w:history="1">
        <w:r w:rsidRPr="000A65BE">
          <w:rPr>
            <w:rFonts w:asciiTheme="minorHAnsi" w:eastAsiaTheme="minorEastAsia" w:hAnsiTheme="minorHAnsi" w:cstheme="minorBidi" w:hint="eastAsia"/>
            <w:color w:val="6E6E6E"/>
            <w:kern w:val="2"/>
            <w:u w:val="single"/>
            <w:shd w:val="clear" w:color="auto" w:fill="FFFFFF"/>
          </w:rPr>
          <w:t>实施条例</w:t>
        </w:r>
      </w:hyperlink>
      <w:r w:rsidRPr="000A65BE">
        <w:rPr>
          <w:rFonts w:asciiTheme="minorHAnsi" w:eastAsiaTheme="minorEastAsia" w:hAnsiTheme="minorHAnsi" w:cstheme="minorBidi" w:hint="eastAsia"/>
          <w:color w:val="333333"/>
          <w:kern w:val="2"/>
          <w:shd w:val="clear" w:color="auto" w:fill="FFFFFF"/>
        </w:rPr>
        <w:t>（以下简称税法）的规定，现就企业混合性投资业务企业所得税处理问题公告如下：</w:t>
      </w:r>
    </w:p>
    <w:p w14:paraId="63F3AE17" w14:textId="77777777" w:rsidR="00975EB1" w:rsidRPr="00975EB1" w:rsidRDefault="00975EB1" w:rsidP="00975EB1">
      <w:pPr>
        <w:pStyle w:val="1"/>
        <w:spacing w:before="50" w:after="0" w:line="480" w:lineRule="atLeast"/>
        <w:rPr>
          <w:color w:val="000000" w:themeColor="text1"/>
          <w:sz w:val="24"/>
          <w:szCs w:val="24"/>
        </w:rPr>
      </w:pPr>
      <w:r w:rsidRPr="00975EB1">
        <w:rPr>
          <w:rFonts w:hint="eastAsia"/>
          <w:color w:val="000000" w:themeColor="text1"/>
          <w:sz w:val="24"/>
          <w:szCs w:val="24"/>
        </w:rPr>
        <w:t>一、适用条件</w:t>
      </w:r>
    </w:p>
    <w:p w14:paraId="166A89B1" w14:textId="77777777"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t>企业混合性投资业务，是指兼具权益和债权双重特性的投资业务。同时符合下列条件的混合性投资业务，按本公告进行企业所得税处理：</w:t>
      </w:r>
    </w:p>
    <w:p w14:paraId="1030FCE8" w14:textId="77777777"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t>（一）被投资企业接受投资后，需要按投资合同或协议约定的利率定期支付利息（或定期支付保底利息、固定利润、固定股息，下同）；</w:t>
      </w:r>
    </w:p>
    <w:p w14:paraId="42630D33" w14:textId="0B2B9489" w:rsidR="00975EB1" w:rsidRDefault="00975EB1" w:rsidP="00975EB1">
      <w:pPr>
        <w:spacing w:beforeLines="50" w:before="156" w:line="480" w:lineRule="atLeast"/>
        <w:jc w:val="right"/>
        <w:rPr>
          <w:rFonts w:asciiTheme="minorEastAsia" w:hAnsiTheme="minorEastAsia"/>
          <w:color w:val="000000" w:themeColor="text1"/>
          <w:sz w:val="24"/>
          <w:szCs w:val="24"/>
        </w:rPr>
      </w:pPr>
      <w:bookmarkStart w:id="0" w:name="_Hlk5400052"/>
      <w:r w:rsidRPr="00975EB1">
        <w:rPr>
          <w:rFonts w:asciiTheme="minorEastAsia" w:hAnsiTheme="minorEastAsia" w:hint="eastAsia"/>
          <w:color w:val="000000" w:themeColor="text1"/>
          <w:sz w:val="24"/>
          <w:szCs w:val="24"/>
        </w:rPr>
        <w:t>（</w:t>
      </w:r>
      <w:hyperlink r:id="rId11" w:history="1">
        <w:r w:rsidRPr="000A65BE">
          <w:rPr>
            <w:rStyle w:val="a6"/>
            <w:rFonts w:asciiTheme="minorEastAsia" w:hAnsiTheme="minorEastAsia" w:hint="eastAsia"/>
            <w:sz w:val="24"/>
            <w:szCs w:val="24"/>
          </w:rPr>
          <w:t>国家税务总局公告2013年第41号</w:t>
        </w:r>
      </w:hyperlink>
      <w:r w:rsidRPr="00975EB1">
        <w:rPr>
          <w:rFonts w:asciiTheme="minorEastAsia" w:hAnsiTheme="minorEastAsia" w:hint="eastAsia"/>
          <w:color w:val="000000" w:themeColor="text1"/>
          <w:sz w:val="24"/>
          <w:szCs w:val="24"/>
        </w:rPr>
        <w:t>第一条第一款）</w:t>
      </w:r>
    </w:p>
    <w:p w14:paraId="72EC1679" w14:textId="7125052B" w:rsidR="000A65BE" w:rsidRPr="000A65BE" w:rsidRDefault="000A65BE" w:rsidP="000A65BE">
      <w:pPr>
        <w:spacing w:beforeLines="50" w:before="156" w:line="480" w:lineRule="atLeast"/>
        <w:ind w:firstLineChars="200" w:firstLine="480"/>
        <w:jc w:val="left"/>
        <w:rPr>
          <w:rFonts w:asciiTheme="minorEastAsia" w:hAnsiTheme="minorEastAsia"/>
          <w:color w:val="000000" w:themeColor="text1"/>
          <w:sz w:val="24"/>
          <w:szCs w:val="24"/>
        </w:rPr>
      </w:pPr>
      <w:r w:rsidRPr="000A65BE">
        <w:rPr>
          <w:rFonts w:hint="eastAsia"/>
          <w:color w:val="0070C0"/>
          <w:sz w:val="24"/>
          <w:szCs w:val="24"/>
          <w:shd w:val="clear" w:color="auto" w:fill="FFFFFF"/>
        </w:rPr>
        <w:t>[</w:t>
      </w:r>
      <w:hyperlink r:id="rId12" w:tgtFrame="_self" w:history="1">
        <w:r w:rsidRPr="000A65BE">
          <w:rPr>
            <w:rFonts w:hint="eastAsia"/>
            <w:color w:val="0070C0"/>
            <w:sz w:val="24"/>
            <w:szCs w:val="24"/>
            <w:u w:val="single"/>
            <w:shd w:val="clear" w:color="auto" w:fill="FFFFFF"/>
          </w:rPr>
          <w:t>总局解读</w:t>
        </w:r>
      </w:hyperlink>
      <w:r w:rsidRPr="000A65BE">
        <w:rPr>
          <w:rFonts w:hint="eastAsia"/>
          <w:color w:val="0070C0"/>
          <w:sz w:val="24"/>
          <w:szCs w:val="24"/>
          <w:shd w:val="clear" w:color="auto" w:fill="FFFFFF"/>
        </w:rPr>
        <w:t>：也就是说，此类投资回报不与被投资企业的经营业绩挂钩，不是按企业的投资效益进行分配，也不是按投资者的股份份额取得回报。投资者没有或很少承担投资风险的一种投资，实际为企业一种融资形式。</w:t>
      </w:r>
      <w:r w:rsidRPr="000A65BE">
        <w:rPr>
          <w:rFonts w:hint="eastAsia"/>
          <w:color w:val="0070C0"/>
          <w:sz w:val="24"/>
          <w:szCs w:val="24"/>
          <w:shd w:val="clear" w:color="auto" w:fill="FFFFFF"/>
        </w:rPr>
        <w:t>]</w:t>
      </w:r>
    </w:p>
    <w:bookmarkEnd w:id="0"/>
    <w:p w14:paraId="6CFE2ADA" w14:textId="77777777"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t>（二）有明确的投资期限或特定的投资条件，并在投资期满或者满足特定投资条件后，被投资企业需要赎回投资或偿还本金；</w:t>
      </w:r>
    </w:p>
    <w:p w14:paraId="6DBED86A" w14:textId="03C0CA5A" w:rsidR="00975EB1" w:rsidRDefault="00975EB1" w:rsidP="00975EB1">
      <w:pPr>
        <w:spacing w:beforeLines="50" w:before="156" w:line="480" w:lineRule="atLeast"/>
        <w:jc w:val="right"/>
        <w:rPr>
          <w:rFonts w:asciiTheme="minorEastAsia" w:hAnsiTheme="minorEastAsia"/>
          <w:color w:val="000000" w:themeColor="text1"/>
          <w:sz w:val="24"/>
          <w:szCs w:val="24"/>
        </w:rPr>
      </w:pPr>
      <w:r w:rsidRPr="00975EB1">
        <w:rPr>
          <w:rFonts w:asciiTheme="minorEastAsia" w:hAnsiTheme="minorEastAsia" w:hint="eastAsia"/>
          <w:color w:val="000000" w:themeColor="text1"/>
          <w:sz w:val="24"/>
          <w:szCs w:val="24"/>
        </w:rPr>
        <w:t>（</w:t>
      </w:r>
      <w:hyperlink r:id="rId13" w:history="1">
        <w:r w:rsidR="000A65BE" w:rsidRPr="000A65BE">
          <w:rPr>
            <w:rStyle w:val="a6"/>
            <w:rFonts w:asciiTheme="minorEastAsia" w:hAnsiTheme="minorEastAsia" w:hint="eastAsia"/>
            <w:sz w:val="24"/>
            <w:szCs w:val="24"/>
          </w:rPr>
          <w:t>国家税务总局公告2013年第41号</w:t>
        </w:r>
      </w:hyperlink>
      <w:r w:rsidRPr="00975EB1">
        <w:rPr>
          <w:rFonts w:asciiTheme="minorEastAsia" w:hAnsiTheme="minorEastAsia" w:hint="eastAsia"/>
          <w:color w:val="000000" w:themeColor="text1"/>
          <w:sz w:val="24"/>
          <w:szCs w:val="24"/>
        </w:rPr>
        <w:t>第一条第二款）</w:t>
      </w:r>
    </w:p>
    <w:p w14:paraId="13F5B074" w14:textId="207F0EA0" w:rsidR="000A65BE" w:rsidRPr="000A65BE" w:rsidRDefault="000A65BE" w:rsidP="000A65BE">
      <w:pPr>
        <w:spacing w:beforeLines="50" w:before="156" w:line="480" w:lineRule="atLeast"/>
        <w:ind w:firstLineChars="200" w:firstLine="480"/>
        <w:jc w:val="left"/>
        <w:rPr>
          <w:rFonts w:asciiTheme="minorEastAsia" w:hAnsiTheme="minorEastAsia"/>
          <w:color w:val="000000" w:themeColor="text1"/>
          <w:sz w:val="24"/>
          <w:szCs w:val="24"/>
        </w:rPr>
      </w:pPr>
      <w:r w:rsidRPr="000A65BE">
        <w:rPr>
          <w:rFonts w:asciiTheme="minorEastAsia" w:hAnsiTheme="minorEastAsia" w:hint="eastAsia"/>
          <w:color w:val="0070C0"/>
          <w:sz w:val="24"/>
          <w:szCs w:val="24"/>
          <w:shd w:val="clear" w:color="auto" w:fill="FFFFFF"/>
        </w:rPr>
        <w:t>[</w:t>
      </w:r>
      <w:hyperlink r:id="rId14" w:tgtFrame="_self" w:history="1">
        <w:r w:rsidRPr="000A65BE">
          <w:rPr>
            <w:rFonts w:asciiTheme="minorEastAsia" w:hAnsiTheme="minorEastAsia" w:hint="eastAsia"/>
            <w:color w:val="6E6E6E"/>
            <w:sz w:val="24"/>
            <w:szCs w:val="24"/>
            <w:u w:val="single"/>
            <w:shd w:val="clear" w:color="auto" w:fill="FFFFFF"/>
          </w:rPr>
          <w:t>总局解读</w:t>
        </w:r>
      </w:hyperlink>
      <w:r w:rsidRPr="000A65BE">
        <w:rPr>
          <w:rFonts w:asciiTheme="minorEastAsia" w:hAnsiTheme="minorEastAsia" w:hint="eastAsia"/>
          <w:color w:val="0070C0"/>
          <w:sz w:val="24"/>
          <w:szCs w:val="24"/>
          <w:shd w:val="clear" w:color="auto" w:fill="FFFFFF"/>
        </w:rPr>
        <w:t>：也就是说，投资期限无论是否届满，只要合同或协议约定的、需要由被投资企业偿还本金或赎回投资的条件已经满足，被投资企业必须偿还本金或赎回投资。被投资企业偿还本金或赎回投资后，作减资处理。]</w:t>
      </w:r>
    </w:p>
    <w:p w14:paraId="4D815803" w14:textId="77777777"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t>（三）投资企业对被投资企业净资产不拥有所有权；</w:t>
      </w:r>
    </w:p>
    <w:p w14:paraId="761A4E84" w14:textId="53659D19" w:rsidR="00975EB1" w:rsidRPr="00975EB1" w:rsidRDefault="00975EB1" w:rsidP="00975EB1">
      <w:pPr>
        <w:spacing w:beforeLines="50" w:before="156" w:line="480" w:lineRule="atLeast"/>
        <w:jc w:val="right"/>
        <w:rPr>
          <w:rFonts w:asciiTheme="minorEastAsia" w:hAnsiTheme="minorEastAsia"/>
          <w:color w:val="000000" w:themeColor="text1"/>
          <w:sz w:val="24"/>
          <w:szCs w:val="24"/>
        </w:rPr>
      </w:pPr>
      <w:r w:rsidRPr="00975EB1">
        <w:rPr>
          <w:rFonts w:asciiTheme="minorEastAsia" w:hAnsiTheme="minorEastAsia" w:hint="eastAsia"/>
          <w:color w:val="000000" w:themeColor="text1"/>
          <w:sz w:val="24"/>
          <w:szCs w:val="24"/>
        </w:rPr>
        <w:t>（</w:t>
      </w:r>
      <w:hyperlink r:id="rId15" w:history="1">
        <w:r w:rsidR="000A65BE" w:rsidRPr="000A65BE">
          <w:rPr>
            <w:rStyle w:val="a6"/>
            <w:rFonts w:asciiTheme="minorEastAsia" w:hAnsiTheme="minorEastAsia" w:hint="eastAsia"/>
            <w:sz w:val="24"/>
            <w:szCs w:val="24"/>
          </w:rPr>
          <w:t>国家税务总局公告2013年第41号</w:t>
        </w:r>
      </w:hyperlink>
      <w:r w:rsidRPr="00975EB1">
        <w:rPr>
          <w:rFonts w:asciiTheme="minorEastAsia" w:hAnsiTheme="minorEastAsia" w:hint="eastAsia"/>
          <w:color w:val="000000" w:themeColor="text1"/>
          <w:sz w:val="24"/>
          <w:szCs w:val="24"/>
        </w:rPr>
        <w:t>第一条第三款）</w:t>
      </w:r>
    </w:p>
    <w:p w14:paraId="6A431F94" w14:textId="77777777"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t>（四）投资企业不具有选举权和被选举权；</w:t>
      </w:r>
    </w:p>
    <w:p w14:paraId="2C1F53E6" w14:textId="68B06370" w:rsidR="00975EB1" w:rsidRPr="00975EB1" w:rsidRDefault="00975EB1" w:rsidP="00975EB1">
      <w:pPr>
        <w:spacing w:beforeLines="50" w:before="156" w:line="480" w:lineRule="atLeast"/>
        <w:jc w:val="right"/>
        <w:rPr>
          <w:rFonts w:asciiTheme="minorEastAsia" w:hAnsiTheme="minorEastAsia"/>
          <w:color w:val="000000" w:themeColor="text1"/>
          <w:sz w:val="24"/>
          <w:szCs w:val="24"/>
        </w:rPr>
      </w:pPr>
      <w:r w:rsidRPr="00975EB1">
        <w:rPr>
          <w:rFonts w:asciiTheme="minorEastAsia" w:hAnsiTheme="minorEastAsia" w:hint="eastAsia"/>
          <w:color w:val="000000" w:themeColor="text1"/>
          <w:sz w:val="24"/>
          <w:szCs w:val="24"/>
        </w:rPr>
        <w:t>（</w:t>
      </w:r>
      <w:hyperlink r:id="rId16" w:history="1">
        <w:r w:rsidR="000A65BE" w:rsidRPr="000A65BE">
          <w:rPr>
            <w:rStyle w:val="a6"/>
            <w:rFonts w:asciiTheme="minorEastAsia" w:hAnsiTheme="minorEastAsia" w:hint="eastAsia"/>
            <w:sz w:val="24"/>
            <w:szCs w:val="24"/>
          </w:rPr>
          <w:t>国家税务总局公告2013年第41号</w:t>
        </w:r>
      </w:hyperlink>
      <w:r w:rsidRPr="00975EB1">
        <w:rPr>
          <w:rFonts w:asciiTheme="minorEastAsia" w:hAnsiTheme="minorEastAsia" w:hint="eastAsia"/>
          <w:color w:val="000000" w:themeColor="text1"/>
          <w:sz w:val="24"/>
          <w:szCs w:val="24"/>
        </w:rPr>
        <w:t>第一条第四款）</w:t>
      </w:r>
    </w:p>
    <w:p w14:paraId="48E25DF2" w14:textId="77777777"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lastRenderedPageBreak/>
        <w:t>（五）投资企业不参与被投资企业日常生产经营活动。</w:t>
      </w:r>
    </w:p>
    <w:p w14:paraId="2F3ADA04" w14:textId="7DEFC85C" w:rsidR="00975EB1" w:rsidRDefault="00975EB1" w:rsidP="00975EB1">
      <w:pPr>
        <w:spacing w:beforeLines="50" w:before="156" w:line="480" w:lineRule="atLeast"/>
        <w:jc w:val="right"/>
        <w:rPr>
          <w:rFonts w:asciiTheme="minorEastAsia" w:hAnsiTheme="minorEastAsia"/>
          <w:color w:val="000000" w:themeColor="text1"/>
          <w:sz w:val="24"/>
          <w:szCs w:val="24"/>
        </w:rPr>
      </w:pPr>
      <w:r w:rsidRPr="00975EB1">
        <w:rPr>
          <w:rFonts w:asciiTheme="minorEastAsia" w:hAnsiTheme="minorEastAsia" w:hint="eastAsia"/>
          <w:color w:val="000000" w:themeColor="text1"/>
          <w:sz w:val="24"/>
          <w:szCs w:val="24"/>
        </w:rPr>
        <w:t>（</w:t>
      </w:r>
      <w:hyperlink r:id="rId17" w:history="1">
        <w:r w:rsidR="000A65BE" w:rsidRPr="000A65BE">
          <w:rPr>
            <w:rStyle w:val="a6"/>
            <w:rFonts w:asciiTheme="minorEastAsia" w:hAnsiTheme="minorEastAsia" w:hint="eastAsia"/>
            <w:sz w:val="24"/>
            <w:szCs w:val="24"/>
          </w:rPr>
          <w:t>国家税务总局公告2013年第41号</w:t>
        </w:r>
      </w:hyperlink>
      <w:r w:rsidRPr="00975EB1">
        <w:rPr>
          <w:rFonts w:asciiTheme="minorEastAsia" w:hAnsiTheme="minorEastAsia" w:hint="eastAsia"/>
          <w:color w:val="000000" w:themeColor="text1"/>
          <w:sz w:val="24"/>
          <w:szCs w:val="24"/>
        </w:rPr>
        <w:t>第一条第五款）</w:t>
      </w:r>
    </w:p>
    <w:p w14:paraId="5C1A06A9" w14:textId="028E76E0" w:rsidR="000A65BE" w:rsidRPr="000A65BE" w:rsidRDefault="000A65BE" w:rsidP="000A65BE">
      <w:pPr>
        <w:spacing w:beforeLines="50" w:before="156" w:line="480" w:lineRule="atLeast"/>
        <w:ind w:firstLineChars="200" w:firstLine="480"/>
        <w:jc w:val="left"/>
        <w:rPr>
          <w:rFonts w:asciiTheme="minorEastAsia" w:hAnsiTheme="minorEastAsia"/>
          <w:color w:val="000000" w:themeColor="text1"/>
          <w:sz w:val="24"/>
          <w:szCs w:val="24"/>
        </w:rPr>
      </w:pPr>
      <w:r w:rsidRPr="000A65BE">
        <w:rPr>
          <w:rFonts w:hint="eastAsia"/>
          <w:color w:val="0070C0"/>
          <w:sz w:val="24"/>
          <w:szCs w:val="24"/>
          <w:shd w:val="clear" w:color="auto" w:fill="FFFFFF"/>
        </w:rPr>
        <w:t>[</w:t>
      </w:r>
      <w:hyperlink r:id="rId18" w:tgtFrame="_self" w:history="1">
        <w:r w:rsidRPr="000A65BE">
          <w:rPr>
            <w:rFonts w:hint="eastAsia"/>
            <w:color w:val="6E6E6E"/>
            <w:sz w:val="24"/>
            <w:szCs w:val="24"/>
            <w:u w:val="single"/>
            <w:shd w:val="clear" w:color="auto" w:fill="FFFFFF"/>
          </w:rPr>
          <w:t>总局解读</w:t>
        </w:r>
      </w:hyperlink>
      <w:r w:rsidRPr="000A65BE">
        <w:rPr>
          <w:rFonts w:hint="eastAsia"/>
          <w:color w:val="0070C0"/>
          <w:sz w:val="24"/>
          <w:szCs w:val="24"/>
          <w:shd w:val="clear" w:color="auto" w:fill="FFFFFF"/>
        </w:rPr>
        <w:t>：不参与被投资企业日常生产经营活动。但是，投资资金如果指定了专门用途的，投资方企业可以监督其资金运用情况。</w:t>
      </w:r>
      <w:r w:rsidRPr="000A65BE">
        <w:rPr>
          <w:rFonts w:hint="eastAsia"/>
          <w:color w:val="0070C0"/>
          <w:sz w:val="24"/>
          <w:szCs w:val="24"/>
          <w:shd w:val="clear" w:color="auto" w:fill="FFFFFF"/>
        </w:rPr>
        <w:t>]</w:t>
      </w:r>
    </w:p>
    <w:p w14:paraId="7FCAA1C4" w14:textId="77777777" w:rsidR="00975EB1" w:rsidRPr="00975EB1" w:rsidRDefault="00975EB1" w:rsidP="00975EB1">
      <w:pPr>
        <w:pStyle w:val="1"/>
        <w:spacing w:before="50" w:after="0" w:line="480" w:lineRule="atLeast"/>
        <w:rPr>
          <w:color w:val="000000" w:themeColor="text1"/>
          <w:sz w:val="24"/>
          <w:szCs w:val="24"/>
        </w:rPr>
      </w:pPr>
      <w:r w:rsidRPr="00975EB1">
        <w:rPr>
          <w:rFonts w:hint="eastAsia"/>
          <w:color w:val="000000" w:themeColor="text1"/>
          <w:sz w:val="24"/>
          <w:szCs w:val="24"/>
        </w:rPr>
        <w:t>二、政策内容</w:t>
      </w:r>
    </w:p>
    <w:p w14:paraId="1BACE600" w14:textId="77777777"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t>符合本公告第一条规定的混合性投资业务，按下列规定进行企业所得税处理：</w:t>
      </w:r>
    </w:p>
    <w:p w14:paraId="530042F9" w14:textId="4D584D3D"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t>（一）对于被投资企业支付的利息，投资企业应于被投资企业应付利息的日期，确认收入的实现并计入当期应纳税所得额；被投资企业应于应付利息的日期，确认利息支出，并按税法</w:t>
      </w:r>
      <w:r w:rsidRPr="000A65BE">
        <w:rPr>
          <w:rFonts w:asciiTheme="minorEastAsia" w:eastAsiaTheme="minorEastAsia" w:hAnsiTheme="minorEastAsia" w:hint="eastAsia"/>
          <w:color w:val="000000" w:themeColor="text1"/>
        </w:rPr>
        <w:t>和</w:t>
      </w:r>
      <w:r w:rsidR="000A65BE" w:rsidRPr="000A65BE">
        <w:rPr>
          <w:rFonts w:asciiTheme="minorHAnsi" w:eastAsiaTheme="minorEastAsia" w:hAnsiTheme="minorHAnsi" w:cstheme="minorBidi" w:hint="eastAsia"/>
          <w:color w:val="333333"/>
          <w:kern w:val="2"/>
          <w:shd w:val="clear" w:color="auto" w:fill="FFFFFF"/>
        </w:rPr>
        <w:t>《国家税务总局关于企业所得税若干问题的公告》（</w:t>
      </w:r>
      <w:hyperlink r:id="rId19" w:tgtFrame="_self" w:history="1">
        <w:r w:rsidR="000A65BE" w:rsidRPr="000A65BE">
          <w:rPr>
            <w:rFonts w:asciiTheme="minorHAnsi" w:eastAsiaTheme="minorEastAsia" w:hAnsiTheme="minorHAnsi" w:cstheme="minorBidi" w:hint="eastAsia"/>
            <w:color w:val="6E6E6E"/>
            <w:kern w:val="2"/>
            <w:u w:val="single"/>
            <w:shd w:val="clear" w:color="auto" w:fill="FFFFFF"/>
          </w:rPr>
          <w:t>2011</w:t>
        </w:r>
        <w:r w:rsidR="000A65BE" w:rsidRPr="000A65BE">
          <w:rPr>
            <w:rFonts w:asciiTheme="minorHAnsi" w:eastAsiaTheme="minorEastAsia" w:hAnsiTheme="minorHAnsi" w:cstheme="minorBidi" w:hint="eastAsia"/>
            <w:color w:val="6E6E6E"/>
            <w:kern w:val="2"/>
            <w:u w:val="single"/>
            <w:shd w:val="clear" w:color="auto" w:fill="FFFFFF"/>
          </w:rPr>
          <w:t>年第</w:t>
        </w:r>
        <w:r w:rsidR="000A65BE" w:rsidRPr="000A65BE">
          <w:rPr>
            <w:rFonts w:asciiTheme="minorHAnsi" w:eastAsiaTheme="minorEastAsia" w:hAnsiTheme="minorHAnsi" w:cstheme="minorBidi" w:hint="eastAsia"/>
            <w:color w:val="6E6E6E"/>
            <w:kern w:val="2"/>
            <w:u w:val="single"/>
            <w:shd w:val="clear" w:color="auto" w:fill="FFFFFF"/>
          </w:rPr>
          <w:t>34</w:t>
        </w:r>
        <w:r w:rsidR="000A65BE" w:rsidRPr="000A65BE">
          <w:rPr>
            <w:rFonts w:asciiTheme="minorHAnsi" w:eastAsiaTheme="minorEastAsia" w:hAnsiTheme="minorHAnsi" w:cstheme="minorBidi" w:hint="eastAsia"/>
            <w:color w:val="6E6E6E"/>
            <w:kern w:val="2"/>
            <w:u w:val="single"/>
            <w:shd w:val="clear" w:color="auto" w:fill="FFFFFF"/>
          </w:rPr>
          <w:t>号</w:t>
        </w:r>
      </w:hyperlink>
      <w:r w:rsidR="000A65BE" w:rsidRPr="000A65BE">
        <w:rPr>
          <w:rFonts w:asciiTheme="minorHAnsi" w:eastAsiaTheme="minorEastAsia" w:hAnsiTheme="minorHAnsi" w:cstheme="minorBidi" w:hint="eastAsia"/>
          <w:color w:val="333333"/>
          <w:kern w:val="2"/>
          <w:shd w:val="clear" w:color="auto" w:fill="FFFFFF"/>
        </w:rPr>
        <w:t>）</w:t>
      </w:r>
      <w:r w:rsidRPr="000A65BE">
        <w:rPr>
          <w:rFonts w:asciiTheme="minorEastAsia" w:eastAsiaTheme="minorEastAsia" w:hAnsiTheme="minorEastAsia" w:hint="eastAsia"/>
          <w:color w:val="000000" w:themeColor="text1"/>
        </w:rPr>
        <w:t>第一条的规定，进行</w:t>
      </w:r>
      <w:r w:rsidRPr="00975EB1">
        <w:rPr>
          <w:rFonts w:asciiTheme="minorEastAsia" w:eastAsiaTheme="minorEastAsia" w:hAnsiTheme="minorEastAsia" w:hint="eastAsia"/>
          <w:color w:val="000000" w:themeColor="text1"/>
        </w:rPr>
        <w:t>税前扣除。</w:t>
      </w:r>
    </w:p>
    <w:p w14:paraId="4C163468" w14:textId="70D0B218" w:rsidR="00975EB1" w:rsidRPr="00975EB1" w:rsidRDefault="00975EB1" w:rsidP="00975EB1">
      <w:pPr>
        <w:spacing w:beforeLines="50" w:before="156" w:line="480" w:lineRule="atLeast"/>
        <w:jc w:val="right"/>
        <w:rPr>
          <w:rFonts w:asciiTheme="minorEastAsia" w:hAnsiTheme="minorEastAsia"/>
          <w:color w:val="000000" w:themeColor="text1"/>
          <w:sz w:val="24"/>
          <w:szCs w:val="24"/>
        </w:rPr>
      </w:pPr>
      <w:r w:rsidRPr="00975EB1">
        <w:rPr>
          <w:rFonts w:asciiTheme="minorEastAsia" w:hAnsiTheme="minorEastAsia" w:hint="eastAsia"/>
          <w:color w:val="000000" w:themeColor="text1"/>
          <w:sz w:val="24"/>
          <w:szCs w:val="24"/>
        </w:rPr>
        <w:t>（</w:t>
      </w:r>
      <w:hyperlink r:id="rId20" w:history="1">
        <w:r w:rsidR="000A65BE" w:rsidRPr="000A65BE">
          <w:rPr>
            <w:rStyle w:val="a6"/>
            <w:rFonts w:asciiTheme="minorEastAsia" w:hAnsiTheme="minorEastAsia" w:hint="eastAsia"/>
            <w:sz w:val="24"/>
            <w:szCs w:val="24"/>
          </w:rPr>
          <w:t>国家税务总局公告2013年第41号</w:t>
        </w:r>
      </w:hyperlink>
      <w:r w:rsidRPr="00975EB1">
        <w:rPr>
          <w:rFonts w:asciiTheme="minorEastAsia" w:hAnsiTheme="minorEastAsia" w:hint="eastAsia"/>
          <w:color w:val="000000" w:themeColor="text1"/>
          <w:sz w:val="24"/>
          <w:szCs w:val="24"/>
        </w:rPr>
        <w:t>第二条第一款）</w:t>
      </w:r>
    </w:p>
    <w:p w14:paraId="0AE54D7B" w14:textId="77777777"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t>（二）对于被投资企业赎回的投资，投资双方应于赎回时将赎价与投资成本之间的差额确认为债务重组损益，分别计入当期应纳税所得额。</w:t>
      </w:r>
    </w:p>
    <w:p w14:paraId="19DA170A" w14:textId="468EBEF0" w:rsidR="00975EB1" w:rsidRDefault="00975EB1" w:rsidP="00975EB1">
      <w:pPr>
        <w:spacing w:beforeLines="50" w:before="156" w:line="480" w:lineRule="atLeast"/>
        <w:jc w:val="right"/>
        <w:rPr>
          <w:rFonts w:asciiTheme="minorEastAsia" w:hAnsiTheme="minorEastAsia"/>
          <w:color w:val="000000" w:themeColor="text1"/>
          <w:sz w:val="24"/>
          <w:szCs w:val="24"/>
        </w:rPr>
      </w:pPr>
      <w:r w:rsidRPr="00975EB1">
        <w:rPr>
          <w:rFonts w:asciiTheme="minorEastAsia" w:hAnsiTheme="minorEastAsia" w:hint="eastAsia"/>
          <w:color w:val="000000" w:themeColor="text1"/>
          <w:sz w:val="24"/>
          <w:szCs w:val="24"/>
        </w:rPr>
        <w:t>（</w:t>
      </w:r>
      <w:hyperlink r:id="rId21" w:history="1">
        <w:r w:rsidR="000A65BE" w:rsidRPr="000A65BE">
          <w:rPr>
            <w:rStyle w:val="a6"/>
            <w:rFonts w:asciiTheme="minorEastAsia" w:hAnsiTheme="minorEastAsia" w:hint="eastAsia"/>
            <w:sz w:val="24"/>
            <w:szCs w:val="24"/>
          </w:rPr>
          <w:t>国家税务总局公告2013年第41号</w:t>
        </w:r>
      </w:hyperlink>
      <w:r w:rsidRPr="00975EB1">
        <w:rPr>
          <w:rFonts w:asciiTheme="minorEastAsia" w:hAnsiTheme="minorEastAsia" w:hint="eastAsia"/>
          <w:color w:val="000000" w:themeColor="text1"/>
          <w:sz w:val="24"/>
          <w:szCs w:val="24"/>
        </w:rPr>
        <w:t>第二条第二款）</w:t>
      </w:r>
    </w:p>
    <w:p w14:paraId="719CBA0F" w14:textId="77777777" w:rsidR="000A65BE" w:rsidRPr="000A65BE" w:rsidRDefault="000A65BE" w:rsidP="000A65BE">
      <w:pPr>
        <w:spacing w:beforeLines="50" w:before="156" w:line="480" w:lineRule="atLeast"/>
        <w:ind w:firstLineChars="200" w:firstLine="480"/>
        <w:jc w:val="left"/>
        <w:rPr>
          <w:color w:val="0070C0"/>
          <w:sz w:val="24"/>
          <w:szCs w:val="24"/>
          <w:shd w:val="clear" w:color="auto" w:fill="FFFFFF"/>
        </w:rPr>
      </w:pPr>
      <w:r w:rsidRPr="000A65BE">
        <w:rPr>
          <w:rFonts w:hint="eastAsia"/>
          <w:color w:val="0070C0"/>
          <w:sz w:val="24"/>
          <w:szCs w:val="24"/>
          <w:shd w:val="clear" w:color="auto" w:fill="FFFFFF"/>
        </w:rPr>
        <w:t>[</w:t>
      </w:r>
      <w:hyperlink r:id="rId22" w:tgtFrame="_self" w:history="1">
        <w:r w:rsidRPr="000A65BE">
          <w:rPr>
            <w:rFonts w:hint="eastAsia"/>
            <w:color w:val="0070C0"/>
            <w:sz w:val="24"/>
            <w:szCs w:val="24"/>
            <w:u w:val="single"/>
            <w:shd w:val="clear" w:color="auto" w:fill="FFFFFF"/>
          </w:rPr>
          <w:t>总局解读</w:t>
        </w:r>
      </w:hyperlink>
      <w:r w:rsidRPr="000A65BE">
        <w:rPr>
          <w:rFonts w:hint="eastAsia"/>
          <w:color w:val="0070C0"/>
          <w:sz w:val="24"/>
          <w:szCs w:val="24"/>
          <w:shd w:val="clear" w:color="auto" w:fill="FFFFFF"/>
        </w:rPr>
        <w:t>：投资期满或满足特定条件后，由被投资企业按投资合同或协议约定价格赎回的，应区分下列情况分别进行处理：</w:t>
      </w:r>
    </w:p>
    <w:p w14:paraId="6A05F53F" w14:textId="77777777" w:rsidR="000A65BE" w:rsidRPr="000A65BE" w:rsidRDefault="000A65BE" w:rsidP="000A65BE">
      <w:pPr>
        <w:spacing w:beforeLines="50" w:before="156" w:line="480" w:lineRule="atLeast"/>
        <w:ind w:firstLineChars="200" w:firstLine="480"/>
        <w:jc w:val="left"/>
        <w:rPr>
          <w:color w:val="0070C0"/>
          <w:sz w:val="24"/>
          <w:szCs w:val="24"/>
          <w:shd w:val="clear" w:color="auto" w:fill="FFFFFF"/>
        </w:rPr>
      </w:pPr>
      <w:r w:rsidRPr="000A65BE">
        <w:rPr>
          <w:rFonts w:hint="eastAsia"/>
          <w:color w:val="0070C0"/>
          <w:sz w:val="24"/>
          <w:szCs w:val="24"/>
          <w:shd w:val="clear" w:color="auto" w:fill="FFFFFF"/>
        </w:rPr>
        <w:t>（一）当实际赎价高于投资成本时，投资企业应将赎价与投资成本之间的差额，在赎回时确认为债务重组收益，并计入当期应纳税所得额；被投资企业应将赎价与投资成本之间的差额，在赎回当期确认为债务重组损失，并准予在税前扣除。</w:t>
      </w:r>
    </w:p>
    <w:p w14:paraId="01929875" w14:textId="1CAE6949" w:rsidR="000A65BE" w:rsidRPr="000A65BE" w:rsidRDefault="000A65BE" w:rsidP="000A65BE">
      <w:pPr>
        <w:spacing w:beforeLines="50" w:before="156" w:line="480" w:lineRule="atLeast"/>
        <w:jc w:val="left"/>
        <w:rPr>
          <w:rFonts w:asciiTheme="minorEastAsia" w:hAnsiTheme="minorEastAsia"/>
          <w:color w:val="000000" w:themeColor="text1"/>
          <w:sz w:val="24"/>
          <w:szCs w:val="24"/>
        </w:rPr>
      </w:pPr>
      <w:r w:rsidRPr="000A65BE">
        <w:rPr>
          <w:rFonts w:hint="eastAsia"/>
          <w:color w:val="0070C0"/>
          <w:sz w:val="24"/>
          <w:szCs w:val="24"/>
          <w:shd w:val="clear" w:color="auto" w:fill="FFFFFF"/>
        </w:rPr>
        <w:t> </w:t>
      </w:r>
      <w:r>
        <w:rPr>
          <w:rFonts w:hint="eastAsia"/>
          <w:color w:val="0070C0"/>
          <w:sz w:val="24"/>
          <w:szCs w:val="24"/>
          <w:shd w:val="clear" w:color="auto" w:fill="FFFFFF"/>
        </w:rPr>
        <w:t xml:space="preserve">    </w:t>
      </w:r>
      <w:r w:rsidRPr="000A65BE">
        <w:rPr>
          <w:rFonts w:hint="eastAsia"/>
          <w:color w:val="0070C0"/>
          <w:sz w:val="24"/>
          <w:szCs w:val="24"/>
          <w:shd w:val="clear" w:color="auto" w:fill="FFFFFF"/>
        </w:rPr>
        <w:t> </w:t>
      </w:r>
      <w:r w:rsidRPr="000A65BE">
        <w:rPr>
          <w:rFonts w:hint="eastAsia"/>
          <w:color w:val="0070C0"/>
          <w:sz w:val="24"/>
          <w:szCs w:val="24"/>
          <w:shd w:val="clear" w:color="auto" w:fill="FFFFFF"/>
        </w:rPr>
        <w:t>（二）当实际赎价低于投资成本时，投资企业应将赎价与投资成本之间的差额，在赎回当期按规定确认为债务重组损失，并准予在税前扣除；被投资企业应将赎价与投资成本之间的差额，在赎回当期确认为债务重组收益，并计入当期应纳税所得额。</w:t>
      </w:r>
      <w:r w:rsidRPr="000A65BE">
        <w:rPr>
          <w:rFonts w:hint="eastAsia"/>
          <w:color w:val="0070C0"/>
          <w:sz w:val="24"/>
          <w:szCs w:val="24"/>
          <w:shd w:val="clear" w:color="auto" w:fill="FFFFFF"/>
        </w:rPr>
        <w:t>]</w:t>
      </w:r>
    </w:p>
    <w:p w14:paraId="5EB2ACAE" w14:textId="77777777" w:rsidR="00975EB1" w:rsidRPr="00975EB1" w:rsidRDefault="00975EB1" w:rsidP="00975EB1">
      <w:pPr>
        <w:pStyle w:val="1"/>
        <w:spacing w:before="50" w:after="0" w:line="480" w:lineRule="atLeast"/>
        <w:rPr>
          <w:color w:val="000000" w:themeColor="text1"/>
          <w:sz w:val="24"/>
          <w:szCs w:val="24"/>
        </w:rPr>
      </w:pPr>
      <w:r w:rsidRPr="00975EB1">
        <w:rPr>
          <w:rFonts w:hint="eastAsia"/>
          <w:color w:val="000000" w:themeColor="text1"/>
          <w:sz w:val="24"/>
          <w:szCs w:val="24"/>
        </w:rPr>
        <w:lastRenderedPageBreak/>
        <w:t>三、执行日期</w:t>
      </w:r>
    </w:p>
    <w:p w14:paraId="07976515" w14:textId="77777777" w:rsidR="00975EB1" w:rsidRPr="00975EB1" w:rsidRDefault="00975EB1" w:rsidP="00975EB1">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75EB1">
        <w:rPr>
          <w:rFonts w:asciiTheme="minorEastAsia" w:eastAsiaTheme="minorEastAsia" w:hAnsiTheme="minorEastAsia" w:hint="eastAsia"/>
          <w:color w:val="000000" w:themeColor="text1"/>
        </w:rPr>
        <w:t>本公告自2013年9月1日起执行。此前发生的已进行税务处理的混合性投资业务，不再进行纳税调整。</w:t>
      </w:r>
    </w:p>
    <w:p w14:paraId="560D903F" w14:textId="344D6B17" w:rsidR="00975EB1" w:rsidRPr="00975EB1" w:rsidRDefault="00975EB1" w:rsidP="00975EB1">
      <w:pPr>
        <w:spacing w:beforeLines="50" w:before="156" w:line="480" w:lineRule="atLeast"/>
        <w:jc w:val="right"/>
        <w:rPr>
          <w:rFonts w:asciiTheme="minorEastAsia" w:hAnsiTheme="minorEastAsia"/>
          <w:color w:val="000000" w:themeColor="text1"/>
          <w:sz w:val="24"/>
          <w:szCs w:val="24"/>
        </w:rPr>
      </w:pPr>
      <w:r w:rsidRPr="00975EB1">
        <w:rPr>
          <w:rFonts w:asciiTheme="minorEastAsia" w:hAnsiTheme="minorEastAsia" w:hint="eastAsia"/>
          <w:color w:val="000000" w:themeColor="text1"/>
          <w:sz w:val="24"/>
          <w:szCs w:val="24"/>
        </w:rPr>
        <w:t>（</w:t>
      </w:r>
      <w:hyperlink r:id="rId23" w:history="1">
        <w:r w:rsidR="000A65BE" w:rsidRPr="000A65BE">
          <w:rPr>
            <w:rStyle w:val="a6"/>
            <w:rFonts w:asciiTheme="minorEastAsia" w:hAnsiTheme="minorEastAsia" w:hint="eastAsia"/>
            <w:sz w:val="24"/>
            <w:szCs w:val="24"/>
          </w:rPr>
          <w:t>国家税务总局公告2013年第41号</w:t>
        </w:r>
      </w:hyperlink>
      <w:r w:rsidRPr="00975EB1">
        <w:rPr>
          <w:rFonts w:asciiTheme="minorEastAsia" w:hAnsiTheme="minorEastAsia" w:hint="eastAsia"/>
          <w:color w:val="000000" w:themeColor="text1"/>
          <w:sz w:val="24"/>
          <w:szCs w:val="24"/>
        </w:rPr>
        <w:t>第三条）</w:t>
      </w:r>
    </w:p>
    <w:p w14:paraId="6163B4E0" w14:textId="7DB3722B" w:rsidR="00975EB1" w:rsidRDefault="000A65BE" w:rsidP="000A65BE">
      <w:pPr>
        <w:pStyle w:val="a5"/>
        <w:shd w:val="clear" w:color="auto" w:fill="FFFFFF"/>
        <w:spacing w:beforeLines="50" w:before="156" w:afterLines="50" w:after="156" w:line="540" w:lineRule="atLeast"/>
        <w:ind w:firstLineChars="200" w:firstLine="480"/>
        <w:rPr>
          <w:rFonts w:asciiTheme="minorHAnsi" w:eastAsiaTheme="minorEastAsia" w:hAnsiTheme="minorHAnsi" w:cstheme="minorBidi" w:hint="eastAsia"/>
          <w:color w:val="0070C0"/>
          <w:kern w:val="2"/>
          <w:shd w:val="clear" w:color="auto" w:fill="FFFFFF"/>
        </w:rPr>
      </w:pPr>
      <w:r w:rsidRPr="000A65BE">
        <w:rPr>
          <w:rFonts w:asciiTheme="minorHAnsi" w:eastAsiaTheme="minorEastAsia" w:hAnsiTheme="minorHAnsi" w:cstheme="minorBidi" w:hint="eastAsia"/>
          <w:color w:val="0070C0"/>
          <w:kern w:val="2"/>
          <w:shd w:val="clear" w:color="auto" w:fill="FFFFFF"/>
        </w:rPr>
        <w:t>[</w:t>
      </w:r>
      <w:hyperlink r:id="rId24" w:tgtFrame="_self" w:history="1">
        <w:r w:rsidRPr="000A65BE">
          <w:rPr>
            <w:rFonts w:asciiTheme="minorHAnsi" w:eastAsiaTheme="minorEastAsia" w:hAnsiTheme="minorHAnsi" w:cstheme="minorBidi" w:hint="eastAsia"/>
            <w:color w:val="0070C0"/>
            <w:kern w:val="2"/>
            <w:u w:val="single"/>
            <w:shd w:val="clear" w:color="auto" w:fill="FFFFFF"/>
          </w:rPr>
          <w:t>总局解读</w:t>
        </w:r>
      </w:hyperlink>
      <w:r w:rsidRPr="000A65BE">
        <w:rPr>
          <w:rFonts w:asciiTheme="minorHAnsi" w:eastAsiaTheme="minorEastAsia" w:hAnsiTheme="minorHAnsi" w:cstheme="minorBidi" w:hint="eastAsia"/>
          <w:color w:val="0070C0"/>
          <w:kern w:val="2"/>
          <w:shd w:val="clear" w:color="auto" w:fill="FFFFFF"/>
        </w:rPr>
        <w:t>：没有处理的，按照本《公告》规定处理。</w:t>
      </w:r>
      <w:r w:rsidRPr="000A65BE">
        <w:rPr>
          <w:rFonts w:asciiTheme="minorHAnsi" w:eastAsiaTheme="minorEastAsia" w:hAnsiTheme="minorHAnsi" w:cstheme="minorBidi" w:hint="eastAsia"/>
          <w:color w:val="0070C0"/>
          <w:kern w:val="2"/>
          <w:shd w:val="clear" w:color="auto" w:fill="FFFFFF"/>
        </w:rPr>
        <w:t>]</w:t>
      </w:r>
      <w:bookmarkStart w:id="1" w:name="_GoBack"/>
    </w:p>
    <w:p w14:paraId="1BE578DF" w14:textId="77777777" w:rsidR="000E3BB5" w:rsidRPr="000E3BB5" w:rsidRDefault="000E3BB5" w:rsidP="000E3BB5">
      <w:pPr>
        <w:pStyle w:val="1"/>
        <w:spacing w:before="50" w:after="0" w:line="480" w:lineRule="atLeast"/>
        <w:rPr>
          <w:rFonts w:hint="eastAsia"/>
          <w:color w:val="000000" w:themeColor="text1"/>
          <w:sz w:val="24"/>
          <w:szCs w:val="24"/>
        </w:rPr>
      </w:pPr>
      <w:r w:rsidRPr="000E3BB5">
        <w:rPr>
          <w:rFonts w:hint="eastAsia"/>
          <w:color w:val="000000" w:themeColor="text1"/>
          <w:sz w:val="24"/>
          <w:szCs w:val="24"/>
        </w:rPr>
        <w:t>附注：</w:t>
      </w:r>
      <w:r w:rsidRPr="000E3BB5">
        <w:rPr>
          <w:rFonts w:hint="eastAsia"/>
          <w:color w:val="000000" w:themeColor="text1"/>
          <w:sz w:val="24"/>
          <w:szCs w:val="24"/>
        </w:rPr>
        <w:t>关于跨境混合性投资业务企业所得税的处理问题</w:t>
      </w:r>
    </w:p>
    <w:p w14:paraId="4D5AD163" w14:textId="77777777" w:rsidR="000E3BB5" w:rsidRDefault="000E3BB5" w:rsidP="000E3BB5">
      <w:pPr>
        <w:pStyle w:val="a5"/>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境外投资者在境内从事混合性投资业务,满足《国家税务总局关于企业混合性投资业务企业所得税处理问题的公告》（</w:t>
      </w:r>
      <w:hyperlink r:id="rId25" w:tgtFrame="_self" w:history="1">
        <w:r>
          <w:rPr>
            <w:rStyle w:val="a6"/>
            <w:rFonts w:hint="eastAsia"/>
            <w:color w:val="6E6E6E"/>
          </w:rPr>
          <w:t>2013年第41号</w:t>
        </w:r>
      </w:hyperlink>
      <w:r>
        <w:rPr>
          <w:rFonts w:hint="eastAsia"/>
          <w:color w:val="333333"/>
        </w:rPr>
        <w:t>）第一条规定的条件的，可以按照该公告第二条第一款的规定进行企业所得税处理，但同时符合以下两种情形的除外：</w:t>
      </w:r>
    </w:p>
    <w:p w14:paraId="301F9CA8" w14:textId="77777777" w:rsidR="000E3BB5" w:rsidRDefault="000E3BB5" w:rsidP="000E3BB5">
      <w:pPr>
        <w:pStyle w:val="a5"/>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（一）该境外投资者与境内被投资企业构成关联关系；</w:t>
      </w:r>
    </w:p>
    <w:p w14:paraId="47C99CC4" w14:textId="77777777" w:rsidR="000E3BB5" w:rsidRDefault="000E3BB5" w:rsidP="000E3BB5">
      <w:pPr>
        <w:pStyle w:val="a5"/>
        <w:shd w:val="clear" w:color="auto" w:fill="FFFFFF"/>
        <w:spacing w:beforeLines="50" w:before="156" w:beforeAutospacing="0" w:after="0" w:afterAutospacing="0" w:line="360" w:lineRule="auto"/>
        <w:ind w:firstLine="480"/>
        <w:jc w:val="right"/>
        <w:rPr>
          <w:rFonts w:hint="eastAsia"/>
          <w:color w:val="333333"/>
        </w:rPr>
      </w:pPr>
      <w:r w:rsidRPr="000060EF">
        <w:rPr>
          <w:rFonts w:hint="eastAsia"/>
          <w:color w:val="333333"/>
        </w:rPr>
        <w:t>（</w:t>
      </w:r>
      <w:hyperlink r:id="rId26" w:history="1">
        <w:r w:rsidRPr="000060EF">
          <w:rPr>
            <w:rStyle w:val="a6"/>
            <w:rFonts w:hint="eastAsia"/>
          </w:rPr>
          <w:t>国家税务总局公告2021年第17号</w:t>
        </w:r>
      </w:hyperlink>
      <w:r w:rsidRPr="000060EF">
        <w:rPr>
          <w:rFonts w:hint="eastAsia"/>
          <w:color w:val="333333"/>
        </w:rPr>
        <w:t>第</w:t>
      </w:r>
      <w:r>
        <w:rPr>
          <w:rFonts w:hint="eastAsia"/>
          <w:color w:val="333333"/>
        </w:rPr>
        <w:t>三</w:t>
      </w:r>
      <w:r w:rsidRPr="000060EF">
        <w:rPr>
          <w:rFonts w:hint="eastAsia"/>
          <w:color w:val="333333"/>
        </w:rPr>
        <w:t>条</w:t>
      </w:r>
      <w:r>
        <w:rPr>
          <w:rFonts w:hint="eastAsia"/>
          <w:color w:val="333333"/>
        </w:rPr>
        <w:t>第一款第一项</w:t>
      </w:r>
      <w:r w:rsidRPr="000060EF">
        <w:rPr>
          <w:rFonts w:hint="eastAsia"/>
          <w:color w:val="333333"/>
        </w:rPr>
        <w:t>）</w:t>
      </w:r>
    </w:p>
    <w:p w14:paraId="1C8FECD6" w14:textId="77777777" w:rsidR="000E3BB5" w:rsidRDefault="000E3BB5" w:rsidP="000E3BB5">
      <w:pPr>
        <w:pStyle w:val="a5"/>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（二）境外投资者所在国家（地区）将该项投资收益认定为权益性投资收益，且不征收企业所得税。</w:t>
      </w:r>
    </w:p>
    <w:p w14:paraId="587D9B38" w14:textId="77777777" w:rsidR="000E3BB5" w:rsidRDefault="000E3BB5" w:rsidP="000E3BB5">
      <w:pPr>
        <w:pStyle w:val="a5"/>
        <w:shd w:val="clear" w:color="auto" w:fill="FFFFFF"/>
        <w:spacing w:beforeLines="50" w:before="156" w:beforeAutospacing="0" w:after="0" w:afterAutospacing="0" w:line="360" w:lineRule="auto"/>
        <w:ind w:firstLine="480"/>
        <w:jc w:val="right"/>
        <w:rPr>
          <w:rFonts w:hint="eastAsia"/>
          <w:color w:val="333333"/>
        </w:rPr>
      </w:pPr>
      <w:r w:rsidRPr="000060EF">
        <w:rPr>
          <w:rFonts w:hint="eastAsia"/>
          <w:color w:val="333333"/>
        </w:rPr>
        <w:t>（</w:t>
      </w:r>
      <w:hyperlink r:id="rId27" w:history="1">
        <w:r w:rsidRPr="000060EF">
          <w:rPr>
            <w:rStyle w:val="a6"/>
            <w:rFonts w:hint="eastAsia"/>
          </w:rPr>
          <w:t>国家税务总局公告2021年第17号</w:t>
        </w:r>
      </w:hyperlink>
      <w:r w:rsidRPr="000060EF">
        <w:rPr>
          <w:rFonts w:hint="eastAsia"/>
          <w:color w:val="333333"/>
        </w:rPr>
        <w:t>第</w:t>
      </w:r>
      <w:r>
        <w:rPr>
          <w:rFonts w:hint="eastAsia"/>
          <w:color w:val="333333"/>
        </w:rPr>
        <w:t>三</w:t>
      </w:r>
      <w:r w:rsidRPr="000060EF">
        <w:rPr>
          <w:rFonts w:hint="eastAsia"/>
          <w:color w:val="333333"/>
        </w:rPr>
        <w:t>条</w:t>
      </w:r>
      <w:r>
        <w:rPr>
          <w:rFonts w:hint="eastAsia"/>
          <w:color w:val="333333"/>
        </w:rPr>
        <w:t>第一款第二项</w:t>
      </w:r>
      <w:r w:rsidRPr="000060EF">
        <w:rPr>
          <w:rFonts w:hint="eastAsia"/>
          <w:color w:val="333333"/>
        </w:rPr>
        <w:t>）</w:t>
      </w:r>
    </w:p>
    <w:p w14:paraId="65B88623" w14:textId="77777777" w:rsidR="000E3BB5" w:rsidRDefault="000E3BB5" w:rsidP="000E3BB5">
      <w:pPr>
        <w:pStyle w:val="a5"/>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同时符合上述第（一）项和第（二）项规定情形的，境内被投资企业向境外投资者支付的利息应视为股息，不得进行税前扣除。</w:t>
      </w:r>
    </w:p>
    <w:p w14:paraId="72FEE1E6" w14:textId="77777777" w:rsidR="000E3BB5" w:rsidRDefault="000E3BB5" w:rsidP="000E3BB5">
      <w:pPr>
        <w:pStyle w:val="a5"/>
        <w:shd w:val="clear" w:color="auto" w:fill="FFFFFF"/>
        <w:spacing w:beforeLines="50" w:before="156" w:beforeAutospacing="0" w:after="0" w:afterAutospacing="0" w:line="360" w:lineRule="auto"/>
        <w:ind w:firstLine="480"/>
        <w:jc w:val="right"/>
        <w:rPr>
          <w:rFonts w:hint="eastAsia"/>
          <w:color w:val="333333"/>
        </w:rPr>
      </w:pPr>
      <w:r w:rsidRPr="000060EF">
        <w:rPr>
          <w:rFonts w:hint="eastAsia"/>
          <w:color w:val="333333"/>
        </w:rPr>
        <w:t>（</w:t>
      </w:r>
      <w:hyperlink r:id="rId28" w:history="1">
        <w:r w:rsidRPr="000060EF">
          <w:rPr>
            <w:rStyle w:val="a6"/>
            <w:rFonts w:hint="eastAsia"/>
          </w:rPr>
          <w:t>国家税务总局公告2021年第17号</w:t>
        </w:r>
      </w:hyperlink>
      <w:r w:rsidRPr="000060EF">
        <w:rPr>
          <w:rFonts w:hint="eastAsia"/>
          <w:color w:val="333333"/>
        </w:rPr>
        <w:t>第</w:t>
      </w:r>
      <w:r>
        <w:rPr>
          <w:rFonts w:hint="eastAsia"/>
          <w:color w:val="333333"/>
        </w:rPr>
        <w:t>三</w:t>
      </w:r>
      <w:r w:rsidRPr="000060EF">
        <w:rPr>
          <w:rFonts w:hint="eastAsia"/>
          <w:color w:val="333333"/>
        </w:rPr>
        <w:t>条</w:t>
      </w:r>
      <w:r>
        <w:rPr>
          <w:rFonts w:hint="eastAsia"/>
          <w:color w:val="333333"/>
        </w:rPr>
        <w:t>第二款</w:t>
      </w:r>
      <w:r w:rsidRPr="000060EF">
        <w:rPr>
          <w:rFonts w:hint="eastAsia"/>
          <w:color w:val="333333"/>
        </w:rPr>
        <w:t>）</w:t>
      </w:r>
    </w:p>
    <w:p w14:paraId="372D380E" w14:textId="77777777" w:rsidR="000E3BB5" w:rsidRDefault="000E3BB5" w:rsidP="000E3BB5">
      <w:pPr>
        <w:pStyle w:val="a5"/>
        <w:shd w:val="clear" w:color="auto" w:fill="FFFFFF"/>
        <w:spacing w:beforeLines="50" w:before="156" w:beforeAutospacing="0" w:after="0" w:afterAutospacing="0" w:line="360" w:lineRule="auto"/>
        <w:ind w:firstLine="480"/>
        <w:jc w:val="both"/>
        <w:rPr>
          <w:rFonts w:hint="eastAsia"/>
        </w:rPr>
      </w:pPr>
      <w:r>
        <w:rPr>
          <w:rFonts w:hint="eastAsia"/>
          <w:color w:val="333333"/>
        </w:rPr>
        <w:t>本公告</w:t>
      </w:r>
      <w:r>
        <w:rPr>
          <w:rStyle w:val="a7"/>
          <w:rFonts w:hint="eastAsia"/>
          <w:color w:val="333333"/>
        </w:rPr>
        <w:t>适用于2021年及以后年度</w:t>
      </w:r>
      <w:r>
        <w:rPr>
          <w:rFonts w:hint="eastAsia"/>
          <w:color w:val="333333"/>
        </w:rPr>
        <w:t>汇算清缴。</w:t>
      </w:r>
    </w:p>
    <w:p w14:paraId="7D127E25" w14:textId="5CCC4288" w:rsidR="000E3BB5" w:rsidRDefault="000E3BB5" w:rsidP="000E3BB5">
      <w:pPr>
        <w:pStyle w:val="a5"/>
        <w:shd w:val="clear" w:color="auto" w:fill="FFFFFF"/>
        <w:spacing w:beforeLines="50" w:before="156" w:afterLines="50" w:after="156" w:line="540" w:lineRule="atLeast"/>
        <w:ind w:firstLineChars="200" w:firstLine="480"/>
        <w:jc w:val="right"/>
        <w:rPr>
          <w:rFonts w:asciiTheme="minorHAnsi" w:eastAsiaTheme="minorEastAsia" w:hAnsiTheme="minorHAnsi" w:cstheme="minorBidi" w:hint="eastAsia"/>
          <w:color w:val="0070C0"/>
          <w:kern w:val="2"/>
          <w:shd w:val="clear" w:color="auto" w:fill="FFFFFF"/>
        </w:rPr>
      </w:pPr>
      <w:r w:rsidRPr="000060EF">
        <w:rPr>
          <w:rFonts w:hint="eastAsia"/>
          <w:color w:val="333333"/>
        </w:rPr>
        <w:t>（</w:t>
      </w:r>
      <w:hyperlink r:id="rId29" w:history="1">
        <w:r w:rsidRPr="000060EF">
          <w:rPr>
            <w:rStyle w:val="a6"/>
            <w:rFonts w:hint="eastAsia"/>
          </w:rPr>
          <w:t>国家税务总局公告2021年第17号</w:t>
        </w:r>
      </w:hyperlink>
      <w:r w:rsidRPr="000060EF">
        <w:rPr>
          <w:rFonts w:hint="eastAsia"/>
          <w:color w:val="333333"/>
        </w:rPr>
        <w:t>第</w:t>
      </w:r>
      <w:r>
        <w:rPr>
          <w:rFonts w:hint="eastAsia"/>
          <w:color w:val="333333"/>
        </w:rPr>
        <w:t>六</w:t>
      </w:r>
      <w:r w:rsidRPr="000060EF">
        <w:rPr>
          <w:rFonts w:hint="eastAsia"/>
          <w:color w:val="333333"/>
        </w:rPr>
        <w:t>条</w:t>
      </w:r>
      <w:r>
        <w:rPr>
          <w:rFonts w:hint="eastAsia"/>
          <w:color w:val="333333"/>
        </w:rPr>
        <w:t>第三款</w:t>
      </w:r>
      <w:r w:rsidRPr="000060EF">
        <w:rPr>
          <w:rFonts w:hint="eastAsia"/>
          <w:color w:val="333333"/>
        </w:rPr>
        <w:t>）</w:t>
      </w:r>
    </w:p>
    <w:bookmarkEnd w:id="1"/>
    <w:p w14:paraId="6BD7CA61" w14:textId="77777777" w:rsidR="000E3BB5" w:rsidRDefault="000E3BB5" w:rsidP="000E3BB5">
      <w:pPr>
        <w:pStyle w:val="a5"/>
        <w:shd w:val="clear" w:color="auto" w:fill="FFFFFF"/>
        <w:spacing w:beforeLines="50" w:before="156" w:afterLines="50" w:after="156" w:line="540" w:lineRule="atLeast"/>
        <w:ind w:firstLineChars="200" w:firstLine="480"/>
        <w:rPr>
          <w:rFonts w:asciiTheme="minorHAnsi" w:eastAsiaTheme="minorEastAsia" w:hAnsiTheme="minorHAnsi" w:cstheme="minorBidi" w:hint="eastAsia"/>
          <w:color w:val="0070C0"/>
          <w:kern w:val="2"/>
          <w:shd w:val="clear" w:color="auto" w:fill="FFFFFF"/>
        </w:rPr>
      </w:pPr>
    </w:p>
    <w:p w14:paraId="507BDCC1" w14:textId="77777777" w:rsidR="000E3BB5" w:rsidRPr="000A65BE" w:rsidRDefault="000E3BB5" w:rsidP="000E3BB5">
      <w:pPr>
        <w:pStyle w:val="a5"/>
        <w:shd w:val="clear" w:color="auto" w:fill="FFFFFF"/>
        <w:spacing w:beforeLines="50" w:before="156" w:afterLines="50" w:after="156" w:line="540" w:lineRule="atLeast"/>
        <w:ind w:firstLineChars="200" w:firstLine="482"/>
        <w:rPr>
          <w:rFonts w:asciiTheme="minorEastAsia" w:eastAsiaTheme="minorEastAsia" w:hAnsiTheme="minorEastAsia" w:cstheme="majorBidi"/>
          <w:b/>
          <w:bCs/>
          <w:kern w:val="2"/>
        </w:rPr>
      </w:pPr>
    </w:p>
    <w:p w14:paraId="1551D30C" w14:textId="77777777" w:rsidR="00D50FAC" w:rsidRPr="00975EB1" w:rsidRDefault="00D50FAC"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D50FAC" w:rsidRPr="00975EB1">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8CBCF" w14:textId="77777777" w:rsidR="004C5664" w:rsidRDefault="004C5664" w:rsidP="008D63C6">
      <w:r>
        <w:separator/>
      </w:r>
    </w:p>
  </w:endnote>
  <w:endnote w:type="continuationSeparator" w:id="0">
    <w:p w14:paraId="5C8EF35E" w14:textId="77777777" w:rsidR="004C5664" w:rsidRDefault="004C5664"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E3BB5">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E3BB5">
              <w:rPr>
                <w:b/>
                <w:bCs/>
                <w:noProof/>
              </w:rPr>
              <w:t>4</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BA859" w14:textId="77777777" w:rsidR="004C5664" w:rsidRDefault="004C5664" w:rsidP="008D63C6">
      <w:r>
        <w:separator/>
      </w:r>
    </w:p>
  </w:footnote>
  <w:footnote w:type="continuationSeparator" w:id="0">
    <w:p w14:paraId="6FFFD053" w14:textId="77777777" w:rsidR="004C5664" w:rsidRDefault="004C5664"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1CAA"/>
    <w:rsid w:val="0006252E"/>
    <w:rsid w:val="000665B5"/>
    <w:rsid w:val="00067B3F"/>
    <w:rsid w:val="00076DF4"/>
    <w:rsid w:val="00086BDF"/>
    <w:rsid w:val="000A1580"/>
    <w:rsid w:val="000A65BE"/>
    <w:rsid w:val="000A7A38"/>
    <w:rsid w:val="000C328F"/>
    <w:rsid w:val="000C75B4"/>
    <w:rsid w:val="000D0CF3"/>
    <w:rsid w:val="000E06BC"/>
    <w:rsid w:val="000E1550"/>
    <w:rsid w:val="000E3BB5"/>
    <w:rsid w:val="000F38B4"/>
    <w:rsid w:val="000F6FDA"/>
    <w:rsid w:val="0010501A"/>
    <w:rsid w:val="00106154"/>
    <w:rsid w:val="0012077A"/>
    <w:rsid w:val="00124CCD"/>
    <w:rsid w:val="00130581"/>
    <w:rsid w:val="00133462"/>
    <w:rsid w:val="0013371B"/>
    <w:rsid w:val="00140381"/>
    <w:rsid w:val="00140B0D"/>
    <w:rsid w:val="00143735"/>
    <w:rsid w:val="00153E93"/>
    <w:rsid w:val="001773B2"/>
    <w:rsid w:val="001825B2"/>
    <w:rsid w:val="00186F69"/>
    <w:rsid w:val="001879D1"/>
    <w:rsid w:val="001915D7"/>
    <w:rsid w:val="001C2D0D"/>
    <w:rsid w:val="001C7D09"/>
    <w:rsid w:val="001D0FB8"/>
    <w:rsid w:val="001F3F0A"/>
    <w:rsid w:val="00204AE5"/>
    <w:rsid w:val="00204EA7"/>
    <w:rsid w:val="00212FBC"/>
    <w:rsid w:val="0022780B"/>
    <w:rsid w:val="0023101A"/>
    <w:rsid w:val="00236C8E"/>
    <w:rsid w:val="00264D0E"/>
    <w:rsid w:val="00265081"/>
    <w:rsid w:val="002822B7"/>
    <w:rsid w:val="002851A2"/>
    <w:rsid w:val="0028652D"/>
    <w:rsid w:val="002A17AF"/>
    <w:rsid w:val="002B633B"/>
    <w:rsid w:val="002C2AD2"/>
    <w:rsid w:val="002D4CDD"/>
    <w:rsid w:val="002E1AF6"/>
    <w:rsid w:val="002F50D4"/>
    <w:rsid w:val="003006A6"/>
    <w:rsid w:val="00314940"/>
    <w:rsid w:val="00315E01"/>
    <w:rsid w:val="003163EC"/>
    <w:rsid w:val="00322E87"/>
    <w:rsid w:val="003409FD"/>
    <w:rsid w:val="003420C2"/>
    <w:rsid w:val="0034249D"/>
    <w:rsid w:val="003704C5"/>
    <w:rsid w:val="003773C5"/>
    <w:rsid w:val="00390245"/>
    <w:rsid w:val="00393942"/>
    <w:rsid w:val="00394538"/>
    <w:rsid w:val="003A058E"/>
    <w:rsid w:val="003A3829"/>
    <w:rsid w:val="003A3D20"/>
    <w:rsid w:val="003B1B3A"/>
    <w:rsid w:val="003C3CD3"/>
    <w:rsid w:val="003D4A0F"/>
    <w:rsid w:val="003D584F"/>
    <w:rsid w:val="003E7611"/>
    <w:rsid w:val="003F4C95"/>
    <w:rsid w:val="0040090E"/>
    <w:rsid w:val="0040440C"/>
    <w:rsid w:val="00416ED8"/>
    <w:rsid w:val="00421607"/>
    <w:rsid w:val="004271D7"/>
    <w:rsid w:val="00430AEE"/>
    <w:rsid w:val="00436332"/>
    <w:rsid w:val="00437618"/>
    <w:rsid w:val="00437926"/>
    <w:rsid w:val="00441889"/>
    <w:rsid w:val="004561D7"/>
    <w:rsid w:val="00462FF2"/>
    <w:rsid w:val="0047122A"/>
    <w:rsid w:val="004B6E8F"/>
    <w:rsid w:val="004C5664"/>
    <w:rsid w:val="004E128D"/>
    <w:rsid w:val="004E49D2"/>
    <w:rsid w:val="004F392F"/>
    <w:rsid w:val="005111C0"/>
    <w:rsid w:val="00523E2F"/>
    <w:rsid w:val="005304E2"/>
    <w:rsid w:val="00537AEA"/>
    <w:rsid w:val="0055018E"/>
    <w:rsid w:val="00551C83"/>
    <w:rsid w:val="00552C76"/>
    <w:rsid w:val="005536F0"/>
    <w:rsid w:val="00555221"/>
    <w:rsid w:val="00557686"/>
    <w:rsid w:val="00561B8E"/>
    <w:rsid w:val="00577B68"/>
    <w:rsid w:val="00586093"/>
    <w:rsid w:val="005B13D2"/>
    <w:rsid w:val="005D00CA"/>
    <w:rsid w:val="005E47E7"/>
    <w:rsid w:val="005F7599"/>
    <w:rsid w:val="00603F42"/>
    <w:rsid w:val="00604838"/>
    <w:rsid w:val="006165C7"/>
    <w:rsid w:val="00626FAD"/>
    <w:rsid w:val="00627995"/>
    <w:rsid w:val="006309F4"/>
    <w:rsid w:val="006334B8"/>
    <w:rsid w:val="006359FA"/>
    <w:rsid w:val="00647FAE"/>
    <w:rsid w:val="0065697B"/>
    <w:rsid w:val="0066072D"/>
    <w:rsid w:val="006608FA"/>
    <w:rsid w:val="006634AA"/>
    <w:rsid w:val="00665221"/>
    <w:rsid w:val="00670E0F"/>
    <w:rsid w:val="0067150F"/>
    <w:rsid w:val="00672948"/>
    <w:rsid w:val="00677107"/>
    <w:rsid w:val="006979BE"/>
    <w:rsid w:val="006A1773"/>
    <w:rsid w:val="006A20C9"/>
    <w:rsid w:val="006A6936"/>
    <w:rsid w:val="006C3369"/>
    <w:rsid w:val="006C55BD"/>
    <w:rsid w:val="006D0B98"/>
    <w:rsid w:val="006D1375"/>
    <w:rsid w:val="006E3156"/>
    <w:rsid w:val="00702666"/>
    <w:rsid w:val="00706E75"/>
    <w:rsid w:val="00721EF7"/>
    <w:rsid w:val="00724F30"/>
    <w:rsid w:val="00726CEF"/>
    <w:rsid w:val="007273FC"/>
    <w:rsid w:val="0073415B"/>
    <w:rsid w:val="00740A21"/>
    <w:rsid w:val="00751B4A"/>
    <w:rsid w:val="007559E6"/>
    <w:rsid w:val="007713A7"/>
    <w:rsid w:val="00782523"/>
    <w:rsid w:val="00791439"/>
    <w:rsid w:val="007A10F1"/>
    <w:rsid w:val="007B52AF"/>
    <w:rsid w:val="007B6D37"/>
    <w:rsid w:val="007E52D4"/>
    <w:rsid w:val="00811AD7"/>
    <w:rsid w:val="00821BDC"/>
    <w:rsid w:val="00835123"/>
    <w:rsid w:val="00836465"/>
    <w:rsid w:val="008458CF"/>
    <w:rsid w:val="00846BFB"/>
    <w:rsid w:val="00846FA3"/>
    <w:rsid w:val="00867863"/>
    <w:rsid w:val="00871FAF"/>
    <w:rsid w:val="00890BDB"/>
    <w:rsid w:val="0089595C"/>
    <w:rsid w:val="008A13A6"/>
    <w:rsid w:val="008A6E0E"/>
    <w:rsid w:val="008C4CAF"/>
    <w:rsid w:val="008D59E0"/>
    <w:rsid w:val="008D63C6"/>
    <w:rsid w:val="008E6AE2"/>
    <w:rsid w:val="008F4E32"/>
    <w:rsid w:val="008F50DF"/>
    <w:rsid w:val="008F5C3A"/>
    <w:rsid w:val="008F7C31"/>
    <w:rsid w:val="0090097C"/>
    <w:rsid w:val="00903C04"/>
    <w:rsid w:val="00911E35"/>
    <w:rsid w:val="00922F60"/>
    <w:rsid w:val="009249DE"/>
    <w:rsid w:val="00927F77"/>
    <w:rsid w:val="009524C2"/>
    <w:rsid w:val="00960244"/>
    <w:rsid w:val="00960390"/>
    <w:rsid w:val="00975EB1"/>
    <w:rsid w:val="00986C5A"/>
    <w:rsid w:val="00990092"/>
    <w:rsid w:val="00996C19"/>
    <w:rsid w:val="009A1880"/>
    <w:rsid w:val="009A1F5F"/>
    <w:rsid w:val="009C5CF4"/>
    <w:rsid w:val="009C743F"/>
    <w:rsid w:val="009D5B3A"/>
    <w:rsid w:val="009E18C9"/>
    <w:rsid w:val="00A06195"/>
    <w:rsid w:val="00A1440A"/>
    <w:rsid w:val="00A25C9F"/>
    <w:rsid w:val="00A27AE2"/>
    <w:rsid w:val="00A42333"/>
    <w:rsid w:val="00A53628"/>
    <w:rsid w:val="00A57416"/>
    <w:rsid w:val="00A57BD6"/>
    <w:rsid w:val="00A73CD1"/>
    <w:rsid w:val="00A754F0"/>
    <w:rsid w:val="00A91435"/>
    <w:rsid w:val="00A96738"/>
    <w:rsid w:val="00AA3D33"/>
    <w:rsid w:val="00AA70A7"/>
    <w:rsid w:val="00AB4814"/>
    <w:rsid w:val="00AC3F64"/>
    <w:rsid w:val="00AC536B"/>
    <w:rsid w:val="00AD0622"/>
    <w:rsid w:val="00AE0E17"/>
    <w:rsid w:val="00AF5778"/>
    <w:rsid w:val="00AF798D"/>
    <w:rsid w:val="00B066DC"/>
    <w:rsid w:val="00B16CF6"/>
    <w:rsid w:val="00B23E50"/>
    <w:rsid w:val="00B33E8A"/>
    <w:rsid w:val="00B67EDF"/>
    <w:rsid w:val="00B86D1F"/>
    <w:rsid w:val="00B91B75"/>
    <w:rsid w:val="00B93445"/>
    <w:rsid w:val="00BA2DBA"/>
    <w:rsid w:val="00BA4508"/>
    <w:rsid w:val="00BA4FC1"/>
    <w:rsid w:val="00BC45DB"/>
    <w:rsid w:val="00BC5EB2"/>
    <w:rsid w:val="00BD0510"/>
    <w:rsid w:val="00BD42BB"/>
    <w:rsid w:val="00BD4502"/>
    <w:rsid w:val="00BE59A8"/>
    <w:rsid w:val="00BF26AE"/>
    <w:rsid w:val="00BF3001"/>
    <w:rsid w:val="00BF3704"/>
    <w:rsid w:val="00BF4AAA"/>
    <w:rsid w:val="00C01526"/>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0A63"/>
    <w:rsid w:val="00CD278B"/>
    <w:rsid w:val="00CE17B0"/>
    <w:rsid w:val="00CE2032"/>
    <w:rsid w:val="00CE7FDB"/>
    <w:rsid w:val="00CF2762"/>
    <w:rsid w:val="00D116FD"/>
    <w:rsid w:val="00D206C3"/>
    <w:rsid w:val="00D238CC"/>
    <w:rsid w:val="00D30FE2"/>
    <w:rsid w:val="00D4004C"/>
    <w:rsid w:val="00D42F41"/>
    <w:rsid w:val="00D505A2"/>
    <w:rsid w:val="00D50FAC"/>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015BF"/>
    <w:rsid w:val="00E15C72"/>
    <w:rsid w:val="00E16250"/>
    <w:rsid w:val="00E166E3"/>
    <w:rsid w:val="00E22101"/>
    <w:rsid w:val="00E35ADF"/>
    <w:rsid w:val="00E45626"/>
    <w:rsid w:val="00E47AE1"/>
    <w:rsid w:val="00E54CBE"/>
    <w:rsid w:val="00E67710"/>
    <w:rsid w:val="00E76EED"/>
    <w:rsid w:val="00EA120E"/>
    <w:rsid w:val="00EA1BA1"/>
    <w:rsid w:val="00EB349F"/>
    <w:rsid w:val="00EC533D"/>
    <w:rsid w:val="00EE7993"/>
    <w:rsid w:val="00EF1B16"/>
    <w:rsid w:val="00F03A07"/>
    <w:rsid w:val="00F0630D"/>
    <w:rsid w:val="00F11662"/>
    <w:rsid w:val="00F12A62"/>
    <w:rsid w:val="00F2128B"/>
    <w:rsid w:val="00F22643"/>
    <w:rsid w:val="00F2659C"/>
    <w:rsid w:val="00F35DBF"/>
    <w:rsid w:val="00F45A6F"/>
    <w:rsid w:val="00F51D5A"/>
    <w:rsid w:val="00F53E80"/>
    <w:rsid w:val="00F57C18"/>
    <w:rsid w:val="00F60BC1"/>
    <w:rsid w:val="00F71FA5"/>
    <w:rsid w:val="00F769DF"/>
    <w:rsid w:val="00F76D8C"/>
    <w:rsid w:val="00F94B17"/>
    <w:rsid w:val="00FA3BF6"/>
    <w:rsid w:val="00FA4ACE"/>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394.html" TargetMode="External"/><Relationship Id="rId18" Type="http://schemas.openxmlformats.org/officeDocument/2006/relationships/hyperlink" Target="http://www.chinatax.gov.cn/chinatax/n810341/n810760/c1151718/content.html" TargetMode="External"/><Relationship Id="rId26" Type="http://schemas.openxmlformats.org/officeDocument/2006/relationships/hyperlink" Target="http://ssfb86.com/index/News/detail/newsid/9026.html" TargetMode="External"/><Relationship Id="rId3" Type="http://schemas.openxmlformats.org/officeDocument/2006/relationships/styles" Target="styles.xml"/><Relationship Id="rId21" Type="http://schemas.openxmlformats.org/officeDocument/2006/relationships/hyperlink" Target="http://ssfb86.com/index/News/detail/newsid/1394.html" TargetMode="External"/><Relationship Id="rId7" Type="http://schemas.openxmlformats.org/officeDocument/2006/relationships/footnotes" Target="footnotes.xml"/><Relationship Id="rId12" Type="http://schemas.openxmlformats.org/officeDocument/2006/relationships/hyperlink" Target="http://www.chinatax.gov.cn/chinatax/n810341/n810760/c1151718/content.html" TargetMode="External"/><Relationship Id="rId17" Type="http://schemas.openxmlformats.org/officeDocument/2006/relationships/hyperlink" Target="http://ssfb86.com/index/News/detail/newsid/1394.html" TargetMode="External"/><Relationship Id="rId25" Type="http://schemas.openxmlformats.org/officeDocument/2006/relationships/hyperlink" Target="http://ssfb86.com/index/News/detail/newsid/1394.html" TargetMode="External"/><Relationship Id="rId2" Type="http://schemas.openxmlformats.org/officeDocument/2006/relationships/numbering" Target="numbering.xml"/><Relationship Id="rId16" Type="http://schemas.openxmlformats.org/officeDocument/2006/relationships/hyperlink" Target="http://ssfb86.com/index/News/detail/newsid/1394.html" TargetMode="External"/><Relationship Id="rId20" Type="http://schemas.openxmlformats.org/officeDocument/2006/relationships/hyperlink" Target="http://ssfb86.com/index/News/detail/newsid/1394.html" TargetMode="External"/><Relationship Id="rId29" Type="http://schemas.openxmlformats.org/officeDocument/2006/relationships/hyperlink" Target="http://ssfb86.com/index/News/detail/newsid/902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1394.html" TargetMode="External"/><Relationship Id="rId24" Type="http://schemas.openxmlformats.org/officeDocument/2006/relationships/hyperlink" Target="http://www.chinatax.gov.cn/chinatax/n810341/n810760/c1151718/content.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fb86.com/index/News/detail/newsid/1394.html" TargetMode="External"/><Relationship Id="rId23" Type="http://schemas.openxmlformats.org/officeDocument/2006/relationships/hyperlink" Target="http://ssfb86.com/index/News/detail/newsid/1394.html" TargetMode="External"/><Relationship Id="rId28" Type="http://schemas.openxmlformats.org/officeDocument/2006/relationships/hyperlink" Target="http://ssfb86.com/index/News/detail/newsid/9026.html" TargetMode="Externa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1737.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4" Type="http://schemas.openxmlformats.org/officeDocument/2006/relationships/hyperlink" Target="http://www.chinatax.gov.cn/chinatax/n810341/n810760/c1151718/content.html" TargetMode="External"/><Relationship Id="rId22" Type="http://schemas.openxmlformats.org/officeDocument/2006/relationships/hyperlink" Target="http://www.chinatax.gov.cn/chinatax/n810341/n810760/c1151718/content.html" TargetMode="External"/><Relationship Id="rId27" Type="http://schemas.openxmlformats.org/officeDocument/2006/relationships/hyperlink" Target="http://ssfb86.com/index/News/detail/newsid/9026.html"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1836-9EE0-4A58-945F-A7472D40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2020-07-08T21:47:00Z</dcterms:created>
  <dcterms:modified xsi:type="dcterms:W3CDTF">2021-06-26T03:49:00Z</dcterms:modified>
</cp:coreProperties>
</file>