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F8FEB" w14:textId="19BA9971" w:rsidR="00F57C18" w:rsidRPr="00B85160" w:rsidRDefault="00B85160" w:rsidP="00B85160">
      <w:pPr>
        <w:jc w:val="center"/>
        <w:rPr>
          <w:rFonts w:asciiTheme="minorEastAsia" w:hAnsiTheme="minorEastAsia"/>
          <w:sz w:val="44"/>
          <w:szCs w:val="44"/>
        </w:rPr>
      </w:pPr>
      <w:r w:rsidRPr="00B85160">
        <w:rPr>
          <w:rFonts w:asciiTheme="minorEastAsia" w:hAnsiTheme="minorEastAsia" w:hint="eastAsia"/>
          <w:sz w:val="44"/>
          <w:szCs w:val="44"/>
        </w:rPr>
        <w:t>1.</w:t>
      </w:r>
      <w:r w:rsidR="007F7A95">
        <w:rPr>
          <w:rFonts w:asciiTheme="minorEastAsia" w:hAnsiTheme="minorEastAsia"/>
          <w:sz w:val="44"/>
          <w:szCs w:val="44"/>
        </w:rPr>
        <w:t>2</w:t>
      </w:r>
      <w:r w:rsidRPr="00B85160">
        <w:rPr>
          <w:rFonts w:asciiTheme="minorEastAsia" w:hAnsiTheme="minorEastAsia"/>
          <w:sz w:val="44"/>
          <w:szCs w:val="44"/>
        </w:rPr>
        <w:t xml:space="preserve">  </w:t>
      </w:r>
      <w:r w:rsidR="007F7A95">
        <w:rPr>
          <w:rFonts w:asciiTheme="minorEastAsia" w:hAnsiTheme="minorEastAsia" w:hint="eastAsia"/>
          <w:sz w:val="44"/>
          <w:szCs w:val="44"/>
        </w:rPr>
        <w:t>扣缴义务人</w:t>
      </w:r>
    </w:p>
    <w:p w14:paraId="41BB3524" w14:textId="45F276ED" w:rsidR="00B85160" w:rsidRDefault="00B85160">
      <w:pPr>
        <w:rPr>
          <w:b/>
          <w:bCs/>
          <w:sz w:val="24"/>
          <w:szCs w:val="24"/>
        </w:rPr>
      </w:pPr>
    </w:p>
    <w:p w14:paraId="74549F76" w14:textId="028B4DB9" w:rsidR="00B85160" w:rsidRPr="00374D70" w:rsidRDefault="00B85160" w:rsidP="00374D70">
      <w:pPr>
        <w:spacing w:beforeLines="50" w:before="156" w:line="480" w:lineRule="atLeast"/>
        <w:rPr>
          <w:color w:val="000000" w:themeColor="text1"/>
          <w:sz w:val="24"/>
          <w:szCs w:val="24"/>
        </w:rPr>
      </w:pPr>
    </w:p>
    <w:p w14:paraId="459A9F48" w14:textId="77777777" w:rsidR="00374D70" w:rsidRPr="00374D70" w:rsidRDefault="00374D70" w:rsidP="00374D70">
      <w:pPr>
        <w:pStyle w:val="1"/>
        <w:spacing w:beforeLines="50" w:before="156" w:after="0" w:line="480" w:lineRule="atLeast"/>
        <w:rPr>
          <w:color w:val="000000" w:themeColor="text1"/>
          <w:sz w:val="24"/>
          <w:szCs w:val="24"/>
        </w:rPr>
      </w:pPr>
      <w:bookmarkStart w:id="0" w:name="_Toc13326389"/>
      <w:r w:rsidRPr="00374D70">
        <w:rPr>
          <w:rFonts w:hint="eastAsia"/>
          <w:color w:val="000000" w:themeColor="text1"/>
          <w:sz w:val="24"/>
          <w:szCs w:val="24"/>
        </w:rPr>
        <w:t>一、扣缴义务人的确定</w:t>
      </w:r>
      <w:bookmarkEnd w:id="0"/>
    </w:p>
    <w:p w14:paraId="57DD54C9" w14:textId="77777777" w:rsidR="00374D70" w:rsidRPr="00374D70" w:rsidRDefault="00374D70" w:rsidP="00374D7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74D70">
        <w:rPr>
          <w:rFonts w:asciiTheme="minorEastAsia" w:hAnsiTheme="minorEastAsia" w:cs="宋体" w:hint="eastAsia"/>
          <w:color w:val="000000" w:themeColor="text1"/>
          <w:kern w:val="0"/>
          <w:sz w:val="24"/>
          <w:szCs w:val="24"/>
        </w:rPr>
        <w:t>个人所得税，以支付所得的单位或者个人为扣缴义务人。</w:t>
      </w:r>
    </w:p>
    <w:p w14:paraId="610A95BC" w14:textId="4384AC6B" w:rsidR="00374D70" w:rsidRPr="00374D70" w:rsidRDefault="00374D70" w:rsidP="00374D70">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74D70">
        <w:rPr>
          <w:rFonts w:asciiTheme="minorEastAsia" w:hAnsiTheme="minorEastAsia" w:cs="宋体" w:hint="eastAsia"/>
          <w:color w:val="000000" w:themeColor="text1"/>
          <w:kern w:val="0"/>
          <w:sz w:val="24"/>
          <w:szCs w:val="24"/>
        </w:rPr>
        <w:t>（</w:t>
      </w:r>
      <w:r w:rsidR="00841EC9">
        <w:rPr>
          <w:rFonts w:asciiTheme="minorEastAsia" w:hAnsiTheme="minorEastAsia" w:cs="宋体" w:hint="eastAsia"/>
          <w:kern w:val="0"/>
          <w:sz w:val="24"/>
          <w:szCs w:val="24"/>
        </w:rPr>
        <w:t>《</w:t>
      </w:r>
      <w:hyperlink r:id="rId6" w:history="1">
        <w:r w:rsidR="00841EC9">
          <w:rPr>
            <w:rStyle w:val="a8"/>
            <w:rFonts w:asciiTheme="minorEastAsia" w:hAnsiTheme="minorEastAsia" w:cs="宋体" w:hint="eastAsia"/>
            <w:kern w:val="0"/>
            <w:sz w:val="24"/>
            <w:szCs w:val="24"/>
          </w:rPr>
          <w:t>个人所得税法</w:t>
        </w:r>
      </w:hyperlink>
      <w:r w:rsidR="00841EC9">
        <w:rPr>
          <w:rFonts w:asciiTheme="minorEastAsia" w:hAnsiTheme="minorEastAsia" w:cs="宋体" w:hint="eastAsia"/>
          <w:kern w:val="0"/>
          <w:sz w:val="24"/>
          <w:szCs w:val="24"/>
        </w:rPr>
        <w:t>》</w:t>
      </w:r>
      <w:r w:rsidRPr="00374D70">
        <w:rPr>
          <w:rFonts w:asciiTheme="minorEastAsia" w:hAnsiTheme="minorEastAsia" w:cs="宋体" w:hint="eastAsia"/>
          <w:color w:val="000000" w:themeColor="text1"/>
          <w:kern w:val="0"/>
          <w:sz w:val="24"/>
          <w:szCs w:val="24"/>
        </w:rPr>
        <w:t>第九条第一款）</w:t>
      </w:r>
    </w:p>
    <w:p w14:paraId="6E1F2AA8" w14:textId="77777777" w:rsidR="00374D70" w:rsidRPr="00374D70" w:rsidRDefault="00374D70" w:rsidP="00374D70">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74D70">
        <w:rPr>
          <w:rFonts w:asciiTheme="minorEastAsia" w:eastAsiaTheme="minorEastAsia" w:hAnsiTheme="minorEastAsia" w:hint="eastAsia"/>
          <w:color w:val="000000" w:themeColor="text1"/>
        </w:rPr>
        <w:t>扣缴义务人向个人支付应税款项时，应当依照个人所得税法规定预扣或者代扣税款，按时缴库，并专项记载备查。</w:t>
      </w:r>
    </w:p>
    <w:p w14:paraId="3CB4554F" w14:textId="7C7ED518" w:rsidR="00374D70" w:rsidRPr="00374D70" w:rsidRDefault="0000245F" w:rsidP="00374D70">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1" w:name="_Hlk53720939"/>
      <w:r>
        <w:rPr>
          <w:rFonts w:asciiTheme="minorEastAsia" w:hAnsiTheme="minorEastAsia" w:hint="eastAsia"/>
        </w:rPr>
        <w:t>（《</w:t>
      </w:r>
      <w:hyperlink r:id="rId7" w:history="1">
        <w:r>
          <w:rPr>
            <w:rStyle w:val="a8"/>
            <w:rFonts w:asciiTheme="minorEastAsia" w:hAnsiTheme="minorEastAsia" w:hint="eastAsia"/>
          </w:rPr>
          <w:t>个人所得税法实施条例</w:t>
        </w:r>
      </w:hyperlink>
      <w:r>
        <w:rPr>
          <w:rFonts w:asciiTheme="minorEastAsia" w:hAnsiTheme="minorEastAsia" w:hint="eastAsia"/>
        </w:rPr>
        <w:t>》</w:t>
      </w:r>
      <w:bookmarkEnd w:id="1"/>
      <w:r w:rsidR="00374D70" w:rsidRPr="00374D70">
        <w:rPr>
          <w:rFonts w:asciiTheme="minorEastAsia" w:eastAsiaTheme="minorEastAsia" w:hAnsiTheme="minorEastAsia" w:hint="eastAsia"/>
          <w:color w:val="000000" w:themeColor="text1"/>
        </w:rPr>
        <w:t>第二十四条第一款）</w:t>
      </w:r>
    </w:p>
    <w:p w14:paraId="6D398F4A" w14:textId="77777777" w:rsidR="00374D70" w:rsidRPr="00374D70" w:rsidRDefault="00374D70" w:rsidP="00374D70">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74D70">
        <w:rPr>
          <w:rFonts w:asciiTheme="minorEastAsia" w:eastAsiaTheme="minorEastAsia" w:hAnsiTheme="minorEastAsia" w:hint="eastAsia"/>
          <w:color w:val="000000" w:themeColor="text1"/>
        </w:rPr>
        <w:t>前款所称支付，包括现金支付、汇拨支付、转账支付和以有价证券、实物以及其他形式的支付。</w:t>
      </w:r>
    </w:p>
    <w:p w14:paraId="543AF0AF" w14:textId="25D873D7" w:rsidR="00374D70" w:rsidRPr="00374D70" w:rsidRDefault="0000245F" w:rsidP="00374D70">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8" w:history="1">
        <w:r>
          <w:rPr>
            <w:rStyle w:val="a8"/>
            <w:rFonts w:asciiTheme="minorEastAsia" w:hAnsiTheme="minorEastAsia" w:hint="eastAsia"/>
          </w:rPr>
          <w:t>个人所得税法实施条例</w:t>
        </w:r>
      </w:hyperlink>
      <w:r>
        <w:rPr>
          <w:rFonts w:asciiTheme="minorEastAsia" w:hAnsiTheme="minorEastAsia" w:hint="eastAsia"/>
        </w:rPr>
        <w:t>》</w:t>
      </w:r>
      <w:r w:rsidR="00374D70" w:rsidRPr="00374D70">
        <w:rPr>
          <w:rFonts w:asciiTheme="minorEastAsia" w:eastAsiaTheme="minorEastAsia" w:hAnsiTheme="minorEastAsia" w:hint="eastAsia"/>
          <w:color w:val="000000" w:themeColor="text1"/>
        </w:rPr>
        <w:t>第二十四条第二款）</w:t>
      </w:r>
    </w:p>
    <w:p w14:paraId="74304B81" w14:textId="77777777" w:rsidR="00374D70" w:rsidRPr="00374D70" w:rsidRDefault="00374D70" w:rsidP="00374D70">
      <w:pPr>
        <w:pStyle w:val="2"/>
        <w:spacing w:beforeLines="50" w:before="156" w:after="0" w:line="480" w:lineRule="atLeast"/>
        <w:rPr>
          <w:color w:val="000000" w:themeColor="text1"/>
          <w:sz w:val="24"/>
          <w:szCs w:val="24"/>
        </w:rPr>
      </w:pPr>
      <w:bookmarkStart w:id="2" w:name="_Toc13326390"/>
      <w:r w:rsidRPr="00374D70">
        <w:rPr>
          <w:rFonts w:hint="eastAsia"/>
          <w:color w:val="000000" w:themeColor="text1"/>
          <w:sz w:val="24"/>
          <w:szCs w:val="24"/>
        </w:rPr>
        <w:t>附注（一）：多重支付的扣缴义务人的认定</w:t>
      </w:r>
      <w:bookmarkEnd w:id="2"/>
    </w:p>
    <w:p w14:paraId="7BCD7D36" w14:textId="629564A1" w:rsidR="00374D70" w:rsidRPr="005820E1" w:rsidRDefault="00374D70" w:rsidP="005820E1">
      <w:pPr>
        <w:pStyle w:val="a7"/>
        <w:shd w:val="clear" w:color="auto" w:fill="FFFFFF"/>
        <w:spacing w:beforeLines="50" w:before="156" w:line="360" w:lineRule="auto"/>
        <w:ind w:firstLineChars="200" w:firstLine="480"/>
        <w:rPr>
          <w:rFonts w:asciiTheme="minorEastAsia" w:eastAsiaTheme="minorEastAsia" w:hAnsiTheme="minorEastAsia"/>
          <w:color w:val="000000" w:themeColor="text1"/>
        </w:rPr>
      </w:pPr>
      <w:r w:rsidRPr="00374D70">
        <w:rPr>
          <w:rFonts w:asciiTheme="minorEastAsia" w:eastAsiaTheme="minorEastAsia" w:hAnsiTheme="minorEastAsia" w:hint="eastAsia"/>
          <w:color w:val="000000" w:themeColor="text1"/>
        </w:rPr>
        <w:t>扣缴义务人的认定，按照个人所得税法的法规，向个人支付所得的单位和个人为扣缴义务人。由于支付所得的单位和个人与取得所得的人之间有多重支付的</w:t>
      </w:r>
      <w:r w:rsidRPr="005820E1">
        <w:rPr>
          <w:rFonts w:asciiTheme="minorEastAsia" w:eastAsiaTheme="minorEastAsia" w:hAnsiTheme="minorEastAsia" w:hint="eastAsia"/>
          <w:color w:val="000000" w:themeColor="text1"/>
        </w:rPr>
        <w:t>现象，有时难以确定扣缴义务人。为保证全国执行的统一，现将认定标准法规为：凡税务机关认定对</w:t>
      </w:r>
      <w:r w:rsidR="00747D4E" w:rsidRPr="005820E1">
        <w:rPr>
          <w:rFonts w:asciiTheme="minorEastAsia" w:eastAsiaTheme="minorEastAsia" w:hAnsiTheme="minorEastAsia" w:hint="eastAsia"/>
          <w:color w:val="000000" w:themeColor="text1"/>
        </w:rPr>
        <w:t>所得的支付对象和支付数额有决定权的单位和个人，即为扣缴义务人。</w:t>
      </w:r>
    </w:p>
    <w:p w14:paraId="15496972" w14:textId="206061BE" w:rsidR="00374D70" w:rsidRPr="005820E1" w:rsidRDefault="00374D70" w:rsidP="005820E1">
      <w:pPr>
        <w:pStyle w:val="a7"/>
        <w:shd w:val="clear" w:color="auto" w:fill="FFFFFF"/>
        <w:spacing w:beforeLines="50" w:before="156" w:line="360" w:lineRule="auto"/>
        <w:ind w:firstLineChars="200" w:firstLine="480"/>
        <w:jc w:val="right"/>
        <w:rPr>
          <w:rFonts w:asciiTheme="minorEastAsia" w:eastAsiaTheme="minorEastAsia" w:hAnsiTheme="minorEastAsia"/>
          <w:color w:val="000000" w:themeColor="text1"/>
        </w:rPr>
      </w:pPr>
      <w:r w:rsidRPr="005820E1">
        <w:rPr>
          <w:rFonts w:asciiTheme="minorEastAsia" w:eastAsiaTheme="minorEastAsia" w:hAnsiTheme="minorEastAsia" w:hint="eastAsia"/>
          <w:color w:val="000000" w:themeColor="text1"/>
        </w:rPr>
        <w:t>（</w:t>
      </w:r>
      <w:hyperlink r:id="rId9" w:history="1">
        <w:r w:rsidRPr="005820E1">
          <w:rPr>
            <w:rStyle w:val="a8"/>
            <w:rFonts w:asciiTheme="minorEastAsia" w:eastAsiaTheme="minorEastAsia" w:hAnsiTheme="minorEastAsia" w:hint="eastAsia"/>
            <w:shd w:val="clear" w:color="auto" w:fill="FFFFFF"/>
          </w:rPr>
          <w:t>国税函发[1996]602号</w:t>
        </w:r>
      </w:hyperlink>
      <w:r w:rsidRPr="005820E1">
        <w:rPr>
          <w:rFonts w:asciiTheme="minorEastAsia" w:eastAsiaTheme="minorEastAsia" w:hAnsiTheme="minorEastAsia" w:hint="eastAsia"/>
          <w:color w:val="000000" w:themeColor="text1"/>
          <w:shd w:val="clear" w:color="auto" w:fill="FFFFFF"/>
        </w:rPr>
        <w:t>第三条</w:t>
      </w:r>
      <w:r w:rsidRPr="005820E1">
        <w:rPr>
          <w:rFonts w:asciiTheme="minorEastAsia" w:eastAsiaTheme="minorEastAsia" w:hAnsiTheme="minorEastAsia" w:hint="eastAsia"/>
          <w:color w:val="000000" w:themeColor="text1"/>
        </w:rPr>
        <w:t>）</w:t>
      </w:r>
    </w:p>
    <w:p w14:paraId="392B04B5" w14:textId="4F456B9E" w:rsidR="005820E1" w:rsidRPr="005820E1" w:rsidRDefault="005820E1" w:rsidP="005820E1">
      <w:pPr>
        <w:pStyle w:val="3"/>
        <w:spacing w:before="50" w:after="0" w:line="360" w:lineRule="auto"/>
        <w:rPr>
          <w:sz w:val="24"/>
          <w:szCs w:val="24"/>
        </w:rPr>
      </w:pPr>
      <w:r w:rsidRPr="005820E1">
        <w:rPr>
          <w:rFonts w:hint="eastAsia"/>
          <w:sz w:val="24"/>
          <w:szCs w:val="24"/>
        </w:rPr>
        <w:t>问</w:t>
      </w:r>
      <w:r w:rsidRPr="005820E1">
        <w:rPr>
          <w:rFonts w:hint="eastAsia"/>
          <w:sz w:val="24"/>
          <w:szCs w:val="24"/>
        </w:rPr>
        <w:t>1</w:t>
      </w:r>
      <w:r w:rsidRPr="005820E1">
        <w:rPr>
          <w:rFonts w:hint="eastAsia"/>
          <w:sz w:val="24"/>
          <w:szCs w:val="24"/>
        </w:rPr>
        <w:t>：代发工资，是否属于个税扣缴义务人</w:t>
      </w:r>
      <w:r w:rsidRPr="005820E1">
        <w:rPr>
          <w:rFonts w:hint="eastAsia"/>
          <w:sz w:val="24"/>
          <w:szCs w:val="24"/>
        </w:rPr>
        <w:t>?</w:t>
      </w:r>
    </w:p>
    <w:p w14:paraId="04628B03" w14:textId="77777777" w:rsidR="005820E1" w:rsidRPr="005820E1" w:rsidRDefault="005820E1" w:rsidP="005820E1">
      <w:pPr>
        <w:widowControl/>
        <w:shd w:val="clear" w:color="auto" w:fill="FFFFFF"/>
        <w:spacing w:before="50" w:line="360" w:lineRule="auto"/>
        <w:ind w:firstLine="480"/>
        <w:rPr>
          <w:rFonts w:ascii="宋体" w:eastAsia="宋体" w:hAnsi="宋体" w:cs="宋体"/>
          <w:color w:val="333333"/>
          <w:kern w:val="0"/>
          <w:sz w:val="24"/>
          <w:szCs w:val="24"/>
        </w:rPr>
      </w:pPr>
      <w:r w:rsidRPr="005820E1">
        <w:rPr>
          <w:rFonts w:ascii="宋体" w:eastAsia="宋体" w:hAnsi="宋体" w:cs="宋体" w:hint="eastAsia"/>
          <w:color w:val="333333"/>
          <w:kern w:val="0"/>
          <w:sz w:val="24"/>
          <w:szCs w:val="24"/>
        </w:rPr>
        <w:t>公司项目部与劳务队伍签订劳务分包合同，每个月项目部代发分包单位的民工工资，是否需要代扣代缴个人所得税？</w:t>
      </w:r>
    </w:p>
    <w:p w14:paraId="537B9A07" w14:textId="77777777" w:rsidR="005820E1" w:rsidRPr="005820E1" w:rsidRDefault="005820E1" w:rsidP="005820E1">
      <w:pPr>
        <w:widowControl/>
        <w:shd w:val="clear" w:color="auto" w:fill="FFFFFF"/>
        <w:spacing w:line="480" w:lineRule="atLeast"/>
        <w:ind w:firstLine="480"/>
        <w:rPr>
          <w:rFonts w:ascii="宋体" w:eastAsia="宋体" w:hAnsi="宋体" w:cs="宋体" w:hint="eastAsia"/>
          <w:color w:val="333333"/>
          <w:kern w:val="0"/>
          <w:sz w:val="24"/>
          <w:szCs w:val="24"/>
        </w:rPr>
      </w:pPr>
      <w:hyperlink r:id="rId10" w:tgtFrame="_self" w:history="1">
        <w:r w:rsidRPr="005820E1">
          <w:rPr>
            <w:rFonts w:ascii="宋体" w:eastAsia="宋体" w:hAnsi="宋体" w:cs="宋体" w:hint="eastAsia"/>
            <w:b/>
            <w:bCs/>
            <w:color w:val="6E6E6E"/>
            <w:kern w:val="0"/>
            <w:sz w:val="24"/>
            <w:szCs w:val="24"/>
            <w:u w:val="single"/>
          </w:rPr>
          <w:t>参考</w:t>
        </w:r>
      </w:hyperlink>
      <w:r w:rsidRPr="005820E1">
        <w:rPr>
          <w:rFonts w:ascii="宋体" w:eastAsia="宋体" w:hAnsi="宋体" w:cs="宋体" w:hint="eastAsia"/>
          <w:color w:val="333333"/>
          <w:kern w:val="0"/>
          <w:sz w:val="24"/>
          <w:szCs w:val="24"/>
        </w:rPr>
        <w:t>：一、根据《</w:t>
      </w:r>
      <w:hyperlink r:id="rId11" w:tgtFrame="_self" w:history="1">
        <w:r w:rsidRPr="005820E1">
          <w:rPr>
            <w:rFonts w:ascii="宋体" w:eastAsia="宋体" w:hAnsi="宋体" w:cs="宋体" w:hint="eastAsia"/>
            <w:color w:val="6E6E6E"/>
            <w:kern w:val="0"/>
            <w:sz w:val="24"/>
            <w:szCs w:val="24"/>
            <w:u w:val="single"/>
          </w:rPr>
          <w:t>中华人民共和国个人所得税法</w:t>
        </w:r>
      </w:hyperlink>
      <w:r w:rsidRPr="005820E1">
        <w:rPr>
          <w:rFonts w:ascii="宋体" w:eastAsia="宋体" w:hAnsi="宋体" w:cs="宋体" w:hint="eastAsia"/>
          <w:color w:val="333333"/>
          <w:kern w:val="0"/>
          <w:sz w:val="24"/>
          <w:szCs w:val="24"/>
        </w:rPr>
        <w:t>》第九条规定：“个人所得税以所得人为纳税人，以支付所得的单位或者个人为扣缴义务人。”</w:t>
      </w:r>
    </w:p>
    <w:p w14:paraId="47D0D143" w14:textId="77777777" w:rsidR="005820E1" w:rsidRPr="005820E1" w:rsidRDefault="005820E1" w:rsidP="005820E1">
      <w:pPr>
        <w:widowControl/>
        <w:shd w:val="clear" w:color="auto" w:fill="FFFFFF"/>
        <w:spacing w:line="480" w:lineRule="atLeast"/>
        <w:ind w:firstLine="480"/>
        <w:rPr>
          <w:rFonts w:ascii="宋体" w:eastAsia="宋体" w:hAnsi="宋体" w:cs="宋体" w:hint="eastAsia"/>
          <w:color w:val="333333"/>
          <w:kern w:val="0"/>
          <w:sz w:val="24"/>
          <w:szCs w:val="24"/>
        </w:rPr>
      </w:pPr>
      <w:r w:rsidRPr="005820E1">
        <w:rPr>
          <w:rFonts w:ascii="宋体" w:eastAsia="宋体" w:hAnsi="宋体" w:cs="宋体" w:hint="eastAsia"/>
          <w:color w:val="333333"/>
          <w:kern w:val="0"/>
          <w:sz w:val="24"/>
          <w:szCs w:val="24"/>
        </w:rPr>
        <w:lastRenderedPageBreak/>
        <w:t>二、根据《国家税务总局关于个人所得税偷税案件查处中有关问题的补充通知》（</w:t>
      </w:r>
      <w:hyperlink r:id="rId12" w:tgtFrame="_self" w:history="1">
        <w:r w:rsidRPr="005820E1">
          <w:rPr>
            <w:rFonts w:ascii="宋体" w:eastAsia="宋体" w:hAnsi="宋体" w:cs="宋体" w:hint="eastAsia"/>
            <w:color w:val="6E6E6E"/>
            <w:kern w:val="0"/>
            <w:sz w:val="24"/>
            <w:szCs w:val="24"/>
            <w:u w:val="single"/>
          </w:rPr>
          <w:t>国税函发〔1996〕602号</w:t>
        </w:r>
      </w:hyperlink>
      <w:r w:rsidRPr="005820E1">
        <w:rPr>
          <w:rFonts w:ascii="宋体" w:eastAsia="宋体" w:hAnsi="宋体" w:cs="宋体" w:hint="eastAsia"/>
          <w:color w:val="333333"/>
          <w:kern w:val="0"/>
          <w:sz w:val="24"/>
          <w:szCs w:val="24"/>
        </w:rPr>
        <w:t>）第三条规定：“扣缴义务人的认定，按照个人所得税法的规定，向个人支付所得的单位和个人为扣缴义务人。由于支付所得的单位和个人与取得所得的人之间有多重支付的现象，有时难以确定扣缴义务人。为保证全国执行的统一，现将认定标准规定为：凡税务机关认定对所得的支付对象和支付数额有决定权的单位和个人，即为扣缴义务人。”</w:t>
      </w:r>
    </w:p>
    <w:p w14:paraId="2C9284B3" w14:textId="67790724" w:rsidR="005820E1" w:rsidRPr="00374D70" w:rsidRDefault="005820E1" w:rsidP="00941500">
      <w:pPr>
        <w:widowControl/>
        <w:shd w:val="clear" w:color="auto" w:fill="FFFFFF"/>
        <w:spacing w:line="480" w:lineRule="atLeast"/>
        <w:ind w:firstLine="480"/>
        <w:rPr>
          <w:rFonts w:asciiTheme="minorEastAsia" w:hAnsiTheme="minorEastAsia" w:hint="eastAsia"/>
          <w:color w:val="000000" w:themeColor="text1"/>
        </w:rPr>
      </w:pPr>
      <w:r w:rsidRPr="005820E1">
        <w:rPr>
          <w:rFonts w:ascii="宋体" w:eastAsia="宋体" w:hAnsi="宋体" w:cs="宋体" w:hint="eastAsia"/>
          <w:color w:val="333333"/>
          <w:kern w:val="0"/>
          <w:sz w:val="24"/>
          <w:szCs w:val="24"/>
        </w:rPr>
        <w:t>上述回复仅供参考。</w:t>
      </w:r>
    </w:p>
    <w:p w14:paraId="3C5EF263" w14:textId="77777777" w:rsidR="00374D70" w:rsidRPr="00374D70" w:rsidRDefault="00374D70" w:rsidP="00374D70">
      <w:pPr>
        <w:pStyle w:val="2"/>
        <w:spacing w:beforeLines="50" w:before="156" w:after="0" w:line="480" w:lineRule="atLeast"/>
        <w:rPr>
          <w:color w:val="000000" w:themeColor="text1"/>
          <w:sz w:val="24"/>
          <w:szCs w:val="24"/>
        </w:rPr>
      </w:pPr>
      <w:r w:rsidRPr="00374D70">
        <w:rPr>
          <w:rFonts w:hint="eastAsia"/>
          <w:color w:val="000000" w:themeColor="text1"/>
          <w:sz w:val="24"/>
          <w:szCs w:val="24"/>
        </w:rPr>
        <w:t>附注（二）：股息红利所得的扣缴义务人</w:t>
      </w:r>
    </w:p>
    <w:p w14:paraId="21858DBE" w14:textId="77777777" w:rsidR="00374D70" w:rsidRPr="00374D70" w:rsidRDefault="00374D70" w:rsidP="00374D7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74D70">
        <w:rPr>
          <w:rFonts w:asciiTheme="minorEastAsia" w:hAnsiTheme="minorEastAsia" w:cs="宋体" w:hint="eastAsia"/>
          <w:color w:val="000000" w:themeColor="text1"/>
          <w:kern w:val="0"/>
          <w:sz w:val="24"/>
          <w:szCs w:val="24"/>
        </w:rPr>
        <w:t>利息、股息、红利所得实行源泉扣缴的征收方式，其扣缴义务人应是直接向纳税义务人支付利息、股息、红利的单位。</w:t>
      </w:r>
    </w:p>
    <w:p w14:paraId="1B9B7A55" w14:textId="23DF57E9" w:rsidR="00374D70" w:rsidRPr="00374D70" w:rsidRDefault="00374D70" w:rsidP="00374D70">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374D70">
        <w:rPr>
          <w:rFonts w:asciiTheme="minorEastAsia" w:eastAsiaTheme="minorEastAsia" w:hAnsiTheme="minorEastAsia" w:hint="eastAsia"/>
          <w:color w:val="000000" w:themeColor="text1"/>
        </w:rPr>
        <w:t>（</w:t>
      </w:r>
      <w:hyperlink r:id="rId13" w:history="1">
        <w:r w:rsidRPr="00747D4E">
          <w:rPr>
            <w:rStyle w:val="a8"/>
            <w:rFonts w:asciiTheme="minorEastAsia" w:eastAsiaTheme="minorEastAsia" w:hAnsiTheme="minorEastAsia" w:hint="eastAsia"/>
            <w:shd w:val="clear" w:color="auto" w:fill="FFFFFF"/>
          </w:rPr>
          <w:t>国税发[1994]89号</w:t>
        </w:r>
      </w:hyperlink>
      <w:r w:rsidRPr="00374D70">
        <w:rPr>
          <w:rFonts w:asciiTheme="minorEastAsia" w:eastAsiaTheme="minorEastAsia" w:hAnsiTheme="minorEastAsia" w:hint="eastAsia"/>
          <w:color w:val="000000" w:themeColor="text1"/>
          <w:shd w:val="clear" w:color="auto" w:fill="FFFFFF"/>
        </w:rPr>
        <w:t>第十八条</w:t>
      </w:r>
      <w:r w:rsidRPr="00374D70">
        <w:rPr>
          <w:rFonts w:asciiTheme="minorEastAsia" w:eastAsiaTheme="minorEastAsia" w:hAnsiTheme="minorEastAsia" w:hint="eastAsia"/>
          <w:color w:val="000000" w:themeColor="text1"/>
        </w:rPr>
        <w:t>）</w:t>
      </w:r>
    </w:p>
    <w:p w14:paraId="36B0CD38" w14:textId="77777777" w:rsidR="00374D70" w:rsidRPr="00374D70" w:rsidRDefault="00374D70" w:rsidP="00374D70">
      <w:pPr>
        <w:pStyle w:val="1"/>
        <w:spacing w:beforeLines="50" w:before="156" w:after="0" w:line="480" w:lineRule="atLeast"/>
        <w:rPr>
          <w:rFonts w:cs="宋体"/>
          <w:color w:val="000000" w:themeColor="text1"/>
          <w:kern w:val="0"/>
          <w:sz w:val="24"/>
          <w:szCs w:val="24"/>
        </w:rPr>
      </w:pPr>
      <w:bookmarkStart w:id="3" w:name="_Toc13326393"/>
      <w:r w:rsidRPr="00374D70">
        <w:rPr>
          <w:rFonts w:hint="eastAsia"/>
          <w:color w:val="000000" w:themeColor="text1"/>
          <w:sz w:val="24"/>
          <w:szCs w:val="24"/>
        </w:rPr>
        <w:t>二、扣缴义务人的义务</w:t>
      </w:r>
      <w:bookmarkEnd w:id="3"/>
    </w:p>
    <w:p w14:paraId="37BDBBFB" w14:textId="77777777" w:rsidR="00374D70" w:rsidRPr="00374D70" w:rsidRDefault="00374D70" w:rsidP="00374D7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74D70">
        <w:rPr>
          <w:rFonts w:asciiTheme="minorEastAsia" w:hAnsiTheme="minorEastAsia" w:cs="宋体" w:hint="eastAsia"/>
          <w:color w:val="000000" w:themeColor="text1"/>
          <w:kern w:val="0"/>
          <w:sz w:val="24"/>
          <w:szCs w:val="24"/>
        </w:rPr>
        <w:t>扣缴义务人应当按照国家规定办理全员全额扣缴申报，并向纳税人提供其个人所得和已扣缴税款等信息。</w:t>
      </w:r>
    </w:p>
    <w:p w14:paraId="04E14F79" w14:textId="74D94D7D" w:rsidR="00374D70" w:rsidRPr="00374D70" w:rsidRDefault="00374D70" w:rsidP="00374D70">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74D70">
        <w:rPr>
          <w:rFonts w:asciiTheme="minorEastAsia" w:hAnsiTheme="minorEastAsia" w:cs="宋体" w:hint="eastAsia"/>
          <w:color w:val="000000" w:themeColor="text1"/>
          <w:kern w:val="0"/>
          <w:sz w:val="24"/>
          <w:szCs w:val="24"/>
        </w:rPr>
        <w:t>（</w:t>
      </w:r>
      <w:r w:rsidR="00841EC9">
        <w:rPr>
          <w:rFonts w:asciiTheme="minorEastAsia" w:hAnsiTheme="minorEastAsia" w:cs="宋体" w:hint="eastAsia"/>
          <w:kern w:val="0"/>
          <w:sz w:val="24"/>
          <w:szCs w:val="24"/>
        </w:rPr>
        <w:t>《</w:t>
      </w:r>
      <w:hyperlink r:id="rId14" w:history="1">
        <w:r w:rsidR="00841EC9">
          <w:rPr>
            <w:rStyle w:val="a8"/>
            <w:rFonts w:asciiTheme="minorEastAsia" w:hAnsiTheme="minorEastAsia" w:cs="宋体" w:hint="eastAsia"/>
            <w:kern w:val="0"/>
            <w:sz w:val="24"/>
            <w:szCs w:val="24"/>
          </w:rPr>
          <w:t>个人所得税法</w:t>
        </w:r>
      </w:hyperlink>
      <w:r w:rsidR="00841EC9">
        <w:rPr>
          <w:rFonts w:asciiTheme="minorEastAsia" w:hAnsiTheme="minorEastAsia" w:cs="宋体" w:hint="eastAsia"/>
          <w:kern w:val="0"/>
          <w:sz w:val="24"/>
          <w:szCs w:val="24"/>
        </w:rPr>
        <w:t>》</w:t>
      </w:r>
      <w:r w:rsidRPr="00374D70">
        <w:rPr>
          <w:rFonts w:asciiTheme="minorEastAsia" w:hAnsiTheme="minorEastAsia" w:cs="宋体" w:hint="eastAsia"/>
          <w:color w:val="000000" w:themeColor="text1"/>
          <w:kern w:val="0"/>
          <w:sz w:val="24"/>
          <w:szCs w:val="24"/>
        </w:rPr>
        <w:t>第十条第二款）</w:t>
      </w:r>
    </w:p>
    <w:p w14:paraId="52B28CC7" w14:textId="4B9A8865" w:rsidR="00374D70" w:rsidRPr="00374D70" w:rsidRDefault="00CB13C4" w:rsidP="00374D70">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hyperlink r:id="rId15" w:history="1">
        <w:r w:rsidR="003130EF">
          <w:rPr>
            <w:rStyle w:val="a8"/>
            <w:rFonts w:asciiTheme="minorEastAsia" w:hAnsiTheme="minorEastAsia" w:hint="eastAsia"/>
          </w:rPr>
          <w:t>个人所得税法</w:t>
        </w:r>
      </w:hyperlink>
      <w:r w:rsidR="00374D70" w:rsidRPr="00374D70">
        <w:rPr>
          <w:rFonts w:asciiTheme="minorEastAsia" w:eastAsiaTheme="minorEastAsia" w:hAnsiTheme="minorEastAsia" w:hint="eastAsia"/>
          <w:color w:val="000000" w:themeColor="text1"/>
        </w:rPr>
        <w:t>第十条第二款所称全员全额扣缴申报，是指扣缴义务人在代扣税款的次月十五日内，向主管税务机关报送其支付所得的</w:t>
      </w:r>
      <w:r w:rsidR="00374D70" w:rsidRPr="00374D70">
        <w:rPr>
          <w:rFonts w:asciiTheme="minorEastAsia" w:eastAsiaTheme="minorEastAsia" w:hAnsiTheme="minorEastAsia" w:hint="eastAsia"/>
          <w:b/>
          <w:bCs/>
          <w:color w:val="000000" w:themeColor="text1"/>
        </w:rPr>
        <w:t>所有个人</w:t>
      </w:r>
      <w:r w:rsidR="00374D70" w:rsidRPr="00374D70">
        <w:rPr>
          <w:rFonts w:asciiTheme="minorEastAsia" w:eastAsiaTheme="minorEastAsia" w:hAnsiTheme="minorEastAsia" w:hint="eastAsia"/>
          <w:color w:val="000000" w:themeColor="text1"/>
        </w:rPr>
        <w:t>的有关信息、支付所得数额、扣除事项和数额、扣缴税款的具体数额和总额以及其他相关涉税信息资料。</w:t>
      </w:r>
    </w:p>
    <w:p w14:paraId="26CF947F" w14:textId="0D8888E2" w:rsidR="00374D70" w:rsidRPr="00374D70" w:rsidRDefault="0000245F" w:rsidP="00374D70">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Pr>
          <w:rFonts w:asciiTheme="minorEastAsia" w:hAnsiTheme="minorEastAsia" w:hint="eastAsia"/>
        </w:rPr>
        <w:t>（</w:t>
      </w:r>
      <w:r>
        <w:rPr>
          <w:rFonts w:asciiTheme="minorEastAsia" w:hAnsiTheme="minorEastAsia" w:hint="eastAsia"/>
          <w:kern w:val="0"/>
          <w:sz w:val="24"/>
          <w:szCs w:val="24"/>
        </w:rPr>
        <w:t>《</w:t>
      </w:r>
      <w:hyperlink r:id="rId16"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374D70" w:rsidRPr="00374D70">
        <w:rPr>
          <w:rFonts w:asciiTheme="minorEastAsia" w:hAnsiTheme="minorEastAsia" w:hint="eastAsia"/>
          <w:color w:val="000000" w:themeColor="text1"/>
          <w:sz w:val="24"/>
          <w:szCs w:val="24"/>
        </w:rPr>
        <w:t>第二十六条）</w:t>
      </w:r>
    </w:p>
    <w:p w14:paraId="5507C987" w14:textId="77777777" w:rsidR="00374D70" w:rsidRPr="00374D70" w:rsidRDefault="00374D70" w:rsidP="00374D70">
      <w:pPr>
        <w:spacing w:beforeLines="50" w:before="156" w:line="480" w:lineRule="atLeast"/>
        <w:rPr>
          <w:rFonts w:asciiTheme="minorEastAsia" w:hAnsiTheme="minorEastAsia"/>
          <w:color w:val="000000" w:themeColor="text1"/>
          <w:sz w:val="24"/>
          <w:szCs w:val="24"/>
        </w:rPr>
      </w:pPr>
    </w:p>
    <w:sectPr w:rsidR="00374D70" w:rsidRPr="00374D70">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A40A3" w14:textId="77777777" w:rsidR="00CB13C4" w:rsidRDefault="00CB13C4" w:rsidP="00B85160">
      <w:r>
        <w:separator/>
      </w:r>
    </w:p>
  </w:endnote>
  <w:endnote w:type="continuationSeparator" w:id="0">
    <w:p w14:paraId="05B4F8CF" w14:textId="77777777" w:rsidR="00CB13C4" w:rsidRDefault="00CB13C4"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7D4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7D4E">
              <w:rPr>
                <w:b/>
                <w:bCs/>
                <w:noProof/>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4B04D" w14:textId="77777777" w:rsidR="00CB13C4" w:rsidRDefault="00CB13C4" w:rsidP="00B85160">
      <w:r>
        <w:separator/>
      </w:r>
    </w:p>
  </w:footnote>
  <w:footnote w:type="continuationSeparator" w:id="0">
    <w:p w14:paraId="1D1BA198" w14:textId="77777777" w:rsidR="00CB13C4" w:rsidRDefault="00CB13C4"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CA3"/>
    <w:rsid w:val="0000245F"/>
    <w:rsid w:val="000F59AB"/>
    <w:rsid w:val="003130EF"/>
    <w:rsid w:val="00374D70"/>
    <w:rsid w:val="0046456A"/>
    <w:rsid w:val="004C7AB4"/>
    <w:rsid w:val="004D7508"/>
    <w:rsid w:val="005820E1"/>
    <w:rsid w:val="007447CC"/>
    <w:rsid w:val="00747D4E"/>
    <w:rsid w:val="0078767E"/>
    <w:rsid w:val="007F7A95"/>
    <w:rsid w:val="00841EC9"/>
    <w:rsid w:val="00941500"/>
    <w:rsid w:val="009B0AB0"/>
    <w:rsid w:val="00AC031C"/>
    <w:rsid w:val="00B85160"/>
    <w:rsid w:val="00BD35B5"/>
    <w:rsid w:val="00CB13C4"/>
    <w:rsid w:val="00D06CA3"/>
    <w:rsid w:val="00EF01A0"/>
    <w:rsid w:val="00F57C18"/>
    <w:rsid w:val="00F8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docId w15:val="{7592607B-29B7-4CE5-BD88-CD0DDEB1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2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47.html" TargetMode="External"/><Relationship Id="rId13" Type="http://schemas.openxmlformats.org/officeDocument/2006/relationships/hyperlink" Target="http://ssfb86.com/index/News/detail/newsid/5492.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fb86.com/index/News/detail/newsid/247.html" TargetMode="External"/><Relationship Id="rId12" Type="http://schemas.openxmlformats.org/officeDocument/2006/relationships/hyperlink" Target="http://ssfb86.com/index/News/detail/newsid/5109.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fb86.com/index/News/detail/newsid/247.html" TargetMode="External"/><Relationship Id="rId1" Type="http://schemas.openxmlformats.org/officeDocument/2006/relationships/styles" Target="styles.xml"/><Relationship Id="rId6" Type="http://schemas.openxmlformats.org/officeDocument/2006/relationships/hyperlink" Target="http://ssfb86.com/index/News/detail/newsid/310.html" TargetMode="External"/><Relationship Id="rId11" Type="http://schemas.openxmlformats.org/officeDocument/2006/relationships/hyperlink" Target="http://ssfb86.com/index/News/detail/newsid/310.html" TargetMode="External"/><Relationship Id="rId5" Type="http://schemas.openxmlformats.org/officeDocument/2006/relationships/endnotes" Target="endnotes.xml"/><Relationship Id="rId15" Type="http://schemas.openxmlformats.org/officeDocument/2006/relationships/hyperlink" Target="http://ssfb86.com/index/News/detail/newsid/310.html" TargetMode="External"/><Relationship Id="rId10" Type="http://schemas.openxmlformats.org/officeDocument/2006/relationships/hyperlink" Target="http://www.chinatax.gov.cn/chinatax/n810356/n3255681/c5166266/content.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fb86.com/index/News/detail/newsid/5109.html" TargetMode="External"/><Relationship Id="rId14" Type="http://schemas.openxmlformats.org/officeDocument/2006/relationships/hyperlink" Target="http://ssfb86.com/index/News/detail/newsid/31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2020-07-12T00:50:00Z</dcterms:created>
  <dcterms:modified xsi:type="dcterms:W3CDTF">2021-07-09T12:33:00Z</dcterms:modified>
</cp:coreProperties>
</file>