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52C5" w14:textId="77777777" w:rsidR="00F568DF" w:rsidRDefault="00716F18">
      <w:pPr>
        <w:pStyle w:val="1"/>
        <w:spacing w:after="785"/>
      </w:pPr>
      <w:r>
        <w:t>附件</w:t>
      </w:r>
    </w:p>
    <w:p w14:paraId="637F3864" w14:textId="77777777" w:rsidR="00F568DF" w:rsidRDefault="00716F18">
      <w:pPr>
        <w:spacing w:after="781" w:line="259" w:lineRule="auto"/>
        <w:ind w:right="168" w:firstLine="0"/>
        <w:jc w:val="center"/>
      </w:pPr>
      <w:r>
        <w:rPr>
          <w:rFonts w:ascii="微软雅黑" w:eastAsia="微软雅黑" w:hAnsi="微软雅黑" w:cs="微软雅黑"/>
          <w:sz w:val="36"/>
        </w:rPr>
        <w:t>律师事务所相关业务会计处理规定</w:t>
      </w:r>
    </w:p>
    <w:p w14:paraId="22A332AA" w14:textId="77777777" w:rsidR="00F568DF" w:rsidRDefault="00716F18">
      <w:pPr>
        <w:ind w:left="-15"/>
      </w:pPr>
      <w:r>
        <w:t>为了规范律师事务所相关业务的会计核算，提高律师事务所会计信息质量，根据《中华人民共和国会计法》和国家统一的会计制度相关规定，结合律师事务所的实际情况，制定本规定。</w:t>
      </w:r>
    </w:p>
    <w:p w14:paraId="69DB7188" w14:textId="77777777" w:rsidR="00F568DF" w:rsidRDefault="00716F18">
      <w:pPr>
        <w:pStyle w:val="1"/>
        <w:ind w:left="636"/>
      </w:pPr>
      <w:r>
        <w:t>一、适用范围和基本原则</w:t>
      </w:r>
    </w:p>
    <w:p w14:paraId="229F5D14" w14:textId="77777777" w:rsidR="00F568DF" w:rsidRDefault="00716F18">
      <w:pPr>
        <w:spacing w:after="2" w:line="414" w:lineRule="auto"/>
        <w:ind w:left="-15" w:right="151" w:firstLine="641"/>
        <w:jc w:val="both"/>
      </w:pPr>
      <w:r>
        <w:t>本规定</w:t>
      </w:r>
      <w:r w:rsidRPr="005C4FD4">
        <w:rPr>
          <w:b/>
          <w:bCs/>
        </w:rPr>
        <w:t>适用于</w:t>
      </w:r>
      <w:r>
        <w:t>依照《中华人民共和国律师法》在中国境内设立的</w:t>
      </w:r>
      <w:r w:rsidRPr="005C4FD4">
        <w:rPr>
          <w:b/>
          <w:bCs/>
        </w:rPr>
        <w:t>合伙律师事务所</w:t>
      </w:r>
      <w:r>
        <w:t>及</w:t>
      </w:r>
      <w:r w:rsidRPr="005C4FD4">
        <w:rPr>
          <w:b/>
          <w:bCs/>
        </w:rPr>
        <w:t>个人律师事务所</w:t>
      </w:r>
      <w:r>
        <w:t>（以下统称事务所）。</w:t>
      </w:r>
    </w:p>
    <w:p w14:paraId="56C2869B" w14:textId="0DD6F371" w:rsidR="00F568DF" w:rsidRDefault="00716F18">
      <w:pPr>
        <w:ind w:left="-15"/>
      </w:pPr>
      <w:r>
        <w:t>事务所应当按照《小企业会计准则》（</w:t>
      </w:r>
      <w:hyperlink r:id="rId7" w:history="1">
        <w:r w:rsidRPr="005C4FD4">
          <w:rPr>
            <w:rStyle w:val="a3"/>
          </w:rPr>
          <w:t>财会〔</w:t>
        </w:r>
        <w:r w:rsidRPr="005C4FD4">
          <w:rPr>
            <w:rStyle w:val="a3"/>
            <w:rFonts w:ascii="宋体" w:eastAsia="宋体" w:hAnsi="宋体" w:cs="宋体"/>
          </w:rPr>
          <w:t>2011</w:t>
        </w:r>
        <w:r w:rsidRPr="005C4FD4">
          <w:rPr>
            <w:rStyle w:val="a3"/>
          </w:rPr>
          <w:t>〕</w:t>
        </w:r>
        <w:r w:rsidRPr="005C4FD4">
          <w:rPr>
            <w:rStyle w:val="a3"/>
            <w:rFonts w:ascii="宋体" w:eastAsia="宋体" w:hAnsi="宋体" w:cs="宋体"/>
          </w:rPr>
          <w:t xml:space="preserve">17 </w:t>
        </w:r>
        <w:r w:rsidRPr="005C4FD4">
          <w:rPr>
            <w:rStyle w:val="a3"/>
          </w:rPr>
          <w:t>号</w:t>
        </w:r>
      </w:hyperlink>
      <w:r>
        <w:t>）及本规定进行会计处理。根据小企业会计准则的有关规定，</w:t>
      </w:r>
      <w:r w:rsidRPr="005C4FD4">
        <w:rPr>
          <w:b/>
          <w:bCs/>
        </w:rPr>
        <w:t>事务所也可以选择执行企业会计准则</w:t>
      </w:r>
      <w:r>
        <w:t>。已执行企业会计准则的事务所不得转为执行小企业会计准则。</w:t>
      </w:r>
    </w:p>
    <w:p w14:paraId="7FB2C6F1" w14:textId="77777777" w:rsidR="00F568DF" w:rsidRDefault="00716F18">
      <w:pPr>
        <w:pStyle w:val="1"/>
        <w:ind w:left="636"/>
      </w:pPr>
      <w:r>
        <w:t>二、会计科目调整和主要账</w:t>
      </w:r>
      <w:proofErr w:type="gramStart"/>
      <w:r>
        <w:t>务</w:t>
      </w:r>
      <w:proofErr w:type="gramEnd"/>
      <w:r>
        <w:t>处理</w:t>
      </w:r>
    </w:p>
    <w:p w14:paraId="0886F534" w14:textId="77777777" w:rsidR="00F568DF" w:rsidRDefault="00716F18">
      <w:pPr>
        <w:ind w:left="-15"/>
      </w:pPr>
      <w:r>
        <w:t>事务所在执行小企业会计准则或企业会计准则的基础上，应当对有关会计科目作如下调整：</w:t>
      </w:r>
    </w:p>
    <w:p w14:paraId="3C7983DD" w14:textId="77777777" w:rsidR="00F568DF" w:rsidRDefault="00716F18">
      <w:pPr>
        <w:numPr>
          <w:ilvl w:val="0"/>
          <w:numId w:val="1"/>
        </w:numPr>
        <w:spacing w:after="176" w:line="259" w:lineRule="auto"/>
        <w:ind w:hanging="960"/>
      </w:pPr>
      <w:r>
        <w:rPr>
          <w:rFonts w:ascii="KaiTi" w:eastAsia="KaiTi" w:hAnsi="KaiTi" w:cs="KaiTi"/>
        </w:rPr>
        <w:lastRenderedPageBreak/>
        <w:t>资产类会计科目。</w:t>
      </w:r>
    </w:p>
    <w:p w14:paraId="1CC48310" w14:textId="77777777" w:rsidR="00F568DF" w:rsidRDefault="00716F18">
      <w:pPr>
        <w:spacing w:after="231" w:line="259" w:lineRule="auto"/>
        <w:ind w:left="10" w:right="-8" w:hanging="10"/>
        <w:jc w:val="right"/>
      </w:pPr>
      <w:r>
        <w:t>在“</w:t>
      </w:r>
      <w:r w:rsidRPr="005C4FD4">
        <w:rPr>
          <w:b/>
          <w:bCs/>
        </w:rPr>
        <w:t>其他应收款”科目下增设“代客户垫款</w:t>
      </w:r>
      <w:r>
        <w:t>”明细科目，</w:t>
      </w:r>
    </w:p>
    <w:p w14:paraId="39E4C51E" w14:textId="77777777" w:rsidR="00F568DF" w:rsidRDefault="00716F18">
      <w:pPr>
        <w:spacing w:after="2" w:line="414" w:lineRule="auto"/>
        <w:ind w:left="-5" w:right="151" w:hanging="10"/>
        <w:jc w:val="both"/>
      </w:pPr>
      <w:r>
        <w:t>核算事务所在从事法律服务活动</w:t>
      </w:r>
      <w:proofErr w:type="gramStart"/>
      <w:r>
        <w:t>过程中</w:t>
      </w:r>
      <w:r w:rsidRPr="005C4FD4">
        <w:rPr>
          <w:b/>
          <w:bCs/>
        </w:rPr>
        <w:t>代客户</w:t>
      </w:r>
      <w:proofErr w:type="gramEnd"/>
      <w:r w:rsidRPr="005C4FD4">
        <w:rPr>
          <w:b/>
          <w:bCs/>
        </w:rPr>
        <w:t>支付的过户费、诉讼费、仲裁费、鉴定费、评估费、查询复制费等各项垫付款项</w:t>
      </w:r>
      <w:r>
        <w:t xml:space="preserve">。事务所在垫付上述款项时，借记“其他应收款 </w:t>
      </w:r>
      <w:r>
        <w:rPr>
          <w:rFonts w:ascii="Times New Roman" w:eastAsia="Times New Roman" w:hAnsi="Times New Roman" w:cs="Times New Roman"/>
        </w:rPr>
        <w:t>——</w:t>
      </w:r>
      <w:r>
        <w:t>代客户垫款”科目，贷记“银行存款”等科目；事务所向客户收回上述款项时，做相反的会计分录。</w:t>
      </w:r>
    </w:p>
    <w:p w14:paraId="186AF49B" w14:textId="77777777" w:rsidR="00F568DF" w:rsidRDefault="00716F18">
      <w:pPr>
        <w:numPr>
          <w:ilvl w:val="0"/>
          <w:numId w:val="1"/>
        </w:numPr>
        <w:spacing w:after="176" w:line="259" w:lineRule="auto"/>
        <w:ind w:hanging="960"/>
      </w:pPr>
      <w:r>
        <w:rPr>
          <w:rFonts w:ascii="KaiTi" w:eastAsia="KaiTi" w:hAnsi="KaiTi" w:cs="KaiTi"/>
        </w:rPr>
        <w:t>负债类会计科目。</w:t>
      </w:r>
    </w:p>
    <w:p w14:paraId="5A369694" w14:textId="77777777" w:rsidR="00F568DF" w:rsidRDefault="00716F18">
      <w:pPr>
        <w:ind w:left="-15"/>
      </w:pPr>
      <w:r>
        <w:rPr>
          <w:rFonts w:ascii="宋体" w:eastAsia="宋体" w:hAnsi="宋体" w:cs="宋体"/>
        </w:rPr>
        <w:t>1.</w:t>
      </w:r>
      <w:r>
        <w:t>在</w:t>
      </w:r>
      <w:r w:rsidRPr="005C4FD4">
        <w:rPr>
          <w:b/>
          <w:bCs/>
        </w:rPr>
        <w:t>“应付账款”科目下增设“办案款”</w:t>
      </w:r>
      <w:r>
        <w:t>明细科目，核算事务所在</w:t>
      </w:r>
      <w:r w:rsidRPr="005C4FD4">
        <w:rPr>
          <w:b/>
          <w:bCs/>
        </w:rPr>
        <w:t>从事公益法律服务之外的法律服务活动过程中发生的各项尚未支付的款项</w:t>
      </w:r>
      <w:r>
        <w:t>。事务所在确认上述款项时，借记“主营业务成本”科目，贷记“应付账款</w:t>
      </w:r>
      <w:r>
        <w:rPr>
          <w:rFonts w:ascii="Times New Roman" w:eastAsia="Times New Roman" w:hAnsi="Times New Roman" w:cs="Times New Roman"/>
        </w:rPr>
        <w:t>——</w:t>
      </w:r>
      <w:r>
        <w:t>办案款”科目；事务所在偿付上述款项时，借记“应付账款</w:t>
      </w:r>
      <w:r>
        <w:rPr>
          <w:rFonts w:ascii="Times New Roman" w:eastAsia="Times New Roman" w:hAnsi="Times New Roman" w:cs="Times New Roman"/>
        </w:rPr>
        <w:t>——</w:t>
      </w:r>
      <w:r>
        <w:t>办案款” 科目，贷记“银行存款”等科目。</w:t>
      </w:r>
    </w:p>
    <w:p w14:paraId="7B3B9569" w14:textId="77777777" w:rsidR="00F568DF" w:rsidRDefault="00716F18">
      <w:pPr>
        <w:ind w:left="-15"/>
      </w:pPr>
      <w:r>
        <w:t>在</w:t>
      </w:r>
      <w:r w:rsidRPr="005C4FD4">
        <w:rPr>
          <w:b/>
          <w:bCs/>
        </w:rPr>
        <w:t>“应付账款”科目下增设“公益法律服务办案款”</w:t>
      </w:r>
      <w:r>
        <w:t>明细科目，核算事务所在</w:t>
      </w:r>
      <w:r w:rsidRPr="005C4FD4">
        <w:rPr>
          <w:b/>
          <w:bCs/>
        </w:rPr>
        <w:t>从事法律援助等公益法律服务活动过程中发生的各项尚未支付的款项</w:t>
      </w:r>
      <w:r>
        <w:t>。事务所在确认上述款项时，借记“主营业务成本</w:t>
      </w:r>
      <w:r>
        <w:rPr>
          <w:rFonts w:ascii="Times New Roman" w:eastAsia="Times New Roman" w:hAnsi="Times New Roman" w:cs="Times New Roman"/>
        </w:rPr>
        <w:t>——</w:t>
      </w:r>
      <w:r>
        <w:t>公益法律服务成本”科目，贷记“应付账款</w:t>
      </w:r>
      <w:r>
        <w:rPr>
          <w:rFonts w:ascii="Times New Roman" w:eastAsia="Times New Roman" w:hAnsi="Times New Roman" w:cs="Times New Roman"/>
        </w:rPr>
        <w:t>——</w:t>
      </w:r>
      <w:r>
        <w:t>公益法律服务办案款”科目；事务所在偿</w:t>
      </w:r>
      <w:r>
        <w:lastRenderedPageBreak/>
        <w:t>付上述款项时，借记“应付账款</w:t>
      </w:r>
      <w:r>
        <w:rPr>
          <w:rFonts w:ascii="Times New Roman" w:eastAsia="Times New Roman" w:hAnsi="Times New Roman" w:cs="Times New Roman"/>
        </w:rPr>
        <w:t>——</w:t>
      </w:r>
      <w:r>
        <w:t>公益法律服务办案款” 科目，贷记“银行存款”等科目。</w:t>
      </w:r>
    </w:p>
    <w:p w14:paraId="37DFE1B2" w14:textId="77777777" w:rsidR="00F568DF" w:rsidRPr="005C4FD4" w:rsidRDefault="00716F18">
      <w:pPr>
        <w:spacing w:after="176" w:line="259" w:lineRule="auto"/>
        <w:ind w:left="10" w:right="-8" w:hanging="10"/>
        <w:jc w:val="right"/>
        <w:rPr>
          <w:b/>
          <w:bCs/>
        </w:rPr>
      </w:pPr>
      <w:r>
        <w:rPr>
          <w:rFonts w:ascii="宋体" w:eastAsia="宋体" w:hAnsi="宋体" w:cs="宋体"/>
        </w:rPr>
        <w:t>2.</w:t>
      </w:r>
      <w:r>
        <w:t>在</w:t>
      </w:r>
      <w:r w:rsidRPr="005C4FD4">
        <w:rPr>
          <w:b/>
          <w:bCs/>
        </w:rPr>
        <w:t>“应付职工薪酬”科目下增设“应付合伙（或个人）</w:t>
      </w:r>
    </w:p>
    <w:p w14:paraId="22E22994" w14:textId="77777777" w:rsidR="00F568DF" w:rsidRDefault="00716F18">
      <w:pPr>
        <w:ind w:left="-15" w:firstLine="0"/>
      </w:pPr>
      <w:r w:rsidRPr="005C4FD4">
        <w:rPr>
          <w:b/>
          <w:bCs/>
        </w:rPr>
        <w:t>律师酬金</w:t>
      </w:r>
      <w:proofErr w:type="gramStart"/>
      <w:r w:rsidRPr="005C4FD4">
        <w:rPr>
          <w:b/>
          <w:bCs/>
        </w:rPr>
        <w:t>”</w:t>
      </w:r>
      <w:proofErr w:type="gramEnd"/>
      <w:r>
        <w:t>明细科目，核算合伙律师事务所的合伙律师或个人律师事务所的</w:t>
      </w:r>
      <w:r w:rsidRPr="005C4FD4">
        <w:rPr>
          <w:b/>
          <w:bCs/>
        </w:rPr>
        <w:t>个人律师（以下简称合伙（或个人）律师）为</w:t>
      </w:r>
      <w:r w:rsidRPr="005C4FD4">
        <w:rPr>
          <w:b/>
          <w:bCs/>
          <w:color w:val="FF0000"/>
        </w:rPr>
        <w:t>事务所提供</w:t>
      </w:r>
      <w:r w:rsidRPr="005C4FD4">
        <w:rPr>
          <w:b/>
          <w:bCs/>
        </w:rPr>
        <w:t>法律服务、参与经营管理而获得的，</w:t>
      </w:r>
      <w:proofErr w:type="gramStart"/>
      <w:r w:rsidRPr="005C4FD4">
        <w:rPr>
          <w:b/>
          <w:bCs/>
        </w:rPr>
        <w:t>除利润</w:t>
      </w:r>
      <w:proofErr w:type="gramEnd"/>
      <w:r w:rsidRPr="005C4FD4">
        <w:rPr>
          <w:b/>
          <w:bCs/>
        </w:rPr>
        <w:t>分配之外的各种形式的报酬</w:t>
      </w:r>
      <w:r>
        <w:t>，包括工资、奖金、津贴、补贴、福利费、社会保险费、住房公积金、工会经费、教育经费、非货币性福利等。事务所在确认合伙（或个人）律师的上述报酬时，</w:t>
      </w:r>
      <w:r w:rsidRPr="00C37C8E">
        <w:rPr>
          <w:b/>
          <w:bCs/>
        </w:rPr>
        <w:t>借记“主营业务成本”、“其他业务成本”、“管理费用”等科目</w:t>
      </w:r>
      <w:r>
        <w:t>，贷记“应付职工薪</w:t>
      </w:r>
      <w:proofErr w:type="gramStart"/>
      <w:r>
        <w:t>酬</w:t>
      </w:r>
      <w:proofErr w:type="gramEnd"/>
      <w:r>
        <w:rPr>
          <w:rFonts w:ascii="Times New Roman" w:eastAsia="Times New Roman" w:hAnsi="Times New Roman" w:cs="Times New Roman"/>
        </w:rPr>
        <w:t>——</w:t>
      </w:r>
      <w:r>
        <w:t>应付合伙（或个人）律师酬金”科目；事务所在实际向合伙（或个人）律师支付上述报酬时，借记“应付职工薪</w:t>
      </w:r>
      <w:proofErr w:type="gramStart"/>
      <w:r>
        <w:t>酬</w:t>
      </w:r>
      <w:proofErr w:type="gramEnd"/>
      <w:r>
        <w:rPr>
          <w:rFonts w:ascii="Times New Roman" w:eastAsia="Times New Roman" w:hAnsi="Times New Roman" w:cs="Times New Roman"/>
        </w:rPr>
        <w:t>——</w:t>
      </w:r>
      <w:r>
        <w:t>应付合伙（或个人）律师酬金”科目，贷记“银行存款”等科目。</w:t>
      </w:r>
    </w:p>
    <w:p w14:paraId="5961EA48" w14:textId="77777777" w:rsidR="00F568DF" w:rsidRDefault="00716F18">
      <w:pPr>
        <w:ind w:left="-15"/>
      </w:pPr>
      <w:r>
        <w:rPr>
          <w:rFonts w:ascii="宋体" w:eastAsia="宋体" w:hAnsi="宋体" w:cs="宋体"/>
        </w:rPr>
        <w:t>3.</w:t>
      </w:r>
      <w:r>
        <w:t>在“</w:t>
      </w:r>
      <w:r w:rsidRPr="00C37C8E">
        <w:rPr>
          <w:b/>
          <w:bCs/>
        </w:rPr>
        <w:t>其他应付款”科目下增设“业务协作款”</w:t>
      </w:r>
      <w:r>
        <w:t>明细科目，核算事务所与其他专业单位或个人进行业务协作时，发生的各项应支付给业务协作方的款项（单独向其他专业单位或个人购买服务的除外）。</w:t>
      </w:r>
      <w:r w:rsidRPr="00C37C8E">
        <w:rPr>
          <w:b/>
          <w:bCs/>
          <w:color w:val="FF0000"/>
        </w:rPr>
        <w:t>事务所确认的收入金额不应包括与业务协作方进行业务协作而需向其支付的款项</w:t>
      </w:r>
      <w:r>
        <w:t>。事务所在</w:t>
      </w:r>
      <w:r>
        <w:lastRenderedPageBreak/>
        <w:t>确认业务</w:t>
      </w:r>
      <w:proofErr w:type="gramStart"/>
      <w:r>
        <w:t>协作款</w:t>
      </w:r>
      <w:proofErr w:type="gramEnd"/>
      <w:r>
        <w:t>时，按应向客户收取的总金额，借记“银行存款”、“应收账款”等科目，按应支付给业务协作方的业务</w:t>
      </w:r>
      <w:proofErr w:type="gramStart"/>
      <w:r>
        <w:t>协作款</w:t>
      </w:r>
      <w:proofErr w:type="gramEnd"/>
      <w:r>
        <w:t>金额，贷记“其他应付款</w:t>
      </w:r>
      <w:r>
        <w:rPr>
          <w:rFonts w:ascii="Times New Roman" w:eastAsia="Times New Roman" w:hAnsi="Times New Roman" w:cs="Times New Roman"/>
        </w:rPr>
        <w:t>——</w:t>
      </w:r>
      <w:r>
        <w:t>业务协作款”科目，按应确认为收入的金额，贷记“主营业务收入”科目等；事务所在实际支付业务</w:t>
      </w:r>
      <w:proofErr w:type="gramStart"/>
      <w:r>
        <w:t>协作款</w:t>
      </w:r>
      <w:proofErr w:type="gramEnd"/>
      <w:r>
        <w:t>时，借记“其他应付款</w:t>
      </w:r>
      <w:r>
        <w:rPr>
          <w:rFonts w:ascii="Times New Roman" w:eastAsia="Times New Roman" w:hAnsi="Times New Roman" w:cs="Times New Roman"/>
        </w:rPr>
        <w:t>——</w:t>
      </w:r>
      <w:r>
        <w:t>业务协作款”科目，贷记“银行存款”等科目。</w:t>
      </w:r>
    </w:p>
    <w:p w14:paraId="1C65ABFE" w14:textId="77777777" w:rsidR="00F568DF" w:rsidRDefault="00716F18">
      <w:pPr>
        <w:spacing w:after="231" w:line="259" w:lineRule="auto"/>
        <w:ind w:left="10" w:right="-8" w:hanging="10"/>
        <w:jc w:val="right"/>
      </w:pPr>
      <w:r>
        <w:t>在</w:t>
      </w:r>
      <w:r w:rsidRPr="00C37C8E">
        <w:rPr>
          <w:b/>
          <w:bCs/>
        </w:rPr>
        <w:t>“其他应付款”科目下增设“专项监管款”</w:t>
      </w:r>
      <w:r>
        <w:t>明细科目，</w:t>
      </w:r>
    </w:p>
    <w:p w14:paraId="0383EEF7" w14:textId="77777777" w:rsidR="00F568DF" w:rsidRDefault="00716F18">
      <w:pPr>
        <w:ind w:left="-15" w:firstLine="0"/>
      </w:pPr>
      <w:r>
        <w:t>核算事务所</w:t>
      </w:r>
      <w:r w:rsidRPr="00C37C8E">
        <w:rPr>
          <w:b/>
          <w:bCs/>
        </w:rPr>
        <w:t>根据有关法律法规，代客户保管的合同资金、执行回款、履约保证金等各类存放于专用账户的款项</w:t>
      </w:r>
      <w:r>
        <w:t>。事务所在收到上述款项时，借记“银行存款”等科目，贷记“其他应付款</w:t>
      </w:r>
      <w:r>
        <w:rPr>
          <w:rFonts w:ascii="Times New Roman" w:eastAsia="Times New Roman" w:hAnsi="Times New Roman" w:cs="Times New Roman"/>
        </w:rPr>
        <w:t>——</w:t>
      </w:r>
      <w:r>
        <w:t>专项监管款”科目；事务所按约定支付上述款项时，做相反的会计分录。</w:t>
      </w:r>
    </w:p>
    <w:p w14:paraId="77733C57" w14:textId="77777777" w:rsidR="00F568DF" w:rsidRDefault="00716F18">
      <w:pPr>
        <w:ind w:left="-15"/>
      </w:pPr>
      <w:r>
        <w:t>在</w:t>
      </w:r>
      <w:r w:rsidRPr="00C37C8E">
        <w:rPr>
          <w:b/>
          <w:bCs/>
        </w:rPr>
        <w:t>“其他应付款”科目下增设“代客户暂收款”</w:t>
      </w:r>
      <w:r>
        <w:t>明细科目，核算事务所</w:t>
      </w:r>
      <w:r w:rsidRPr="00C37C8E">
        <w:rPr>
          <w:b/>
          <w:bCs/>
        </w:rPr>
        <w:t>代客户暂收的对方当事人支付的赔款等</w:t>
      </w:r>
      <w:proofErr w:type="gramStart"/>
      <w:r w:rsidRPr="00C37C8E">
        <w:rPr>
          <w:b/>
          <w:bCs/>
        </w:rPr>
        <w:t>各类暂收款</w:t>
      </w:r>
      <w:proofErr w:type="gramEnd"/>
      <w:r w:rsidRPr="00C37C8E">
        <w:rPr>
          <w:b/>
          <w:bCs/>
        </w:rPr>
        <w:t>项</w:t>
      </w:r>
      <w:r>
        <w:t>。事务所在收到上述款项时，借记“银行存款”等科目，贷记“其他应付款</w:t>
      </w:r>
      <w:r>
        <w:rPr>
          <w:rFonts w:ascii="Times New Roman" w:eastAsia="Times New Roman" w:hAnsi="Times New Roman" w:cs="Times New Roman"/>
        </w:rPr>
        <w:t>——</w:t>
      </w:r>
      <w:r>
        <w:t>代客户暂收款”科目；事务所按约定支付上述款项时，做相反的会计分录。</w:t>
      </w:r>
    </w:p>
    <w:p w14:paraId="1ADEC1CE" w14:textId="77777777" w:rsidR="00F568DF" w:rsidRDefault="00716F18">
      <w:pPr>
        <w:ind w:left="-15"/>
      </w:pPr>
      <w:r>
        <w:rPr>
          <w:rFonts w:ascii="宋体" w:eastAsia="宋体" w:hAnsi="宋体" w:cs="宋体"/>
        </w:rPr>
        <w:t>4.</w:t>
      </w:r>
      <w:r w:rsidRPr="00C37C8E">
        <w:rPr>
          <w:b/>
          <w:bCs/>
          <w:color w:val="FF0000"/>
        </w:rPr>
        <w:t>增设“</w:t>
      </w:r>
      <w:r w:rsidRPr="00C37C8E">
        <w:rPr>
          <w:rFonts w:ascii="宋体" w:eastAsia="宋体" w:hAnsi="宋体" w:cs="宋体"/>
          <w:b/>
          <w:bCs/>
          <w:color w:val="FF0000"/>
        </w:rPr>
        <w:t>2809</w:t>
      </w:r>
      <w:r w:rsidRPr="00C37C8E">
        <w:rPr>
          <w:b/>
          <w:bCs/>
          <w:color w:val="FF0000"/>
        </w:rPr>
        <w:t>执业风险基金”</w:t>
      </w:r>
      <w:r>
        <w:t>科目，核算事务所根据有关法律法规提取的执业风险基金。事务所在提取执业风险基</w:t>
      </w:r>
      <w:r>
        <w:lastRenderedPageBreak/>
        <w:t>金时，</w:t>
      </w:r>
      <w:r w:rsidRPr="00C37C8E">
        <w:rPr>
          <w:b/>
          <w:bCs/>
        </w:rPr>
        <w:t>借记“管理费用</w:t>
      </w:r>
      <w:r w:rsidRPr="00C37C8E">
        <w:rPr>
          <w:rFonts w:ascii="Times New Roman" w:eastAsia="Times New Roman" w:hAnsi="Times New Roman" w:cs="Times New Roman"/>
          <w:b/>
          <w:bCs/>
        </w:rPr>
        <w:t>——</w:t>
      </w:r>
      <w:r w:rsidRPr="00C37C8E">
        <w:rPr>
          <w:b/>
          <w:bCs/>
        </w:rPr>
        <w:t>执业风险基金”科目，贷记“执业风险基金”科目；事务所在依法赔偿时，借记“执业风险基金”科目，贷记“银行存款”等科目</w:t>
      </w:r>
      <w:r>
        <w:t>；提取的执业风险基金</w:t>
      </w:r>
      <w:r w:rsidRPr="00C37C8E">
        <w:rPr>
          <w:b/>
          <w:bCs/>
        </w:rPr>
        <w:t>不足以赔偿时，按照其差额借记“管理费用”科</w:t>
      </w:r>
      <w:r>
        <w:t>目。</w:t>
      </w:r>
    </w:p>
    <w:p w14:paraId="6EBDBA66" w14:textId="77777777" w:rsidR="00F568DF" w:rsidRDefault="00716F18">
      <w:pPr>
        <w:numPr>
          <w:ilvl w:val="0"/>
          <w:numId w:val="2"/>
        </w:numPr>
        <w:spacing w:after="176" w:line="259" w:lineRule="auto"/>
        <w:ind w:hanging="960"/>
      </w:pPr>
      <w:r>
        <w:rPr>
          <w:rFonts w:ascii="KaiTi" w:eastAsia="KaiTi" w:hAnsi="KaiTi" w:cs="KaiTi"/>
        </w:rPr>
        <w:t>所有者权益类会计科目。</w:t>
      </w:r>
    </w:p>
    <w:p w14:paraId="7FA4CE97" w14:textId="77777777" w:rsidR="00F568DF" w:rsidRDefault="00716F18">
      <w:pPr>
        <w:spacing w:after="231" w:line="259" w:lineRule="auto"/>
        <w:ind w:left="10" w:right="-8" w:hanging="10"/>
        <w:jc w:val="right"/>
      </w:pPr>
      <w:r>
        <w:t>在</w:t>
      </w:r>
      <w:r w:rsidRPr="00C37C8E">
        <w:rPr>
          <w:b/>
          <w:bCs/>
        </w:rPr>
        <w:t>“盈余公积”科目下增设“事业发展基金”</w:t>
      </w:r>
      <w:r>
        <w:t>明细科目，</w:t>
      </w:r>
    </w:p>
    <w:p w14:paraId="70967AA7" w14:textId="77777777" w:rsidR="00F568DF" w:rsidRDefault="00716F18">
      <w:pPr>
        <w:ind w:left="-15" w:firstLine="0"/>
      </w:pPr>
      <w:r>
        <w:t>核算事务所根据</w:t>
      </w:r>
      <w:r w:rsidRPr="00C811CB">
        <w:rPr>
          <w:b/>
          <w:bCs/>
          <w:color w:val="FF0000"/>
        </w:rPr>
        <w:t>有关法律法规提取</w:t>
      </w:r>
      <w:r>
        <w:t>的事业发展基金。事务所在提取事业发展基金时，借记“利润分配</w:t>
      </w:r>
      <w:r>
        <w:rPr>
          <w:rFonts w:ascii="Times New Roman" w:eastAsia="Times New Roman" w:hAnsi="Times New Roman" w:cs="Times New Roman"/>
        </w:rPr>
        <w:t>——</w:t>
      </w:r>
      <w:r>
        <w:t>提取事业发展基金”科目，贷记“盈余公积</w:t>
      </w:r>
      <w:r>
        <w:rPr>
          <w:rFonts w:ascii="Times New Roman" w:eastAsia="Times New Roman" w:hAnsi="Times New Roman" w:cs="Times New Roman"/>
        </w:rPr>
        <w:t>——</w:t>
      </w:r>
      <w:r>
        <w:t>事业发展基金”科目。</w:t>
      </w:r>
    </w:p>
    <w:p w14:paraId="57EC45FD" w14:textId="77777777" w:rsidR="00F568DF" w:rsidRDefault="00716F18">
      <w:pPr>
        <w:numPr>
          <w:ilvl w:val="0"/>
          <w:numId w:val="2"/>
        </w:numPr>
        <w:spacing w:after="176" w:line="259" w:lineRule="auto"/>
        <w:ind w:hanging="960"/>
      </w:pPr>
      <w:r>
        <w:rPr>
          <w:rFonts w:ascii="KaiTi" w:eastAsia="KaiTi" w:hAnsi="KaiTi" w:cs="KaiTi"/>
        </w:rPr>
        <w:t>损益类会计科目。</w:t>
      </w:r>
    </w:p>
    <w:p w14:paraId="1E45D55A" w14:textId="77777777" w:rsidR="00F568DF" w:rsidRDefault="00716F18">
      <w:pPr>
        <w:spacing w:after="176" w:line="259" w:lineRule="auto"/>
        <w:ind w:left="10" w:right="-8" w:hanging="10"/>
        <w:jc w:val="right"/>
      </w:pPr>
      <w:r>
        <w:rPr>
          <w:rFonts w:ascii="宋体" w:eastAsia="宋体" w:hAnsi="宋体" w:cs="宋体"/>
        </w:rPr>
        <w:t>1.</w:t>
      </w:r>
      <w:r>
        <w:t>在</w:t>
      </w:r>
      <w:r w:rsidRPr="00C811CB">
        <w:rPr>
          <w:b/>
          <w:bCs/>
        </w:rPr>
        <w:t>“主营业务收入”科目下增设“公益法律服务收入”</w:t>
      </w:r>
    </w:p>
    <w:p w14:paraId="78169A62" w14:textId="77777777" w:rsidR="00F568DF" w:rsidRDefault="00716F18">
      <w:pPr>
        <w:spacing w:after="2" w:line="414" w:lineRule="auto"/>
        <w:ind w:left="-5" w:right="151" w:hanging="10"/>
        <w:jc w:val="both"/>
      </w:pPr>
      <w:r>
        <w:t>明细科目，核算事务所因从事法律援助等公益法律服务而获得的经费支持；在</w:t>
      </w:r>
      <w:r w:rsidRPr="00C811CB">
        <w:rPr>
          <w:b/>
          <w:bCs/>
        </w:rPr>
        <w:t>“主营业务成本”科目下增设“公益法律服务成本”</w:t>
      </w:r>
      <w:r>
        <w:t>明细科目，核算事务所因从事法律援助等公益法律服务而发生的成本。</w:t>
      </w:r>
    </w:p>
    <w:p w14:paraId="162DA6C1" w14:textId="77777777" w:rsidR="00F568DF" w:rsidRDefault="00716F18">
      <w:pPr>
        <w:ind w:left="-15"/>
      </w:pPr>
      <w:r>
        <w:rPr>
          <w:rFonts w:ascii="宋体" w:eastAsia="宋体" w:hAnsi="宋体" w:cs="宋体"/>
        </w:rPr>
        <w:t>2.</w:t>
      </w:r>
      <w:r>
        <w:t>在</w:t>
      </w:r>
      <w:r w:rsidRPr="00C811CB">
        <w:rPr>
          <w:b/>
          <w:bCs/>
        </w:rPr>
        <w:t>“管理费用”科目下增设“执业责任保险费”</w:t>
      </w:r>
      <w:r>
        <w:t>明细科目，核算事务所根</w:t>
      </w:r>
      <w:r w:rsidRPr="00C811CB">
        <w:rPr>
          <w:b/>
          <w:bCs/>
        </w:rPr>
        <w:t>据有关法律法规发生</w:t>
      </w:r>
      <w:r>
        <w:t>的执业责任保险费。事务所在确认执业责任保险费时，借记“管理费用</w:t>
      </w:r>
      <w:r>
        <w:rPr>
          <w:rFonts w:ascii="Times New Roman" w:eastAsia="Times New Roman" w:hAnsi="Times New Roman" w:cs="Times New Roman"/>
        </w:rPr>
        <w:t xml:space="preserve">—— </w:t>
      </w:r>
      <w:r>
        <w:lastRenderedPageBreak/>
        <w:t>执业责任保险费”科目，贷记“银行存款”、“其他应付款” 等科目。</w:t>
      </w:r>
    </w:p>
    <w:p w14:paraId="7062E50B" w14:textId="77777777" w:rsidR="00F568DF" w:rsidRDefault="00716F18">
      <w:pPr>
        <w:pStyle w:val="1"/>
        <w:ind w:left="636"/>
      </w:pPr>
      <w:r>
        <w:t>三、财务报表列示和披露</w:t>
      </w:r>
    </w:p>
    <w:p w14:paraId="1CF9DA46" w14:textId="77777777" w:rsidR="00F568DF" w:rsidRDefault="00716F18">
      <w:pPr>
        <w:ind w:left="-15"/>
      </w:pPr>
      <w:r>
        <w:t>事务所在执行小企业会计准则或企业会计准则的基础上，应当对有关财务报表项目作如下调整：</w:t>
      </w:r>
    </w:p>
    <w:p w14:paraId="38376BE6" w14:textId="77777777" w:rsidR="00F568DF" w:rsidRDefault="00716F18">
      <w:pPr>
        <w:numPr>
          <w:ilvl w:val="0"/>
          <w:numId w:val="3"/>
        </w:numPr>
        <w:spacing w:after="176" w:line="259" w:lineRule="auto"/>
        <w:ind w:hanging="960"/>
      </w:pPr>
      <w:r>
        <w:rPr>
          <w:rFonts w:ascii="KaiTi" w:eastAsia="KaiTi" w:hAnsi="KaiTi" w:cs="KaiTi"/>
        </w:rPr>
        <w:t>资产负债表。</w:t>
      </w:r>
    </w:p>
    <w:p w14:paraId="4133206F" w14:textId="77777777" w:rsidR="00F568DF" w:rsidRDefault="00716F18">
      <w:pPr>
        <w:ind w:left="-15"/>
      </w:pPr>
      <w:r>
        <w:t>在“非流动负债”中“</w:t>
      </w:r>
      <w:r w:rsidRPr="00C811CB">
        <w:rPr>
          <w:b/>
          <w:bCs/>
        </w:rPr>
        <w:t>长期应付款”项目之后增设“执业风险基金”项目</w:t>
      </w:r>
      <w:r>
        <w:t>，反映事务所根据有关法律法规提取的执业风险基金。该项目应根据“执业风险基金”科目的期末余额填列。</w:t>
      </w:r>
    </w:p>
    <w:p w14:paraId="61701FE8" w14:textId="77777777" w:rsidR="00F568DF" w:rsidRDefault="00716F18">
      <w:pPr>
        <w:numPr>
          <w:ilvl w:val="0"/>
          <w:numId w:val="3"/>
        </w:numPr>
        <w:spacing w:after="176" w:line="259" w:lineRule="auto"/>
        <w:ind w:hanging="960"/>
      </w:pPr>
      <w:r>
        <w:rPr>
          <w:rFonts w:ascii="KaiTi" w:eastAsia="KaiTi" w:hAnsi="KaiTi" w:cs="KaiTi"/>
        </w:rPr>
        <w:t>利润表。</w:t>
      </w:r>
    </w:p>
    <w:p w14:paraId="25850277" w14:textId="77777777" w:rsidR="00F568DF" w:rsidRDefault="00716F18">
      <w:pPr>
        <w:ind w:left="-15"/>
      </w:pPr>
      <w:r>
        <w:t>执行小企业会计准则的事务所，将“营业税金及附加” 项目调整为“税金及附加”项目，并取消该项目下的“营业税”其中项；无需列示“销售费用”、“管理费用”、“加：营业外收入”、“减：营业外支出”等各项目下的所有其中项。</w:t>
      </w:r>
    </w:p>
    <w:p w14:paraId="7ABC5A61" w14:textId="77777777" w:rsidR="00F568DF" w:rsidRDefault="00716F18">
      <w:pPr>
        <w:numPr>
          <w:ilvl w:val="0"/>
          <w:numId w:val="3"/>
        </w:numPr>
        <w:spacing w:after="176" w:line="259" w:lineRule="auto"/>
        <w:ind w:hanging="960"/>
      </w:pPr>
      <w:r>
        <w:rPr>
          <w:rFonts w:ascii="KaiTi" w:eastAsia="KaiTi" w:hAnsi="KaiTi" w:cs="KaiTi"/>
        </w:rPr>
        <w:t>利润分配表或所有者权益变动表。</w:t>
      </w:r>
    </w:p>
    <w:p w14:paraId="26E44290" w14:textId="77777777" w:rsidR="00F568DF" w:rsidRDefault="00716F18">
      <w:pPr>
        <w:spacing w:after="176" w:line="259" w:lineRule="auto"/>
        <w:ind w:left="10" w:right="166" w:hanging="10"/>
        <w:jc w:val="right"/>
      </w:pPr>
      <w:r>
        <w:rPr>
          <w:rFonts w:ascii="宋体" w:eastAsia="宋体" w:hAnsi="宋体" w:cs="宋体"/>
        </w:rPr>
        <w:t>1.</w:t>
      </w:r>
      <w:r>
        <w:t>执行小企业会计准则的事务所，对于在附注中披露的</w:t>
      </w:r>
    </w:p>
    <w:p w14:paraId="1DDA4397" w14:textId="77777777" w:rsidR="00F568DF" w:rsidRDefault="00716F18">
      <w:pPr>
        <w:ind w:left="-15" w:firstLine="0"/>
      </w:pPr>
      <w:r>
        <w:lastRenderedPageBreak/>
        <w:t>利润分配表，在“二、可供分配的利润”项目之下增设“减：提取事业发展基金”、“其他转出”项目。有关项目应根据 “盈余公积</w:t>
      </w:r>
      <w:r>
        <w:rPr>
          <w:rFonts w:ascii="Times New Roman" w:eastAsia="Times New Roman" w:hAnsi="Times New Roman" w:cs="Times New Roman"/>
        </w:rPr>
        <w:t>——</w:t>
      </w:r>
      <w:r>
        <w:t>事业发展基金”等科目的本期发生</w:t>
      </w:r>
      <w:proofErr w:type="gramStart"/>
      <w:r>
        <w:t>额分析</w:t>
      </w:r>
      <w:proofErr w:type="gramEnd"/>
      <w:r>
        <w:t>填列。</w:t>
      </w:r>
    </w:p>
    <w:p w14:paraId="595FB0F3" w14:textId="77777777" w:rsidR="00F568DF" w:rsidRDefault="00716F18">
      <w:pPr>
        <w:ind w:left="-15"/>
      </w:pPr>
      <w:r>
        <w:rPr>
          <w:rFonts w:ascii="宋体" w:eastAsia="宋体" w:hAnsi="宋体" w:cs="宋体"/>
        </w:rPr>
        <w:t>2.</w:t>
      </w:r>
      <w:r>
        <w:t>执行企业会计准则的事务所，对于所有者权益变动表，在“</w:t>
      </w:r>
      <w:r>
        <w:rPr>
          <w:rFonts w:ascii="宋体" w:eastAsia="宋体" w:hAnsi="宋体" w:cs="宋体"/>
        </w:rPr>
        <w:t>1.</w:t>
      </w:r>
      <w:r>
        <w:t>提取盈余公积”项目下增设“其中：提取事业发展基金”项目。该项目应根据“盈余公积</w:t>
      </w:r>
      <w:r>
        <w:rPr>
          <w:rFonts w:ascii="Times New Roman" w:eastAsia="Times New Roman" w:hAnsi="Times New Roman" w:cs="Times New Roman"/>
        </w:rPr>
        <w:t>——</w:t>
      </w:r>
      <w:r>
        <w:t>事业发展基金” 科目的本期发生</w:t>
      </w:r>
      <w:proofErr w:type="gramStart"/>
      <w:r>
        <w:t>额分析</w:t>
      </w:r>
      <w:proofErr w:type="gramEnd"/>
      <w:r>
        <w:t>填列。</w:t>
      </w:r>
    </w:p>
    <w:p w14:paraId="471443DA" w14:textId="77777777" w:rsidR="00F568DF" w:rsidRDefault="00716F18">
      <w:pPr>
        <w:numPr>
          <w:ilvl w:val="0"/>
          <w:numId w:val="3"/>
        </w:numPr>
        <w:spacing w:after="176" w:line="259" w:lineRule="auto"/>
        <w:ind w:hanging="960"/>
      </w:pPr>
      <w:r>
        <w:rPr>
          <w:rFonts w:ascii="KaiTi" w:eastAsia="KaiTi" w:hAnsi="KaiTi" w:cs="KaiTi"/>
        </w:rPr>
        <w:t>附注。</w:t>
      </w:r>
    </w:p>
    <w:p w14:paraId="6F7BD969" w14:textId="77777777" w:rsidR="00F568DF" w:rsidRDefault="00716F18">
      <w:pPr>
        <w:ind w:left="-15"/>
      </w:pPr>
      <w:r w:rsidRPr="00C811CB">
        <w:rPr>
          <w:b/>
          <w:bCs/>
        </w:rPr>
        <w:t>设立分所</w:t>
      </w:r>
      <w:r>
        <w:t>的事务所，应当在附注中</w:t>
      </w:r>
      <w:r w:rsidRPr="00C811CB">
        <w:rPr>
          <w:b/>
          <w:bCs/>
        </w:rPr>
        <w:t>披露分所收入、分所费用、分所利润、分所资产总额和分所负债总额等信息</w:t>
      </w:r>
      <w:r>
        <w:t>。</w:t>
      </w:r>
    </w:p>
    <w:p w14:paraId="7D507B77" w14:textId="77777777" w:rsidR="00F568DF" w:rsidRDefault="00716F18">
      <w:pPr>
        <w:pStyle w:val="1"/>
        <w:ind w:left="636"/>
      </w:pPr>
      <w:r>
        <w:t>四、附则</w:t>
      </w:r>
    </w:p>
    <w:p w14:paraId="139D7AD8" w14:textId="77777777" w:rsidR="00F568DF" w:rsidRDefault="00716F18">
      <w:pPr>
        <w:ind w:left="-15"/>
      </w:pPr>
      <w:r>
        <w:t>本规定自</w:t>
      </w:r>
      <w:r>
        <w:rPr>
          <w:rFonts w:ascii="宋体" w:eastAsia="宋体" w:hAnsi="宋体" w:cs="宋体"/>
        </w:rPr>
        <w:t>2022</w:t>
      </w:r>
      <w:r>
        <w:t>年</w:t>
      </w:r>
      <w:r>
        <w:rPr>
          <w:rFonts w:ascii="宋体" w:eastAsia="宋体" w:hAnsi="宋体" w:cs="宋体"/>
        </w:rPr>
        <w:t>1</w:t>
      </w:r>
      <w:r>
        <w:t>月</w:t>
      </w:r>
      <w:r>
        <w:rPr>
          <w:rFonts w:ascii="宋体" w:eastAsia="宋体" w:hAnsi="宋体" w:cs="宋体"/>
        </w:rPr>
        <w:t>1</w:t>
      </w:r>
      <w:r>
        <w:t>日起施行。执行本规定的律师事务所不再执行《会计师事务所、资产评估机构、税务师事务所会计核算办法》（财会〔</w:t>
      </w:r>
      <w:r>
        <w:rPr>
          <w:rFonts w:ascii="宋体" w:eastAsia="宋体" w:hAnsi="宋体" w:cs="宋体"/>
        </w:rPr>
        <w:t>2001</w:t>
      </w:r>
      <w:r>
        <w:t>〕</w:t>
      </w:r>
      <w:r>
        <w:rPr>
          <w:rFonts w:ascii="宋体" w:eastAsia="宋体" w:hAnsi="宋体" w:cs="宋体"/>
        </w:rPr>
        <w:t>61</w:t>
      </w:r>
      <w:r>
        <w:t>号）。</w:t>
      </w:r>
    </w:p>
    <w:sectPr w:rsidR="00F568DF">
      <w:footerReference w:type="even" r:id="rId8"/>
      <w:footerReference w:type="default" r:id="rId9"/>
      <w:footerReference w:type="first" r:id="rId10"/>
      <w:pgSz w:w="11906" w:h="16838"/>
      <w:pgMar w:top="1594" w:right="1634" w:bottom="1821" w:left="1800" w:header="720" w:footer="12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AD06" w14:textId="77777777" w:rsidR="009B0D30" w:rsidRDefault="009B0D30">
      <w:pPr>
        <w:spacing w:after="0" w:line="240" w:lineRule="auto"/>
      </w:pPr>
      <w:r>
        <w:separator/>
      </w:r>
    </w:p>
  </w:endnote>
  <w:endnote w:type="continuationSeparator" w:id="0">
    <w:p w14:paraId="34475921" w14:textId="77777777" w:rsidR="009B0D30" w:rsidRDefault="009B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aiTi">
    <w:altName w:val="KaiTi"/>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8FD2" w14:textId="77777777" w:rsidR="00F568DF" w:rsidRDefault="00716F18">
    <w:pPr>
      <w:spacing w:after="0" w:line="259" w:lineRule="auto"/>
      <w:ind w:right="16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F4CA" w14:textId="77777777" w:rsidR="00F568DF" w:rsidRDefault="00716F18">
    <w:pPr>
      <w:spacing w:after="0" w:line="259" w:lineRule="auto"/>
      <w:ind w:right="16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ECE9" w14:textId="77777777" w:rsidR="00F568DF" w:rsidRDefault="00716F18">
    <w:pPr>
      <w:spacing w:after="0" w:line="259" w:lineRule="auto"/>
      <w:ind w:right="164"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5FE5" w14:textId="77777777" w:rsidR="009B0D30" w:rsidRDefault="009B0D30">
      <w:pPr>
        <w:spacing w:after="0" w:line="240" w:lineRule="auto"/>
      </w:pPr>
      <w:r>
        <w:separator/>
      </w:r>
    </w:p>
  </w:footnote>
  <w:footnote w:type="continuationSeparator" w:id="0">
    <w:p w14:paraId="1319C66C" w14:textId="77777777" w:rsidR="009B0D30" w:rsidRDefault="009B0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5EE"/>
    <w:multiLevelType w:val="hybridMultilevel"/>
    <w:tmpl w:val="E53E2052"/>
    <w:lvl w:ilvl="0" w:tplc="6788325E">
      <w:start w:val="1"/>
      <w:numFmt w:val="ideographDigital"/>
      <w:lvlText w:val="（%1）"/>
      <w:lvlJc w:val="left"/>
      <w:pPr>
        <w:ind w:left="158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BBFE7FE8">
      <w:start w:val="1"/>
      <w:numFmt w:val="lowerLetter"/>
      <w:lvlText w:val="%2"/>
      <w:lvlJc w:val="left"/>
      <w:pPr>
        <w:ind w:left="17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8E9C887A">
      <w:start w:val="1"/>
      <w:numFmt w:val="lowerRoman"/>
      <w:lvlText w:val="%3"/>
      <w:lvlJc w:val="left"/>
      <w:pPr>
        <w:ind w:left="24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2F4868DA">
      <w:start w:val="1"/>
      <w:numFmt w:val="decimal"/>
      <w:lvlText w:val="%4"/>
      <w:lvlJc w:val="left"/>
      <w:pPr>
        <w:ind w:left="31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FA3A258A">
      <w:start w:val="1"/>
      <w:numFmt w:val="lowerLetter"/>
      <w:lvlText w:val="%5"/>
      <w:lvlJc w:val="left"/>
      <w:pPr>
        <w:ind w:left="388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6F48A93E">
      <w:start w:val="1"/>
      <w:numFmt w:val="lowerRoman"/>
      <w:lvlText w:val="%6"/>
      <w:lvlJc w:val="left"/>
      <w:pPr>
        <w:ind w:left="460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1C1CA434">
      <w:start w:val="1"/>
      <w:numFmt w:val="decimal"/>
      <w:lvlText w:val="%7"/>
      <w:lvlJc w:val="left"/>
      <w:pPr>
        <w:ind w:left="53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0166154A">
      <w:start w:val="1"/>
      <w:numFmt w:val="lowerLetter"/>
      <w:lvlText w:val="%8"/>
      <w:lvlJc w:val="left"/>
      <w:pPr>
        <w:ind w:left="60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0DF24B30">
      <w:start w:val="1"/>
      <w:numFmt w:val="lowerRoman"/>
      <w:lvlText w:val="%9"/>
      <w:lvlJc w:val="left"/>
      <w:pPr>
        <w:ind w:left="67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6D6F0B54"/>
    <w:multiLevelType w:val="hybridMultilevel"/>
    <w:tmpl w:val="721C29A0"/>
    <w:lvl w:ilvl="0" w:tplc="668A432C">
      <w:start w:val="1"/>
      <w:numFmt w:val="ideographDigital"/>
      <w:lvlText w:val="（%1）"/>
      <w:lvlJc w:val="left"/>
      <w:pPr>
        <w:ind w:left="158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4274E028">
      <w:start w:val="1"/>
      <w:numFmt w:val="lowerLetter"/>
      <w:lvlText w:val="%2"/>
      <w:lvlJc w:val="left"/>
      <w:pPr>
        <w:ind w:left="17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FBB6FD20">
      <w:start w:val="1"/>
      <w:numFmt w:val="lowerRoman"/>
      <w:lvlText w:val="%3"/>
      <w:lvlJc w:val="left"/>
      <w:pPr>
        <w:ind w:left="24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49BADF08">
      <w:start w:val="1"/>
      <w:numFmt w:val="decimal"/>
      <w:lvlText w:val="%4"/>
      <w:lvlJc w:val="left"/>
      <w:pPr>
        <w:ind w:left="31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C9C623FC">
      <w:start w:val="1"/>
      <w:numFmt w:val="lowerLetter"/>
      <w:lvlText w:val="%5"/>
      <w:lvlJc w:val="left"/>
      <w:pPr>
        <w:ind w:left="388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C19641EA">
      <w:start w:val="1"/>
      <w:numFmt w:val="lowerRoman"/>
      <w:lvlText w:val="%6"/>
      <w:lvlJc w:val="left"/>
      <w:pPr>
        <w:ind w:left="460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3D5A0300">
      <w:start w:val="1"/>
      <w:numFmt w:val="decimal"/>
      <w:lvlText w:val="%7"/>
      <w:lvlJc w:val="left"/>
      <w:pPr>
        <w:ind w:left="53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782C9412">
      <w:start w:val="1"/>
      <w:numFmt w:val="lowerLetter"/>
      <w:lvlText w:val="%8"/>
      <w:lvlJc w:val="left"/>
      <w:pPr>
        <w:ind w:left="60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E954FE4E">
      <w:start w:val="1"/>
      <w:numFmt w:val="lowerRoman"/>
      <w:lvlText w:val="%9"/>
      <w:lvlJc w:val="left"/>
      <w:pPr>
        <w:ind w:left="67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729C256D"/>
    <w:multiLevelType w:val="hybridMultilevel"/>
    <w:tmpl w:val="F5102E9E"/>
    <w:lvl w:ilvl="0" w:tplc="E5D4759E">
      <w:start w:val="3"/>
      <w:numFmt w:val="ideographDigital"/>
      <w:lvlText w:val="（%1）"/>
      <w:lvlJc w:val="left"/>
      <w:pPr>
        <w:ind w:left="1586"/>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B0124214">
      <w:start w:val="1"/>
      <w:numFmt w:val="lowerLetter"/>
      <w:lvlText w:val="%2"/>
      <w:lvlJc w:val="left"/>
      <w:pPr>
        <w:ind w:left="17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8A869EFC">
      <w:start w:val="1"/>
      <w:numFmt w:val="lowerRoman"/>
      <w:lvlText w:val="%3"/>
      <w:lvlJc w:val="left"/>
      <w:pPr>
        <w:ind w:left="24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9E906FD4">
      <w:start w:val="1"/>
      <w:numFmt w:val="decimal"/>
      <w:lvlText w:val="%4"/>
      <w:lvlJc w:val="left"/>
      <w:pPr>
        <w:ind w:left="31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8758C158">
      <w:start w:val="1"/>
      <w:numFmt w:val="lowerLetter"/>
      <w:lvlText w:val="%5"/>
      <w:lvlJc w:val="left"/>
      <w:pPr>
        <w:ind w:left="388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00FC241C">
      <w:start w:val="1"/>
      <w:numFmt w:val="lowerRoman"/>
      <w:lvlText w:val="%6"/>
      <w:lvlJc w:val="left"/>
      <w:pPr>
        <w:ind w:left="460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929AC35A">
      <w:start w:val="1"/>
      <w:numFmt w:val="decimal"/>
      <w:lvlText w:val="%7"/>
      <w:lvlJc w:val="left"/>
      <w:pPr>
        <w:ind w:left="53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FD929500">
      <w:start w:val="1"/>
      <w:numFmt w:val="lowerLetter"/>
      <w:lvlText w:val="%8"/>
      <w:lvlJc w:val="left"/>
      <w:pPr>
        <w:ind w:left="60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BFC8D64C">
      <w:start w:val="1"/>
      <w:numFmt w:val="lowerRoman"/>
      <w:lvlText w:val="%9"/>
      <w:lvlJc w:val="left"/>
      <w:pPr>
        <w:ind w:left="67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DF"/>
    <w:rsid w:val="001C4C41"/>
    <w:rsid w:val="005C4FD4"/>
    <w:rsid w:val="00716F18"/>
    <w:rsid w:val="009B0D30"/>
    <w:rsid w:val="00C37C8E"/>
    <w:rsid w:val="00C811CB"/>
    <w:rsid w:val="00F5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5DD7"/>
  <w15:docId w15:val="{6F33E47C-1370-4DAE-8FE7-FCB3B5E7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 w:line="409" w:lineRule="auto"/>
      <w:ind w:firstLine="631"/>
    </w:pPr>
    <w:rPr>
      <w:rFonts w:ascii="仿宋_GB2312" w:eastAsia="仿宋_GB2312" w:hAnsi="仿宋_GB2312" w:cs="仿宋_GB2312"/>
      <w:color w:val="000000"/>
      <w:sz w:val="32"/>
    </w:rPr>
  </w:style>
  <w:style w:type="paragraph" w:styleId="1">
    <w:name w:val="heading 1"/>
    <w:next w:val="a"/>
    <w:link w:val="10"/>
    <w:uiPriority w:val="9"/>
    <w:qFormat/>
    <w:pPr>
      <w:keepNext/>
      <w:keepLines/>
      <w:spacing w:after="168" w:line="265" w:lineRule="auto"/>
      <w:ind w:left="10" w:hanging="10"/>
      <w:outlineLvl w:val="0"/>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黑体" w:eastAsia="黑体" w:hAnsi="黑体" w:cs="黑体"/>
      <w:color w:val="000000"/>
      <w:sz w:val="32"/>
    </w:rPr>
  </w:style>
  <w:style w:type="character" w:styleId="a3">
    <w:name w:val="Hyperlink"/>
    <w:basedOn w:val="a0"/>
    <w:uiPriority w:val="99"/>
    <w:unhideWhenUsed/>
    <w:rsid w:val="005C4FD4"/>
    <w:rPr>
      <w:color w:val="0563C1" w:themeColor="hyperlink"/>
      <w:u w:val="single"/>
    </w:rPr>
  </w:style>
  <w:style w:type="character" w:styleId="a4">
    <w:name w:val="Unresolved Mention"/>
    <w:basedOn w:val="a0"/>
    <w:uiPriority w:val="99"/>
    <w:semiHidden/>
    <w:unhideWhenUsed/>
    <w:rsid w:val="005C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b86.com/index/News/detail/newsid/865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林一帆</dc:creator>
  <cp:keywords/>
  <cp:lastModifiedBy>Windows 用户</cp:lastModifiedBy>
  <cp:revision>4</cp:revision>
  <dcterms:created xsi:type="dcterms:W3CDTF">2021-10-12T13:54:00Z</dcterms:created>
  <dcterms:modified xsi:type="dcterms:W3CDTF">2021-10-12T14:14:00Z</dcterms:modified>
</cp:coreProperties>
</file>