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beforeAutospacing="0" w:after="156" w:afterLines="50" w:afterAutospacing="0" w:line="360" w:lineRule="auto"/>
        <w:jc w:val="left"/>
        <w:rPr>
          <w:rFonts w:hint="eastAsia" w:ascii="宋体" w:hAnsi="宋体" w:eastAsia="宋体"/>
          <w:kern w:val="0"/>
        </w:rPr>
      </w:pPr>
      <w:r>
        <w:rPr>
          <w:rFonts w:hint="eastAsia" w:ascii="宋体" w:hAnsi="宋体" w:eastAsia="宋体"/>
          <w:kern w:val="0"/>
        </w:rPr>
        <w:t>2020税务稽查典型案例评析之三</w:t>
      </w:r>
    </w:p>
    <w:p>
      <w:pPr>
        <w:spacing w:beforeLines="50" w:beforeAutospacing="0" w:afterLines="50" w:afterAutospacing="0" w:line="360" w:lineRule="auto"/>
        <w:rPr>
          <w:rFonts w:ascii="宋体" w:hAnsi="宋体" w:eastAsia="宋体"/>
        </w:rPr>
      </w:pPr>
    </w:p>
    <w:p>
      <w:pPr>
        <w:pStyle w:val="2"/>
        <w:spacing w:beforeLines="50" w:beforeAutospacing="0" w:afterLines="50" w:afterAutospacing="0" w:line="360" w:lineRule="auto"/>
        <w:rPr>
          <w:rFonts w:ascii="宋体" w:hAnsi="宋体" w:eastAsia="宋体"/>
          <w:sz w:val="24"/>
          <w:szCs w:val="24"/>
        </w:rPr>
      </w:pPr>
      <w:r>
        <w:rPr>
          <w:rFonts w:hint="eastAsia" w:ascii="宋体" w:hAnsi="宋体" w:eastAsia="宋体"/>
          <w:sz w:val="24"/>
          <w:szCs w:val="24"/>
        </w:rPr>
        <w:t>摘要</w:t>
      </w:r>
    </w:p>
    <w:p>
      <w:pPr>
        <w:pStyle w:val="8"/>
        <w:spacing w:beforeLines="50" w:beforeAutospacing="0" w:afterLines="50" w:afterAutospacing="0" w:line="360" w:lineRule="auto"/>
        <w:ind w:firstLine="386"/>
        <w:rPr>
          <w:color w:val="C55911" w:themeColor="accent2" w:themeShade="BF"/>
        </w:rPr>
      </w:pPr>
    </w:p>
    <w:p>
      <w:pPr>
        <w:spacing w:before="156" w:beforeLines="50" w:beforeAutospacing="0" w:after="156" w:afterLines="50" w:afterAutospacing="0" w:line="360" w:lineRule="auto"/>
        <w:ind w:firstLine="480" w:firstLineChars="200"/>
        <w:rPr>
          <w:rFonts w:hint="eastAsia" w:ascii="楷体" w:hAnsi="楷体" w:eastAsia="楷体"/>
          <w:color w:val="0070C0"/>
        </w:rPr>
      </w:pPr>
      <w:r>
        <w:rPr>
          <w:rFonts w:hint="eastAsia" w:ascii="楷体" w:hAnsi="楷体" w:eastAsia="楷体"/>
          <w:color w:val="0070C0"/>
        </w:rPr>
        <w:t>一、</w:t>
      </w:r>
      <w:r>
        <w:rPr>
          <w:rFonts w:hint="eastAsia" w:ascii="楷体" w:hAnsi="楷体" w:eastAsia="楷体"/>
          <w:color w:val="0070C0"/>
          <w:lang w:eastAsia="zh-CN"/>
        </w:rPr>
        <w:t>房开企业，向政府借款问题。</w:t>
      </w:r>
      <w:r>
        <w:rPr>
          <w:rFonts w:hint="eastAsia" w:ascii="楷体" w:hAnsi="楷体" w:eastAsia="楷体"/>
          <w:color w:val="0070C0"/>
        </w:rPr>
        <w:t>市财政局资金拨付文件及政府会议纪要表明，1.28亿元资金是市政府支付的拆迁安置房及基础配套工程建设补贴款，而并非该公司的应付借款。J公司取得的基础配套工程建设补贴虽然属于专项用途财政性资金，但公司没有按规定对该补贴收入及发生的支出单独进行核算。根据上述规定；税务机关认定该补贴收入不能作为不征税收入。</w:t>
      </w:r>
    </w:p>
    <w:p>
      <w:pPr>
        <w:spacing w:beforeLines="50" w:beforeAutospacing="0" w:afterLines="50" w:afterAutospacing="0" w:line="360" w:lineRule="auto"/>
        <w:ind w:firstLine="480" w:firstLineChars="200"/>
        <w:rPr>
          <w:rFonts w:hint="eastAsia" w:ascii="楷体" w:hAnsi="楷体" w:eastAsia="楷体"/>
          <w:color w:val="0070C0"/>
          <w:lang w:eastAsia="zh-CN"/>
        </w:rPr>
      </w:pPr>
      <w:r>
        <w:rPr>
          <w:rFonts w:hint="eastAsia" w:ascii="楷体" w:hAnsi="楷体" w:eastAsia="楷体"/>
          <w:color w:val="0070C0"/>
          <w:lang w:eastAsia="zh-CN"/>
        </w:rPr>
        <w:t>二、商品房抵押，并超低价转让问题（3300万元房产缘何只卖1000万元）</w:t>
      </w:r>
      <w:r>
        <w:rPr>
          <w:rFonts w:hint="eastAsia" w:ascii="楷体" w:hAnsi="楷体" w:eastAsia="楷体"/>
          <w:color w:val="0070C0"/>
          <w:lang w:eastAsia="zh-CN"/>
        </w:rPr>
        <w:t>。抵押并不必然转移标的物权属，J公司已开具发票并为张某办理了房屋权属变更手续，其行为实际上已构成销售，但销售价格明显偏低，导致了少缴税款。J公司提出异议，对销售价格明显偏低的认定不服。为增强公信力，检查组提请宣城市物价局对该房产进行价格认证，物价局价格认证中心鉴定后，确认该房产同期销售总价为3300万元。</w:t>
      </w:r>
    </w:p>
    <w:p>
      <w:pPr>
        <w:spacing w:before="156" w:beforeLines="50" w:beforeAutospacing="0" w:after="156" w:afterLines="50" w:afterAutospacing="0" w:line="360" w:lineRule="auto"/>
        <w:ind w:firstLine="480" w:firstLineChars="200"/>
        <w:rPr>
          <w:rFonts w:hint="eastAsia" w:ascii="楷体" w:hAnsi="楷体" w:eastAsia="楷体"/>
          <w:color w:val="0070C0"/>
          <w:lang w:eastAsia="zh-CN"/>
        </w:rPr>
      </w:pPr>
      <w:r>
        <w:rPr>
          <w:rFonts w:hint="eastAsia" w:ascii="楷体" w:hAnsi="楷体" w:eastAsia="楷体"/>
          <w:color w:val="0070C0"/>
          <w:lang w:eastAsia="zh-CN"/>
        </w:rPr>
        <w:t>三、天价咨询费问题（2000万元房地产管理咨询费）。检查组赴上海某咨询公司实施调查，发现该咨询公司已被税务机关认定为非正常户：到该咨询公司开户行调查，其银行交易记录并无该笔款项。检查组决定倒查该笔资金流向。检查人员通过芜湖C公司开户行查明该笔资金最后收款人为芜湖某实业公司等三个单位，再通过上述三个单位的开户行确定该笔资金最后流人黄某账户。陈某承认虚构咨询业务，借用其亲属黄某银行卡，以对外支付咨询费名义将1955万元资金装入自己腰包，逃避纳税义务。</w:t>
      </w:r>
    </w:p>
    <w:p>
      <w:pPr>
        <w:spacing w:before="156" w:beforeLines="50" w:beforeAutospacing="0" w:after="156" w:afterLines="50" w:afterAutospacing="0" w:line="360" w:lineRule="auto"/>
        <w:ind w:firstLine="480" w:firstLineChars="200"/>
        <w:rPr>
          <w:rFonts w:hint="eastAsia" w:ascii="楷体" w:hAnsi="楷体" w:eastAsia="楷体"/>
          <w:color w:val="0070C0"/>
          <w:lang w:eastAsia="zh-CN"/>
        </w:rPr>
      </w:pPr>
      <w:r>
        <w:rPr>
          <w:rFonts w:hint="eastAsia" w:ascii="楷体" w:hAnsi="楷体" w:eastAsia="楷体"/>
          <w:color w:val="0070C0"/>
          <w:lang w:eastAsia="zh-CN"/>
        </w:rPr>
        <w:t>四、股东会议决定给财务副总经理陈某税后奖励，但未按规定将已代扣的个人所得税计人"应交税费——应交个人所得税"科目,也未实际申报缴纳。</w:t>
      </w:r>
    </w:p>
    <w:p>
      <w:pPr>
        <w:spacing w:before="156" w:beforeLines="50" w:beforeAutospacing="0" w:after="156" w:afterLines="50" w:afterAutospacing="0" w:line="360" w:lineRule="auto"/>
        <w:ind w:firstLine="480" w:firstLineChars="200"/>
        <w:rPr>
          <w:rFonts w:hint="eastAsia" w:ascii="楷体" w:hAnsi="楷体" w:eastAsia="楷体" w:cs="楷体"/>
          <w:color w:val="0000FF"/>
          <w:szCs w:val="24"/>
        </w:rPr>
      </w:pPr>
      <w:r>
        <w:rPr>
          <w:rFonts w:hint="eastAsia" w:ascii="楷体" w:hAnsi="楷体" w:eastAsia="楷体"/>
          <w:color w:val="0070C0"/>
          <w:lang w:eastAsia="zh-CN"/>
        </w:rPr>
        <w:t>五、</w:t>
      </w:r>
      <w:r>
        <w:rPr>
          <w:rFonts w:hint="eastAsia" w:ascii="楷体" w:hAnsi="楷体" w:eastAsia="楷体" w:cs="楷体"/>
          <w:color w:val="0000FF"/>
          <w:szCs w:val="24"/>
        </w:rPr>
        <w:t>参照《最高人民法院关于审理偷税抗税刑事案件具体应用法律若干问题的解释》（</w:t>
      </w:r>
      <w:r>
        <w:rPr>
          <w:rFonts w:hint="eastAsia" w:ascii="楷体" w:hAnsi="楷体" w:eastAsia="楷体" w:cs="楷体"/>
          <w:color w:val="0000FF"/>
        </w:rPr>
        <w:fldChar w:fldCharType="begin"/>
      </w:r>
      <w:r>
        <w:rPr>
          <w:rFonts w:hint="eastAsia" w:ascii="楷体" w:hAnsi="楷体" w:eastAsia="楷体" w:cs="楷体"/>
          <w:color w:val="0000FF"/>
        </w:rPr>
        <w:instrText xml:space="preserve"> HYPERLINK "http://ssfb86.com/index/News/detail/newsid/3975.html" </w:instrText>
      </w:r>
      <w:r>
        <w:rPr>
          <w:rFonts w:hint="eastAsia" w:ascii="楷体" w:hAnsi="楷体" w:eastAsia="楷体" w:cs="楷体"/>
          <w:color w:val="0000FF"/>
        </w:rPr>
        <w:fldChar w:fldCharType="separate"/>
      </w:r>
      <w:r>
        <w:rPr>
          <w:rStyle w:val="12"/>
          <w:rFonts w:hint="eastAsia" w:ascii="楷体" w:hAnsi="楷体" w:eastAsia="楷体" w:cs="楷体"/>
          <w:color w:val="0000FF"/>
          <w:szCs w:val="24"/>
        </w:rPr>
        <w:t>法释（2002〕33号</w:t>
      </w:r>
      <w:r>
        <w:rPr>
          <w:rStyle w:val="12"/>
          <w:rFonts w:hint="eastAsia" w:ascii="楷体" w:hAnsi="楷体" w:eastAsia="楷体" w:cs="楷体"/>
          <w:color w:val="0000FF"/>
          <w:szCs w:val="24"/>
        </w:rPr>
        <w:fldChar w:fldCharType="end"/>
      </w:r>
      <w:r>
        <w:rPr>
          <w:rFonts w:hint="eastAsia" w:ascii="楷体" w:hAnsi="楷体" w:eastAsia="楷体" w:cs="楷体"/>
          <w:color w:val="0000FF"/>
          <w:szCs w:val="24"/>
        </w:rPr>
        <w:t>）第一条第二款规定，扣缴义务人书面承诺代纳税人支付税款的，应当认定扣缴义务人已扣税款。J公司股东会议决定给陈某税后奖励，但未申报缴纳已扣的个人所得税，可判定其具有主观故意。</w:t>
      </w:r>
    </w:p>
    <w:p>
      <w:pPr>
        <w:spacing w:before="156" w:beforeLines="50" w:beforeAutospacing="0" w:after="156" w:afterLines="50" w:afterAutospacing="0" w:line="360" w:lineRule="auto"/>
        <w:ind w:firstLine="480" w:firstLineChars="200"/>
        <w:rPr>
          <w:rFonts w:hint="eastAsia" w:ascii="楷体" w:hAnsi="楷体" w:eastAsia="楷体" w:cs="楷体"/>
          <w:color w:val="0000FF"/>
          <w:sz w:val="24"/>
          <w:szCs w:val="24"/>
        </w:rPr>
      </w:pPr>
      <w:r>
        <w:rPr>
          <w:rFonts w:hint="eastAsia" w:ascii="楷体" w:hAnsi="楷体" w:eastAsia="楷体"/>
          <w:color w:val="0070C0"/>
          <w:lang w:eastAsia="zh-CN"/>
        </w:rPr>
        <w:t>六、</w:t>
      </w:r>
      <w:r>
        <w:rPr>
          <w:rFonts w:hint="eastAsia" w:ascii="楷体" w:hAnsi="楷体" w:eastAsia="楷体" w:cs="楷体"/>
          <w:color w:val="0000FF"/>
          <w:sz w:val="24"/>
          <w:szCs w:val="24"/>
        </w:rPr>
        <w:t>按照《</w:t>
      </w:r>
      <w:r>
        <w:rPr>
          <w:rFonts w:hint="eastAsia" w:ascii="楷体" w:hAnsi="楷体" w:eastAsia="楷体" w:cs="楷体"/>
          <w:color w:val="0000FF"/>
          <w:sz w:val="24"/>
          <w:szCs w:val="24"/>
        </w:rPr>
        <w:fldChar w:fldCharType="begin"/>
      </w:r>
      <w:r>
        <w:rPr>
          <w:rFonts w:hint="eastAsia" w:ascii="楷体" w:hAnsi="楷体" w:eastAsia="楷体" w:cs="楷体"/>
          <w:color w:val="0000FF"/>
          <w:sz w:val="24"/>
          <w:szCs w:val="24"/>
        </w:rPr>
        <w:instrText xml:space="preserve"> HYPERLINK "http://ssfb86.com/index/News/detail/newsid/8368.html" </w:instrText>
      </w:r>
      <w:r>
        <w:rPr>
          <w:rFonts w:hint="eastAsia" w:ascii="楷体" w:hAnsi="楷体" w:eastAsia="楷体" w:cs="楷体"/>
          <w:color w:val="0000FF"/>
          <w:sz w:val="24"/>
          <w:szCs w:val="24"/>
        </w:rPr>
        <w:fldChar w:fldCharType="separate"/>
      </w:r>
      <w:r>
        <w:rPr>
          <w:rStyle w:val="12"/>
          <w:rFonts w:hint="eastAsia" w:ascii="楷体" w:hAnsi="楷体" w:eastAsia="楷体" w:cs="楷体"/>
          <w:color w:val="0000FF"/>
          <w:sz w:val="24"/>
          <w:szCs w:val="24"/>
        </w:rPr>
        <w:t>中华人民共和国刑法</w:t>
      </w:r>
      <w:r>
        <w:rPr>
          <w:rStyle w:val="12"/>
          <w:rFonts w:hint="eastAsia" w:ascii="楷体" w:hAnsi="楷体" w:eastAsia="楷体" w:cs="楷体"/>
          <w:color w:val="0000FF"/>
          <w:sz w:val="24"/>
          <w:szCs w:val="24"/>
        </w:rPr>
        <w:fldChar w:fldCharType="end"/>
      </w:r>
      <w:r>
        <w:rPr>
          <w:rFonts w:hint="eastAsia" w:ascii="楷体" w:hAnsi="楷体" w:eastAsia="楷体" w:cs="楷体"/>
          <w:color w:val="0000FF"/>
          <w:sz w:val="24"/>
          <w:szCs w:val="24"/>
        </w:rPr>
        <w:t>》第二百零一条规定，纳税人和扣缴义务人构成逃税罪的要件不同，对纳税人可以适用初犯免责条款，对扣缴义务人则不适用。扣缴义务人不缴或者少缴已扣、已收税款的行为，既损害了国家的税收征收制度，也侵犯了国家财产权，此类案件不适用</w:t>
      </w:r>
      <w:bookmarkStart w:id="0" w:name="_GoBack"/>
      <w:bookmarkEnd w:id="0"/>
      <w:r>
        <w:rPr>
          <w:rFonts w:hint="eastAsia" w:ascii="楷体" w:hAnsi="楷体" w:eastAsia="楷体" w:cs="楷体"/>
          <w:color w:val="0000FF"/>
          <w:sz w:val="24"/>
          <w:szCs w:val="24"/>
        </w:rPr>
        <w:t>初犯免责条款，税务机关应予移送。</w:t>
      </w:r>
    </w:p>
    <w:p>
      <w:pPr>
        <w:spacing w:before="156" w:beforeLines="50" w:beforeAutospacing="0" w:after="156" w:afterLines="50" w:afterAutospacing="0" w:line="360" w:lineRule="auto"/>
        <w:ind w:firstLine="480" w:firstLineChars="200"/>
        <w:rPr>
          <w:rFonts w:hint="eastAsia" w:ascii="楷体" w:hAnsi="楷体" w:eastAsia="楷体"/>
          <w:color w:val="0070C0"/>
          <w:lang w:eastAsia="zh-CN"/>
        </w:rPr>
      </w:pPr>
    </w:p>
    <w:p>
      <w:pPr>
        <w:spacing w:beforeLines="50" w:beforeAutospacing="0" w:afterLines="50" w:afterAutospacing="0" w:line="360" w:lineRule="auto"/>
        <w:ind w:firstLine="480" w:firstLineChars="200"/>
        <w:rPr>
          <w:rFonts w:hint="eastAsia" w:ascii="楷体" w:hAnsi="楷体" w:eastAsia="楷体"/>
          <w:color w:val="0070C0"/>
          <w:lang w:eastAsia="zh-CN"/>
        </w:rPr>
      </w:pPr>
    </w:p>
    <w:p>
      <w:pPr>
        <w:pStyle w:val="2"/>
        <w:spacing w:beforeLines="50" w:beforeAutospacing="0" w:afterLines="50" w:afterAutospacing="0" w:line="360" w:lineRule="auto"/>
        <w:rPr>
          <w:rFonts w:ascii="宋体" w:hAnsi="宋体" w:eastAsia="宋体"/>
          <w:sz w:val="24"/>
          <w:szCs w:val="24"/>
        </w:rPr>
      </w:pPr>
      <w:r>
        <w:rPr>
          <w:rFonts w:hint="eastAsia" w:ascii="宋体" w:hAnsi="宋体" w:eastAsia="宋体"/>
          <w:sz w:val="24"/>
          <w:szCs w:val="24"/>
        </w:rPr>
        <w:t>思考</w:t>
      </w:r>
    </w:p>
    <w:p>
      <w:pPr>
        <w:pStyle w:val="8"/>
        <w:spacing w:beforeLines="50" w:beforeAutospacing="0" w:afterLines="50" w:afterAutospacing="0" w:line="360" w:lineRule="auto"/>
        <w:ind w:firstLine="386"/>
        <w:rPr>
          <w:rFonts w:ascii="楷体" w:hAnsi="楷体" w:eastAsia="楷体"/>
          <w:color w:val="0070C0"/>
        </w:rPr>
      </w:pPr>
    </w:p>
    <w:p>
      <w:pPr>
        <w:spacing w:beforeLines="50" w:beforeAutospacing="0" w:afterLines="50" w:afterAutospacing="0" w:line="360" w:lineRule="auto"/>
        <w:ind w:firstLine="480" w:firstLineChars="200"/>
        <w:rPr>
          <w:rFonts w:hint="eastAsia" w:ascii="宋体" w:hAnsi="宋体" w:eastAsia="宋体"/>
        </w:rPr>
      </w:pPr>
      <w:r>
        <w:rPr>
          <w:rFonts w:hint="eastAsia" w:ascii="楷体" w:hAnsi="楷体" w:eastAsia="楷体"/>
          <w:color w:val="0070C0"/>
        </w:rPr>
        <w:t>一、</w:t>
      </w:r>
      <w:r>
        <w:rPr>
          <w:rFonts w:hint="eastAsia" w:ascii="楷体" w:hAnsi="楷体" w:eastAsia="楷体"/>
          <w:color w:val="0070C0"/>
          <w:lang w:eastAsia="zh-CN"/>
        </w:rPr>
        <w:t>拆迁</w:t>
      </w:r>
      <w:r>
        <w:rPr>
          <w:rFonts w:hint="eastAsia" w:ascii="楷体" w:hAnsi="楷体" w:eastAsia="楷体"/>
          <w:color w:val="0070C0"/>
        </w:rPr>
        <w:t>安置房及基础配套工程建设补贴款</w:t>
      </w:r>
      <w:r>
        <w:rPr>
          <w:rFonts w:hint="eastAsia" w:ascii="楷体" w:hAnsi="楷体" w:eastAsia="楷体"/>
          <w:color w:val="0070C0"/>
          <w:lang w:eastAsia="zh-CN"/>
        </w:rPr>
        <w:t>未作收入、低价销售安置房、虚构天价咨询费，是否涉嫌偷税</w:t>
      </w:r>
      <w:r>
        <w:rPr>
          <w:rFonts w:hint="eastAsia" w:ascii="楷体" w:hAnsi="楷体" w:eastAsia="楷体"/>
          <w:color w:val="0070C0"/>
        </w:rPr>
        <w:t>？</w:t>
      </w:r>
    </w:p>
    <w:p>
      <w:pPr>
        <w:spacing w:before="156" w:beforeLines="50" w:beforeAutospacing="0" w:after="156" w:afterLines="50" w:afterAutospacing="0" w:line="360" w:lineRule="auto"/>
        <w:jc w:val="left"/>
        <w:rPr>
          <w:rFonts w:hint="eastAsia" w:ascii="宋体" w:hAnsi="宋体" w:eastAsia="宋体"/>
          <w:kern w:val="0"/>
        </w:rPr>
      </w:pPr>
    </w:p>
    <w:p>
      <w:pPr>
        <w:spacing w:before="156" w:beforeLines="50" w:beforeAutospacing="0" w:after="156" w:afterLines="50" w:afterAutospacing="0" w:line="360" w:lineRule="auto"/>
        <w:jc w:val="left"/>
        <w:rPr>
          <w:rFonts w:hint="eastAsia" w:ascii="宋体" w:hAnsi="宋体" w:eastAsia="宋体"/>
          <w:kern w:val="0"/>
        </w:rPr>
      </w:pPr>
    </w:p>
    <w:p>
      <w:pPr>
        <w:spacing w:before="156" w:beforeLines="50" w:beforeAutospacing="0" w:after="156" w:afterLines="50" w:afterAutospacing="0" w:line="360" w:lineRule="auto"/>
        <w:jc w:val="center"/>
        <w:rPr>
          <w:rFonts w:ascii="宋体" w:hAnsi="宋体" w:eastAsia="宋体"/>
          <w:b/>
          <w:color w:val="C55911" w:themeColor="accent2" w:themeShade="BF"/>
          <w:sz w:val="44"/>
          <w:szCs w:val="44"/>
        </w:rPr>
      </w:pPr>
      <w:r>
        <w:rPr>
          <w:rFonts w:hint="eastAsia" w:ascii="宋体" w:hAnsi="宋体" w:eastAsia="宋体"/>
          <w:b/>
          <w:color w:val="C55911" w:themeColor="accent2" w:themeShade="BF"/>
          <w:sz w:val="44"/>
          <w:szCs w:val="44"/>
        </w:rPr>
        <w:t>安徽</w:t>
      </w:r>
      <w:r>
        <w:rPr>
          <w:rFonts w:ascii="宋体" w:hAnsi="宋体" w:eastAsia="宋体"/>
          <w:b/>
          <w:color w:val="C55911" w:themeColor="accent2" w:themeShade="BF"/>
          <w:sz w:val="44"/>
          <w:szCs w:val="44"/>
        </w:rPr>
        <w:t>J置业有限公司偷税案</w:t>
      </w:r>
    </w:p>
    <w:p>
      <w:pPr>
        <w:spacing w:before="156" w:beforeLines="50" w:beforeAutospacing="0" w:after="156" w:afterLines="50" w:afterAutospacing="0" w:line="360" w:lineRule="auto"/>
        <w:rPr>
          <w:rFonts w:ascii="宋体" w:hAnsi="宋体" w:eastAsia="宋体"/>
        </w:rPr>
      </w:pPr>
    </w:p>
    <w:p>
      <w:pPr>
        <w:spacing w:before="156" w:beforeLines="50" w:beforeAutospacing="0" w:after="156" w:afterLines="50" w:afterAutospacing="0" w:line="360" w:lineRule="auto"/>
        <w:jc w:val="center"/>
        <w:rPr>
          <w:rFonts w:ascii="宋体" w:hAnsi="宋体" w:eastAsia="宋体"/>
        </w:rPr>
      </w:pPr>
      <w:r>
        <w:rPr>
          <w:rFonts w:hint="eastAsia" w:ascii="宋体" w:hAnsi="宋体" w:eastAsia="宋体"/>
        </w:rPr>
        <w:t>——</w:t>
      </w:r>
      <w:r>
        <w:fldChar w:fldCharType="begin"/>
      </w:r>
      <w:r>
        <w:instrText xml:space="preserve"> HYPERLINK "http://ssfb86.com/index/News/detail/newsid/10022.html" </w:instrText>
      </w:r>
      <w:r>
        <w:fldChar w:fldCharType="separate"/>
      </w:r>
      <w:r>
        <w:rPr>
          <w:rStyle w:val="12"/>
          <w:rFonts w:hint="eastAsia" w:ascii="宋体" w:hAnsi="宋体" w:eastAsia="宋体"/>
        </w:rPr>
        <w:t>委托物价部门价格认证确定计税依据</w:t>
      </w:r>
      <w:r>
        <w:rPr>
          <w:rStyle w:val="12"/>
          <w:rFonts w:hint="eastAsia" w:ascii="宋体" w:hAnsi="宋体" w:eastAsia="宋体"/>
        </w:rPr>
        <w:fldChar w:fldCharType="end"/>
      </w:r>
    </w:p>
    <w:p>
      <w:pPr>
        <w:spacing w:before="156" w:beforeLines="50" w:beforeAutospacing="0" w:after="156" w:afterLines="50" w:afterAutospacing="0" w:line="360" w:lineRule="auto"/>
        <w:rPr>
          <w:rFonts w:ascii="宋体" w:hAnsi="宋体" w:eastAsia="宋体"/>
        </w:rPr>
      </w:pPr>
    </w:p>
    <w:p>
      <w:pPr>
        <w:spacing w:before="156" w:beforeLines="50" w:beforeAutospacing="0" w:after="156" w:afterLines="50" w:afterAutospacing="0" w:line="360" w:lineRule="auto"/>
        <w:ind w:firstLine="482" w:firstLineChars="200"/>
        <w:rPr>
          <w:rFonts w:ascii="宋体" w:hAnsi="宋体" w:eastAsia="宋体"/>
        </w:rPr>
      </w:pPr>
      <w:r>
        <w:rPr>
          <w:rFonts w:hint="eastAsia" w:ascii="宋体" w:hAnsi="宋体" w:eastAsia="宋体"/>
          <w:b/>
        </w:rPr>
        <w:t>〔关键词〕</w:t>
      </w:r>
      <w:r>
        <w:rPr>
          <w:rFonts w:hint="eastAsia" w:ascii="宋体" w:hAnsi="宋体" w:eastAsia="宋体"/>
        </w:rPr>
        <w:t>不征税收入</w:t>
      </w:r>
      <w:r>
        <w:rPr>
          <w:rFonts w:ascii="宋体" w:hAnsi="宋体" w:eastAsia="宋体"/>
        </w:rPr>
        <w:t>低价销售价格认证</w:t>
      </w:r>
    </w:p>
    <w:p>
      <w:pPr>
        <w:spacing w:before="156" w:beforeLines="50" w:beforeAutospacing="0" w:after="156" w:afterLines="50" w:afterAutospacing="0" w:line="360" w:lineRule="auto"/>
        <w:rPr>
          <w:rFonts w:ascii="宋体" w:hAnsi="宋体" w:eastAsia="宋体"/>
          <w:szCs w:val="24"/>
        </w:rPr>
      </w:pPr>
    </w:p>
    <w:p>
      <w:pPr>
        <w:pStyle w:val="2"/>
        <w:spacing w:before="50" w:beforeAutospacing="0" w:after="50" w:afterAutospacing="0" w:line="360" w:lineRule="auto"/>
        <w:rPr>
          <w:rFonts w:ascii="宋体" w:hAnsi="宋体" w:eastAsia="宋体"/>
          <w:sz w:val="24"/>
          <w:szCs w:val="24"/>
        </w:rPr>
      </w:pPr>
      <w:r>
        <w:rPr>
          <w:rFonts w:ascii="宋体" w:hAnsi="宋体" w:eastAsia="宋体"/>
          <w:sz w:val="24"/>
          <w:szCs w:val="24"/>
        </w:rPr>
        <w:t>基本案情</w:t>
      </w:r>
    </w:p>
    <w:p>
      <w:pPr>
        <w:spacing w:before="50" w:beforeAutospacing="0" w:after="50" w:afterAutospacing="0" w:line="360" w:lineRule="auto"/>
        <w:rPr>
          <w:rFonts w:ascii="宋体" w:hAnsi="宋体" w:eastAsia="宋体"/>
          <w:szCs w:val="24"/>
        </w:rPr>
      </w:pP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一、检查过程</w:t>
      </w:r>
    </w:p>
    <w:p>
      <w:pPr>
        <w:pStyle w:val="4"/>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（一）不合常理的账簿数据隐藏了什么</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2017年底，安徽省宣城市地方税务局稽查局按照随机抽查计划，对</w:t>
      </w:r>
      <w:r>
        <w:rPr>
          <w:rFonts w:hint="eastAsia" w:ascii="宋体" w:hAnsi="宋体" w:eastAsia="宋体"/>
          <w:szCs w:val="24"/>
        </w:rPr>
        <w:t>J</w:t>
      </w:r>
      <w:r>
        <w:rPr>
          <w:rFonts w:ascii="宋体" w:hAnsi="宋体" w:eastAsia="宋体"/>
          <w:szCs w:val="24"/>
        </w:rPr>
        <w:t>置业有限公司（以下简称〕公司）进行税收检查。公司成立于2010年12月</w:t>
      </w:r>
      <w:r>
        <w:rPr>
          <w:rFonts w:hint="eastAsia" w:ascii="宋体" w:hAnsi="宋体" w:eastAsia="宋体"/>
          <w:szCs w:val="24"/>
        </w:rPr>
        <w:t>，</w:t>
      </w:r>
      <w:r>
        <w:rPr>
          <w:rFonts w:ascii="宋体" w:hAnsi="宋体" w:eastAsia="宋体"/>
          <w:szCs w:val="24"/>
        </w:rPr>
        <w:t>6名股东均为自然人，股份均等；开发项目包括安置房、住宅楼和商业地产，共14万平方米。检查时，J公司开发项目已全部完工待验收，因资金链断裂处于经营不正常状态。</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检查人员通过财务指标比率分析、销售台账对比分析、会计科目余额表变动分析、会计科目关联分析等方法；发现四个疑点：一是</w:t>
      </w:r>
      <w:r>
        <w:rPr>
          <w:rFonts w:hint="eastAsia" w:ascii="宋体" w:hAnsi="宋体" w:eastAsia="宋体"/>
          <w:color w:val="C55911" w:themeColor="accent2" w:themeShade="BF"/>
          <w:szCs w:val="24"/>
        </w:rPr>
        <w:t>其他应付款占总负债的比例高达</w:t>
      </w:r>
      <w:r>
        <w:rPr>
          <w:rFonts w:ascii="宋体" w:hAnsi="宋体" w:eastAsia="宋体"/>
          <w:color w:val="C55911" w:themeColor="accent2" w:themeShade="BF"/>
          <w:szCs w:val="24"/>
        </w:rPr>
        <w:t>83%</w:t>
      </w:r>
      <w:r>
        <w:rPr>
          <w:rFonts w:ascii="宋体" w:hAnsi="宋体" w:eastAsia="宋体"/>
          <w:szCs w:val="24"/>
        </w:rPr>
        <w:t>，远超行业平均水平。二是</w:t>
      </w:r>
      <w:r>
        <w:rPr>
          <w:rFonts w:ascii="宋体" w:hAnsi="宋体" w:eastAsia="宋体"/>
          <w:color w:val="C55911" w:themeColor="accent2" w:themeShade="BF"/>
          <w:szCs w:val="24"/>
        </w:rPr>
        <w:t>地产销售价格与开发成本倒挂当地同期同类房产开发成本为每平方米4500元</w:t>
      </w:r>
      <w:r>
        <w:rPr>
          <w:rFonts w:ascii="宋体" w:hAnsi="宋体" w:eastAsia="宋体"/>
          <w:szCs w:val="24"/>
        </w:rPr>
        <w:t>，J公司部</w:t>
      </w:r>
      <w:r>
        <w:rPr>
          <w:rFonts w:ascii="宋体" w:hAnsi="宋体" w:eastAsia="宋体"/>
          <w:color w:val="C55911" w:themeColor="accent2" w:themeShade="BF"/>
          <w:szCs w:val="24"/>
        </w:rPr>
        <w:t>分商业地产销售价格仅为每平方米2700元</w:t>
      </w:r>
      <w:r>
        <w:rPr>
          <w:rFonts w:ascii="宋体" w:hAnsi="宋体" w:eastAsia="宋体"/>
          <w:szCs w:val="24"/>
        </w:rPr>
        <w:t>，不符合经营常规。三是有</w:t>
      </w:r>
      <w:r>
        <w:rPr>
          <w:rFonts w:ascii="宋体" w:hAnsi="宋体" w:eastAsia="宋体"/>
          <w:color w:val="C55911" w:themeColor="accent2" w:themeShade="BF"/>
          <w:szCs w:val="24"/>
        </w:rPr>
        <w:t>2000万元咨询费计入"其他应收款”</w:t>
      </w:r>
      <w:r>
        <w:rPr>
          <w:rFonts w:ascii="宋体" w:hAnsi="宋体" w:eastAsia="宋体"/>
          <w:szCs w:val="24"/>
        </w:rPr>
        <w:t>，科目，未结转当期损益。四是</w:t>
      </w:r>
      <w:r>
        <w:rPr>
          <w:rFonts w:ascii="宋体" w:hAnsi="宋体" w:eastAsia="宋体"/>
          <w:color w:val="C55911" w:themeColor="accent2" w:themeShade="BF"/>
          <w:szCs w:val="24"/>
        </w:rPr>
        <w:t>某隐名股东的100万元借款长期</w:t>
      </w:r>
      <w:r>
        <w:rPr>
          <w:rFonts w:hint="eastAsia" w:ascii="宋体" w:hAnsi="宋体" w:eastAsia="宋体"/>
          <w:color w:val="C55911" w:themeColor="accent2" w:themeShade="BF"/>
          <w:szCs w:val="24"/>
        </w:rPr>
        <w:t>挂</w:t>
      </w:r>
      <w:r>
        <w:rPr>
          <w:rFonts w:ascii="宋体" w:hAnsi="宋体" w:eastAsia="宋体"/>
          <w:color w:val="C55911" w:themeColor="accent2" w:themeShade="BF"/>
          <w:szCs w:val="24"/>
        </w:rPr>
        <w:t>账不还，无借款合同，也无相关凭据</w:t>
      </w:r>
      <w:r>
        <w:rPr>
          <w:rFonts w:ascii="宋体" w:hAnsi="宋体" w:eastAsia="宋体"/>
          <w:szCs w:val="24"/>
        </w:rPr>
        <w:t>。</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针对以上疑点，检查组决定采取内查和外调相结合的方法进一步检查。一组人员调取企业账簿、合同等相关资料，运用信息手段提取企业财务数据进行比对分析；另一组人员根据企业“其他应付款”明细项目内容，开展外围调查取证，结合公司提供的相关资料实施定向检查。</w:t>
      </w:r>
    </w:p>
    <w:p>
      <w:pPr>
        <w:pStyle w:val="4"/>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（二）</w:t>
      </w:r>
      <w:r>
        <w:rPr>
          <w:rFonts w:hint="eastAsia" w:ascii="宋体" w:hAnsi="宋体" w:eastAsia="宋体"/>
          <w:sz w:val="24"/>
          <w:szCs w:val="24"/>
          <w:lang w:val="en-US" w:eastAsia="zh-CN"/>
        </w:rPr>
        <w:t>1.</w:t>
      </w:r>
      <w:r>
        <w:rPr>
          <w:rFonts w:ascii="宋体" w:hAnsi="宋体" w:eastAsia="宋体"/>
          <w:sz w:val="24"/>
          <w:szCs w:val="24"/>
        </w:rPr>
        <w:t>28亿元其他应付款是借款还是收入</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公司账簿“其他应付款”科目中显示2012年收到宣城市财政局</w:t>
      </w:r>
      <w:r>
        <w:rPr>
          <w:rFonts w:hint="eastAsia" w:ascii="宋体" w:hAnsi="宋体" w:eastAsia="宋体"/>
          <w:szCs w:val="24"/>
        </w:rPr>
        <w:t>1.</w:t>
      </w:r>
      <w:r>
        <w:rPr>
          <w:rFonts w:ascii="宋体" w:hAnsi="宋体" w:eastAsia="宋体"/>
          <w:szCs w:val="24"/>
        </w:rPr>
        <w:t>28亿元款项，一直挂账未还，附件资料只有银行资金转账凭证，对资金性质并未标注。</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财务人员解释称："</w:t>
      </w:r>
      <w:r>
        <w:rPr>
          <w:rFonts w:hint="eastAsia" w:ascii="宋体" w:hAnsi="宋体" w:eastAsia="宋体"/>
          <w:szCs w:val="24"/>
        </w:rPr>
        <w:t>J</w:t>
      </w:r>
      <w:r>
        <w:rPr>
          <w:rFonts w:ascii="宋体" w:hAnsi="宋体" w:eastAsia="宋体"/>
          <w:szCs w:val="24"/>
        </w:rPr>
        <w:t>公司是市政府招商引资企业，2012年支付土地出让金后，企业资金周转困难，政府暂借</w:t>
      </w:r>
      <w:r>
        <w:rPr>
          <w:rFonts w:hint="eastAsia" w:ascii="宋体" w:hAnsi="宋体" w:eastAsia="宋体"/>
          <w:szCs w:val="24"/>
        </w:rPr>
        <w:t>1.</w:t>
      </w:r>
      <w:r>
        <w:rPr>
          <w:rFonts w:ascii="宋体" w:hAnsi="宋体" w:eastAsia="宋体"/>
          <w:szCs w:val="24"/>
        </w:rPr>
        <w:t>28亿元资金给公司临时周转，因公司楼盘销售状况不好，资金回笼较慢，一直无法筹足资金归还该项借款，只能暂作挂账处理。”检查组要求提供借款协议，J公司称协议由某股东保管；该股东现在境外出差，无法提供</w:t>
      </w:r>
      <w:r>
        <w:rPr>
          <w:rFonts w:hint="eastAsia" w:ascii="宋体" w:hAnsi="宋体" w:eastAsia="宋体"/>
          <w:szCs w:val="24"/>
        </w:rPr>
        <w:t>.</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市财政局给予的款项究竟是什么性质呢？检查组随即到市住建委调取了市政府与该公司签订的《开发合作协议》，该协议中相关的表述为：</w:t>
      </w:r>
      <w:r>
        <w:rPr>
          <w:rFonts w:ascii="宋体" w:hAnsi="宋体" w:eastAsia="宋体"/>
          <w:szCs w:val="24"/>
        </w:rPr>
        <w:t>"市政有将收到的土地出让金扣除货币化补偿及相关费用后，返还给该公司用于拆迁安置房建设和配套工程建设。”</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检查组又到市财政局调取</w:t>
      </w:r>
      <w:r>
        <w:rPr>
          <w:rFonts w:ascii="宋体" w:hAnsi="宋体" w:eastAsia="宋体"/>
          <w:color w:val="C55911" w:themeColor="accent2" w:themeShade="BF"/>
          <w:szCs w:val="24"/>
        </w:rPr>
        <w:t>资金拨付文件及政府会议纪要，相关文件也表明</w:t>
      </w:r>
      <w:r>
        <w:rPr>
          <w:rFonts w:hint="eastAsia" w:ascii="宋体" w:hAnsi="宋体" w:eastAsia="宋体"/>
          <w:color w:val="C55911" w:themeColor="accent2" w:themeShade="BF"/>
          <w:szCs w:val="24"/>
        </w:rPr>
        <w:t>1.</w:t>
      </w:r>
      <w:r>
        <w:rPr>
          <w:rFonts w:ascii="宋体" w:hAnsi="宋体" w:eastAsia="宋体"/>
          <w:color w:val="C55911" w:themeColor="accent2" w:themeShade="BF"/>
          <w:szCs w:val="24"/>
        </w:rPr>
        <w:t>28亿元资金并非该公司的应付借款，而是市政府支付的拆迁安置房及基础配套工程建设补贴款。根据税法规定该款项属于应税收</w:t>
      </w:r>
      <w:r>
        <w:rPr>
          <w:rFonts w:hint="eastAsia" w:ascii="宋体" w:hAnsi="宋体" w:eastAsia="宋体"/>
          <w:color w:val="C55911" w:themeColor="accent2" w:themeShade="BF"/>
          <w:szCs w:val="24"/>
        </w:rPr>
        <w:t>入</w:t>
      </w:r>
      <w:r>
        <w:rPr>
          <w:rFonts w:ascii="宋体" w:hAnsi="宋体" w:eastAsia="宋体"/>
          <w:color w:val="C55911" w:themeColor="accent2" w:themeShade="BF"/>
          <w:szCs w:val="24"/>
        </w:rPr>
        <w:t>，应申报纳税</w:t>
      </w:r>
      <w:r>
        <w:rPr>
          <w:rFonts w:ascii="宋体" w:hAnsi="宋体" w:eastAsia="宋体"/>
          <w:szCs w:val="24"/>
        </w:rPr>
        <w:t>。在白纸黑字的证据面前，公司财务人员不得不承认通过"其他应付款</w:t>
      </w:r>
      <w:r>
        <w:rPr>
          <w:rFonts w:hint="eastAsia" w:ascii="宋体" w:hAnsi="宋体" w:eastAsia="宋体"/>
          <w:szCs w:val="24"/>
        </w:rPr>
        <w:t>”</w:t>
      </w:r>
      <w:r>
        <w:rPr>
          <w:rFonts w:ascii="宋体" w:hAnsi="宋体" w:eastAsia="宋体"/>
          <w:szCs w:val="24"/>
        </w:rPr>
        <w:t>科目调节利润的事实。</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经核算</w:t>
      </w:r>
      <w:r>
        <w:rPr>
          <w:rFonts w:hint="eastAsia" w:ascii="宋体" w:hAnsi="宋体" w:eastAsia="宋体"/>
          <w:szCs w:val="24"/>
        </w:rPr>
        <w:t>；</w:t>
      </w:r>
      <w:r>
        <w:rPr>
          <w:rFonts w:ascii="宋体" w:hAnsi="宋体" w:eastAsia="宋体"/>
          <w:szCs w:val="24"/>
        </w:rPr>
        <w:t>J公司应按规定调增应纳税所得额559万元。同时，检查发现</w:t>
      </w:r>
      <w:r>
        <w:rPr>
          <w:rFonts w:hint="eastAsia" w:ascii="宋体" w:hAnsi="宋体" w:eastAsia="宋体"/>
          <w:szCs w:val="24"/>
        </w:rPr>
        <w:t>1.</w:t>
      </w:r>
      <w:r>
        <w:rPr>
          <w:rFonts w:ascii="宋体" w:hAnsi="宋体" w:eastAsia="宋体"/>
          <w:szCs w:val="24"/>
        </w:rPr>
        <w:t>28亿元补贴资金中有2000万元属于政府回购房产款，应申报缴纳营业税100万元，但公司未申报缴纳该营业税款。</w:t>
      </w:r>
    </w:p>
    <w:p>
      <w:pPr>
        <w:pStyle w:val="4"/>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（三）</w:t>
      </w:r>
      <w:r>
        <w:rPr>
          <w:rFonts w:ascii="宋体" w:hAnsi="宋体" w:eastAsia="宋体"/>
          <w:sz w:val="24"/>
          <w:szCs w:val="24"/>
        </w:rPr>
        <w:t>3300万元房产缘何只卖1000万元</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检查人员核对公司房产销售情况时发现，</w:t>
      </w:r>
      <w:r>
        <w:rPr>
          <w:rFonts w:ascii="宋体" w:hAnsi="宋体" w:eastAsia="宋体"/>
          <w:szCs w:val="24"/>
        </w:rPr>
        <w:t>2015年2月该公司以每平方米2578元的价格，向客户张某销售商业房产3879平方米，价款共计1000万元。而当地同期同地段同类房产的销售价格每平方米近10000</w:t>
      </w:r>
      <w:r>
        <w:rPr>
          <w:rFonts w:hint="eastAsia" w:ascii="宋体" w:hAnsi="宋体" w:eastAsia="宋体"/>
          <w:szCs w:val="24"/>
        </w:rPr>
        <w:t>元</w:t>
      </w:r>
      <w:r>
        <w:rPr>
          <w:rFonts w:ascii="宋体" w:hAnsi="宋体" w:eastAsia="宋体"/>
          <w:szCs w:val="24"/>
        </w:rPr>
        <w:t>，公司的销售价格明显信低。</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对此；J公司解释称，2014年因资金紧张，与张某签订借款合同；以估价为1000万元的3879平方米商业地产作担保，向张某借款1000万元，后因公司不能按约定还款，遂于2015年12月按约定将房产交付给张某，该笔业务实际属于抵押和债务清偿。</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检查组指出，</w:t>
      </w:r>
      <w:r>
        <w:rPr>
          <w:rFonts w:ascii="宋体" w:hAnsi="宋体" w:eastAsia="宋体"/>
          <w:color w:val="C55911" w:themeColor="accent2" w:themeShade="BF"/>
          <w:szCs w:val="24"/>
        </w:rPr>
        <w:t>抵押并不转移标的物权属</w:t>
      </w:r>
      <w:r>
        <w:rPr>
          <w:rFonts w:ascii="宋体" w:hAnsi="宋体" w:eastAsia="宋体"/>
          <w:szCs w:val="24"/>
        </w:rPr>
        <w:t>，</w:t>
      </w:r>
      <w:r>
        <w:rPr>
          <w:rFonts w:ascii="宋体" w:hAnsi="宋体" w:eastAsia="宋体"/>
          <w:color w:val="C55911" w:themeColor="accent2" w:themeShade="BF"/>
          <w:szCs w:val="24"/>
        </w:rPr>
        <w:t>J公司已</w:t>
      </w:r>
      <w:r>
        <w:rPr>
          <w:rFonts w:hint="eastAsia" w:ascii="宋体" w:hAnsi="宋体" w:eastAsia="宋体"/>
          <w:color w:val="C55911" w:themeColor="accent2" w:themeShade="BF"/>
          <w:szCs w:val="24"/>
        </w:rPr>
        <w:t>开具发票并为张某办理了房屋权属变更手续，其行为实际上已构成销售，但销售价格明显偏低，导致了少缴税款。</w:t>
      </w:r>
      <w:r>
        <w:rPr>
          <w:rFonts w:ascii="宋体" w:hAnsi="宋体" w:eastAsia="宋体"/>
          <w:color w:val="C55911" w:themeColor="accent2" w:themeShade="BF"/>
          <w:szCs w:val="24"/>
        </w:rPr>
        <w:t>J公司提出异议，对销售价格明显偏低的认定</w:t>
      </w:r>
      <w:r>
        <w:rPr>
          <w:rFonts w:hint="eastAsia" w:ascii="宋体" w:hAnsi="宋体" w:eastAsia="宋体"/>
          <w:color w:val="C55911" w:themeColor="accent2" w:themeShade="BF"/>
          <w:szCs w:val="24"/>
        </w:rPr>
        <w:t>不服。为增强公信力，检查组提请宣城市物价局对该房产进行价格认证，物价局价格认证中心鉴定后，确认该房产同期销售总价为</w:t>
      </w:r>
      <w:r>
        <w:rPr>
          <w:rFonts w:ascii="宋体" w:hAnsi="宋体" w:eastAsia="宋体"/>
          <w:color w:val="C55911" w:themeColor="accent2" w:themeShade="BF"/>
          <w:szCs w:val="24"/>
        </w:rPr>
        <w:t>3300万元</w:t>
      </w:r>
      <w:r>
        <w:rPr>
          <w:rFonts w:ascii="宋体" w:hAnsi="宋体" w:eastAsia="宋体"/>
          <w:szCs w:val="24"/>
        </w:rPr>
        <w:t>，至此，J公司对价格认证结果表示接受。</w:t>
      </w:r>
    </w:p>
    <w:p>
      <w:pPr>
        <w:pStyle w:val="4"/>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（四）</w:t>
      </w:r>
      <w:r>
        <w:rPr>
          <w:rFonts w:ascii="宋体" w:hAnsi="宋体" w:eastAsia="宋体"/>
          <w:sz w:val="24"/>
          <w:szCs w:val="24"/>
        </w:rPr>
        <w:t>2000万元咨询费为何</w:t>
      </w:r>
      <w:r>
        <w:rPr>
          <w:rFonts w:hint="eastAsia" w:ascii="宋体" w:hAnsi="宋体" w:eastAsia="宋体"/>
          <w:sz w:val="24"/>
          <w:szCs w:val="24"/>
        </w:rPr>
        <w:t>不翼而飞</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针对</w:t>
      </w:r>
      <w:r>
        <w:rPr>
          <w:rFonts w:ascii="宋体" w:hAnsi="宋体" w:eastAsia="宋体"/>
          <w:szCs w:val="24"/>
        </w:rPr>
        <w:t>2000万元咨询费疑点，检查人员在审核相关凭证时发现，该款项系由</w:t>
      </w:r>
      <w:r>
        <w:rPr>
          <w:rFonts w:hint="eastAsia" w:ascii="宋体" w:hAnsi="宋体" w:eastAsia="宋体"/>
          <w:szCs w:val="24"/>
        </w:rPr>
        <w:t>J</w:t>
      </w:r>
      <w:r>
        <w:rPr>
          <w:rFonts w:ascii="宋体" w:hAnsi="宋体" w:eastAsia="宋体"/>
          <w:szCs w:val="24"/>
        </w:rPr>
        <w:t>公司委托项目建筑商芜湖C公司代为支付给上海某咨询公司。财务人员解释称，当时上海某咨询公司帮助公司融资1亿元，公司为规避政府对开发项目的资金监管，委托芜湖C公司向上海某咨询公司支付融资费用2000万元，但上海某咨询公司一直未开具发票，导致这笔费用一直记在往来账上，没有作企业所得税税前扣除。</w:t>
      </w:r>
    </w:p>
    <w:p>
      <w:pPr>
        <w:spacing w:before="156" w:beforeLines="50" w:beforeAutospacing="0" w:after="156" w:afterLines="50" w:afterAutospacing="0" w:line="360" w:lineRule="auto"/>
        <w:ind w:firstLine="480" w:firstLineChars="200"/>
        <w:rPr>
          <w:rFonts w:ascii="宋体" w:hAnsi="宋体" w:eastAsia="宋体"/>
          <w:color w:val="C55911" w:themeColor="accent2" w:themeShade="BF"/>
          <w:szCs w:val="24"/>
        </w:rPr>
      </w:pPr>
      <w:r>
        <w:rPr>
          <w:rFonts w:hint="eastAsia" w:ascii="宋体" w:hAnsi="宋体" w:eastAsia="宋体"/>
          <w:szCs w:val="24"/>
        </w:rPr>
        <w:t>为确认该项业务真实性和资金流向，检查组赴上海某咨询公司实施调查，发现该咨询公司已被税务机关认定为非正常户：</w:t>
      </w:r>
      <w:r>
        <w:rPr>
          <w:rFonts w:hint="eastAsia" w:ascii="宋体" w:hAnsi="宋体" w:eastAsia="宋体"/>
          <w:color w:val="C55911" w:themeColor="accent2" w:themeShade="BF"/>
          <w:szCs w:val="24"/>
        </w:rPr>
        <w:t>到该咨询公司开户行调查，其银行交易记录并无该笔款项</w:t>
      </w:r>
      <w:r>
        <w:rPr>
          <w:rFonts w:hint="eastAsia" w:ascii="宋体" w:hAnsi="宋体" w:eastAsia="宋体"/>
          <w:szCs w:val="24"/>
        </w:rPr>
        <w:t>。难道该笔资金不翼而飞？检查组决定</w:t>
      </w:r>
      <w:r>
        <w:rPr>
          <w:rFonts w:hint="eastAsia" w:ascii="宋体" w:hAnsi="宋体" w:eastAsia="宋体"/>
          <w:color w:val="C55911" w:themeColor="accent2" w:themeShade="BF"/>
          <w:szCs w:val="24"/>
        </w:rPr>
        <w:t>倒查该笔资金流向。检查人员通过芜湖</w:t>
      </w:r>
      <w:r>
        <w:rPr>
          <w:rFonts w:ascii="宋体" w:hAnsi="宋体" w:eastAsia="宋体"/>
          <w:color w:val="C55911" w:themeColor="accent2" w:themeShade="BF"/>
          <w:szCs w:val="24"/>
        </w:rPr>
        <w:t>C公司开户行查明该笔资金最后收款人为芜湖某实业公司等三个单位，再通过上述三个单位的开户行确定该笔资金最后流人黄某账户。黄某与</w:t>
      </w:r>
      <w:r>
        <w:rPr>
          <w:rFonts w:hint="eastAsia" w:ascii="宋体" w:hAnsi="宋体" w:eastAsia="宋体"/>
          <w:color w:val="C55911" w:themeColor="accent2" w:themeShade="BF"/>
          <w:szCs w:val="24"/>
        </w:rPr>
        <w:t>J</w:t>
      </w:r>
      <w:r>
        <w:rPr>
          <w:rFonts w:ascii="宋体" w:hAnsi="宋体" w:eastAsia="宋体"/>
          <w:color w:val="C55911" w:themeColor="accent2" w:themeShade="BF"/>
          <w:szCs w:val="24"/>
        </w:rPr>
        <w:t>公司财务副总经理陈某都是芜湖人：这其中是否存在关联交易</w:t>
      </w:r>
      <w:r>
        <w:rPr>
          <w:rFonts w:ascii="宋体" w:hAnsi="宋体" w:eastAsia="宋体"/>
          <w:szCs w:val="24"/>
        </w:rPr>
        <w:t>？，检查组先后询问了J公司法定代表人王某、财务副总经理陈某和黄某。</w:t>
      </w:r>
      <w:r>
        <w:rPr>
          <w:rFonts w:hint="eastAsia" w:ascii="宋体" w:hAnsi="宋体" w:eastAsia="宋体"/>
          <w:szCs w:val="24"/>
        </w:rPr>
        <w:t>王</w:t>
      </w:r>
      <w:r>
        <w:rPr>
          <w:rFonts w:ascii="宋体" w:hAnsi="宋体" w:eastAsia="宋体"/>
          <w:szCs w:val="24"/>
        </w:rPr>
        <w:t>某提供了2015年9月6日公司的股东会</w:t>
      </w:r>
      <w:r>
        <w:rPr>
          <w:rFonts w:hint="eastAsia" w:ascii="宋体" w:hAnsi="宋体" w:eastAsia="宋体"/>
          <w:szCs w:val="24"/>
        </w:rPr>
        <w:t>议决议，决议内容显示；</w:t>
      </w:r>
      <w:r>
        <w:rPr>
          <w:rFonts w:hint="eastAsia" w:ascii="宋体" w:hAnsi="宋体" w:eastAsia="宋体"/>
          <w:color w:val="C55911" w:themeColor="accent2" w:themeShade="BF"/>
          <w:szCs w:val="24"/>
        </w:rPr>
        <w:t>为获取1.</w:t>
      </w:r>
      <w:r>
        <w:rPr>
          <w:rFonts w:ascii="宋体" w:hAnsi="宋体" w:eastAsia="宋体"/>
          <w:color w:val="C55911" w:themeColor="accent2" w:themeShade="BF"/>
          <w:szCs w:val="24"/>
        </w:rPr>
        <w:t>2亿元贷款，J公司股东一致同意支付2000万元融资佣金。检查组查明；J公司实际</w:t>
      </w:r>
      <w:r>
        <w:rPr>
          <w:rFonts w:hint="eastAsia" w:ascii="宋体" w:hAnsi="宋体" w:eastAsia="宋体"/>
          <w:color w:val="C55911" w:themeColor="accent2" w:themeShade="BF"/>
          <w:szCs w:val="24"/>
        </w:rPr>
        <w:t>最</w:t>
      </w:r>
      <w:r>
        <w:rPr>
          <w:rFonts w:ascii="宋体" w:hAnsi="宋体" w:eastAsia="宋体"/>
          <w:color w:val="C55911" w:themeColor="accent2" w:themeShade="BF"/>
          <w:szCs w:val="24"/>
        </w:rPr>
        <w:t>终支付1955万元，但王某对该笔资金的真实流向并不知情。”</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color w:val="C55911" w:themeColor="accent2" w:themeShade="BF"/>
          <w:szCs w:val="24"/>
        </w:rPr>
        <w:t>在检查组完整证据链和心理攻势下；陈某承认虚构咨询业务，借用其亲属黄某银行卡，以对外支付咨询费名义将1955万元资金装入自己</w:t>
      </w:r>
      <w:r>
        <w:rPr>
          <w:rFonts w:hint="eastAsia" w:ascii="宋体" w:hAnsi="宋体" w:eastAsia="宋体"/>
          <w:color w:val="C55911" w:themeColor="accent2" w:themeShade="BF"/>
          <w:szCs w:val="24"/>
        </w:rPr>
        <w:t>腰</w:t>
      </w:r>
      <w:r>
        <w:rPr>
          <w:rFonts w:ascii="宋体" w:hAnsi="宋体" w:eastAsia="宋体"/>
          <w:color w:val="C55911" w:themeColor="accent2" w:themeShade="BF"/>
          <w:szCs w:val="24"/>
        </w:rPr>
        <w:t>包逃避纳税义务的违法事实。</w:t>
      </w:r>
    </w:p>
    <w:p>
      <w:pPr>
        <w:pStyle w:val="4"/>
        <w:spacing w:before="50" w:beforeAutospacing="0" w:after="50" w:afterAutospacing="0" w:line="360" w:lineRule="auto"/>
        <w:ind w:firstLine="472" w:firstLineChars="196"/>
        <w:rPr>
          <w:rFonts w:ascii="宋体" w:hAnsi="宋体" w:eastAsia="宋体"/>
          <w:sz w:val="24"/>
          <w:szCs w:val="24"/>
        </w:rPr>
      </w:pPr>
      <w:r>
        <w:rPr>
          <w:rFonts w:ascii="宋体" w:hAnsi="宋体" w:eastAsia="宋体"/>
          <w:sz w:val="24"/>
          <w:szCs w:val="24"/>
        </w:rPr>
        <w:t>（五）隐名股东百万</w:t>
      </w:r>
      <w:r>
        <w:rPr>
          <w:rFonts w:hint="eastAsia" w:ascii="宋体" w:hAnsi="宋体" w:eastAsia="宋体"/>
          <w:sz w:val="24"/>
          <w:szCs w:val="24"/>
        </w:rPr>
        <w:t>借</w:t>
      </w:r>
      <w:r>
        <w:rPr>
          <w:rFonts w:ascii="宋体" w:hAnsi="宋体" w:eastAsia="宋体"/>
          <w:sz w:val="24"/>
          <w:szCs w:val="24"/>
        </w:rPr>
        <w:t>款长期挂账为哪般，</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在询问财务副总经理陈某时，检查人员得知其是公司隐名股东。对陈某长期挂账的100万元往来款，该公司财务人员辩称是陈某借款。为进一步查明事实，检查组责成公司提供借款协议，该公司以种种理由拒绝。检查人员告知陈某如不提供借款协议，不能证明该笔借款的真实性，可能涉嫌犯罪。陈某迫于压力，最终提供了股东会议记录，</w:t>
      </w:r>
      <w:r>
        <w:rPr>
          <w:rFonts w:ascii="宋体" w:hAnsi="宋体" w:eastAsia="宋体"/>
          <w:color w:val="C55911" w:themeColor="accent2" w:themeShade="BF"/>
          <w:szCs w:val="24"/>
        </w:rPr>
        <w:t>并承认公司曾承诺就陈某引荐融资进</w:t>
      </w:r>
      <w:r>
        <w:rPr>
          <w:rFonts w:hint="eastAsia" w:ascii="宋体" w:hAnsi="宋体" w:eastAsia="宋体"/>
          <w:color w:val="C55911" w:themeColor="accent2" w:themeShade="BF"/>
          <w:szCs w:val="24"/>
        </w:rPr>
        <w:t>行税后奖励</w:t>
      </w:r>
      <w:r>
        <w:rPr>
          <w:rFonts w:ascii="宋体" w:hAnsi="宋体" w:eastAsia="宋体"/>
          <w:color w:val="C55911" w:themeColor="accent2" w:themeShade="BF"/>
          <w:szCs w:val="24"/>
        </w:rPr>
        <w:t>360万元，但由于资金紧张，只先支付了100万元</w:t>
      </w:r>
      <w:r>
        <w:rPr>
          <w:rFonts w:ascii="宋体" w:hAnsi="宋体" w:eastAsia="宋体"/>
          <w:szCs w:val="24"/>
        </w:rPr>
        <w:t>。根据规定，</w:t>
      </w:r>
      <w:r>
        <w:rPr>
          <w:rFonts w:ascii="宋体" w:hAnsi="宋体" w:eastAsia="宋体"/>
          <w:color w:val="C55911" w:themeColor="accent2" w:themeShade="BF"/>
          <w:szCs w:val="24"/>
        </w:rPr>
        <w:t>J公司应代扣代缴该笔款项的个人所得税，J公司为逃避缴纳税款虚构了陈某借款业务</w:t>
      </w:r>
      <w:r>
        <w:rPr>
          <w:rFonts w:ascii="宋体" w:hAnsi="宋体" w:eastAsia="宋体"/>
          <w:szCs w:val="24"/>
        </w:rPr>
        <w:t>，在法定代表人王某授意下，财务人员将该笔费用记人“其他应收款”科目。</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至此，四个疑点均告突破，检查组全面查实了</w:t>
      </w:r>
      <w:r>
        <w:rPr>
          <w:rFonts w:ascii="宋体" w:hAnsi="宋体" w:eastAsia="宋体"/>
          <w:szCs w:val="24"/>
        </w:rPr>
        <w:t>J公司及股东陈某通过隐匿收人、虚构业务等方式逃避缴税的违法事实。</w:t>
      </w:r>
    </w:p>
    <w:p>
      <w:pPr>
        <w:pStyle w:val="3"/>
        <w:spacing w:before="50" w:beforeAutospacing="0" w:after="50" w:afterAutospacing="0" w:line="360" w:lineRule="auto"/>
        <w:ind w:firstLine="472" w:firstLineChars="196"/>
        <w:rPr>
          <w:rFonts w:ascii="宋体" w:hAnsi="宋体" w:eastAsia="宋体"/>
          <w:sz w:val="24"/>
          <w:szCs w:val="24"/>
        </w:rPr>
      </w:pPr>
      <w:r>
        <w:rPr>
          <w:rFonts w:ascii="宋体" w:hAnsi="宋体" w:eastAsia="宋体"/>
          <w:sz w:val="24"/>
          <w:szCs w:val="24"/>
        </w:rPr>
        <w:t>二、案件事实</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经查明，本案的主要事实如下：</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1</w:t>
      </w:r>
      <w:r>
        <w:rPr>
          <w:rFonts w:hint="eastAsia" w:ascii="宋体" w:hAnsi="宋体" w:eastAsia="宋体"/>
          <w:szCs w:val="24"/>
        </w:rPr>
        <w:t>、</w:t>
      </w:r>
      <w:r>
        <w:rPr>
          <w:rFonts w:ascii="宋体" w:hAnsi="宋体" w:eastAsia="宋体"/>
          <w:szCs w:val="24"/>
        </w:rPr>
        <w:t>少计拆迁安置房及基础配套工程建设补贴等应税收人。J公司对来自市财政局的</w:t>
      </w:r>
      <w:r>
        <w:rPr>
          <w:rFonts w:hint="eastAsia" w:ascii="宋体" w:hAnsi="宋体" w:eastAsia="宋体"/>
          <w:szCs w:val="24"/>
        </w:rPr>
        <w:t>1.</w:t>
      </w:r>
      <w:r>
        <w:rPr>
          <w:rFonts w:ascii="宋体" w:hAnsi="宋体" w:eastAsia="宋体"/>
          <w:szCs w:val="24"/>
        </w:rPr>
        <w:t>28亿元拆迁安置房和基础配套工程建设补贴收入未单独进行核算，不符合不征税条件，但公司未对该笔款项申报纳税。</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2</w:t>
      </w:r>
      <w:r>
        <w:rPr>
          <w:rFonts w:hint="eastAsia" w:ascii="宋体" w:hAnsi="宋体" w:eastAsia="宋体"/>
          <w:szCs w:val="24"/>
        </w:rPr>
        <w:t>、</w:t>
      </w:r>
      <w:r>
        <w:rPr>
          <w:rFonts w:ascii="宋体" w:hAnsi="宋体" w:eastAsia="宋体"/>
          <w:szCs w:val="24"/>
        </w:rPr>
        <w:t>低价销售房产。2014年；J公司以估价1000万元的3879平方米商业地产作担保，向张某借款1000万元；后因公司不能如期还款，遂将房产交付给张某，公司已开具发票并为张某办理了房屋权属变更手续，其行为已构成销售，但销售价格明显信低，导致少缴税款。</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3.</w:t>
      </w:r>
      <w:r>
        <w:rPr>
          <w:rFonts w:ascii="宋体" w:hAnsi="宋体" w:eastAsia="宋体"/>
          <w:szCs w:val="24"/>
        </w:rPr>
        <w:t>虚构咨询业务逃避缴税。公司财务副总经理陈某虚构咨询业务，借用其</w:t>
      </w:r>
      <w:r>
        <w:rPr>
          <w:rFonts w:hint="eastAsia" w:ascii="宋体" w:hAnsi="宋体" w:eastAsia="宋体"/>
          <w:szCs w:val="24"/>
        </w:rPr>
        <w:t>亲属黄某银行卡，以对外支付咨询费名义套取公司资金并逃避纳税义务。</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4.</w:t>
      </w:r>
      <w:r>
        <w:rPr>
          <w:rFonts w:ascii="宋体" w:hAnsi="宋体" w:eastAsia="宋体"/>
          <w:szCs w:val="24"/>
        </w:rPr>
        <w:t>未按规定申报缴纳已代扣的个人所得税。公司股东会议决定给财务副总经理陈某税后奖励，但未按规定将已代扣的个人所得税计人"应交税费——应交个人所得税"科目,也未实际申报缴纳。</w:t>
      </w:r>
    </w:p>
    <w:p>
      <w:pPr>
        <w:pStyle w:val="3"/>
        <w:spacing w:before="50" w:beforeAutospacing="0" w:after="50" w:afterAutospacing="0" w:line="360" w:lineRule="auto"/>
        <w:ind w:firstLine="472" w:firstLineChars="196"/>
        <w:rPr>
          <w:rFonts w:ascii="宋体" w:hAnsi="宋体" w:eastAsia="宋体"/>
          <w:sz w:val="24"/>
          <w:szCs w:val="24"/>
        </w:rPr>
      </w:pPr>
      <w:r>
        <w:rPr>
          <w:rFonts w:ascii="宋体" w:hAnsi="宋体" w:eastAsia="宋体"/>
          <w:sz w:val="24"/>
          <w:szCs w:val="24"/>
        </w:rPr>
        <w:t>三、处理结果</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经审理，税务机关作出如下决定；</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1</w:t>
      </w:r>
      <w:r>
        <w:rPr>
          <w:rFonts w:hint="eastAsia" w:ascii="宋体" w:hAnsi="宋体" w:eastAsia="宋体"/>
          <w:szCs w:val="24"/>
        </w:rPr>
        <w:t>、</w:t>
      </w:r>
      <w:r>
        <w:rPr>
          <w:rFonts w:ascii="宋体" w:hAnsi="宋体" w:eastAsia="宋体"/>
          <w:szCs w:val="24"/>
        </w:rPr>
        <w:t>对公司少计拆迁安置房及基础配套工程建设补贴应税收人和低价销售房产的行为，追缴营业税215万元、企业所得税127</w:t>
      </w:r>
      <w:r>
        <w:rPr>
          <w:rFonts w:hint="eastAsia" w:ascii="宋体" w:hAnsi="宋体" w:eastAsia="宋体"/>
          <w:szCs w:val="24"/>
        </w:rPr>
        <w:t>4.</w:t>
      </w:r>
      <w:r>
        <w:rPr>
          <w:rFonts w:ascii="宋体" w:hAnsi="宋体" w:eastAsia="宋体"/>
          <w:szCs w:val="24"/>
        </w:rPr>
        <w:t>64万元，并依法加收滞纳金。</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2</w:t>
      </w:r>
      <w:r>
        <w:rPr>
          <w:rFonts w:hint="eastAsia" w:ascii="宋体" w:hAnsi="宋体" w:eastAsia="宋体"/>
          <w:szCs w:val="24"/>
        </w:rPr>
        <w:t>、</w:t>
      </w:r>
      <w:r>
        <w:rPr>
          <w:rFonts w:ascii="宋体" w:hAnsi="宋体" w:eastAsia="宋体"/>
          <w:szCs w:val="24"/>
        </w:rPr>
        <w:t>对财务副总经理陈某虚构咨询业务逃避缴税的行为，追缴营业税9</w:t>
      </w:r>
      <w:r>
        <w:rPr>
          <w:rFonts w:hint="eastAsia" w:ascii="宋体" w:hAnsi="宋体" w:eastAsia="宋体"/>
          <w:szCs w:val="24"/>
        </w:rPr>
        <w:t>7.</w:t>
      </w:r>
      <w:r>
        <w:rPr>
          <w:rFonts w:ascii="宋体" w:hAnsi="宋体" w:eastAsia="宋体"/>
          <w:szCs w:val="24"/>
        </w:rPr>
        <w:t>75万元、个人所得税58</w:t>
      </w:r>
      <w:r>
        <w:rPr>
          <w:rFonts w:hint="eastAsia" w:ascii="宋体" w:hAnsi="宋体" w:eastAsia="宋体"/>
          <w:szCs w:val="24"/>
        </w:rPr>
        <w:t>9.</w:t>
      </w:r>
      <w:r>
        <w:rPr>
          <w:rFonts w:ascii="宋体" w:hAnsi="宋体" w:eastAsia="宋体"/>
          <w:szCs w:val="24"/>
        </w:rPr>
        <w:t>57万元，并依法加收滞纳金。</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3</w:t>
      </w:r>
      <w:r>
        <w:rPr>
          <w:rFonts w:hint="eastAsia" w:ascii="宋体" w:hAnsi="宋体" w:eastAsia="宋体"/>
          <w:szCs w:val="24"/>
        </w:rPr>
        <w:t>、</w:t>
      </w:r>
      <w:r>
        <w:rPr>
          <w:rFonts w:ascii="宋体" w:hAnsi="宋体" w:eastAsia="宋体"/>
          <w:szCs w:val="24"/>
        </w:rPr>
        <w:t>对公司编造会计凭证隐睛财务副总经理陈某收入的行为，追缴公司已扣个人所得税46万元。对公司不</w:t>
      </w:r>
      <w:r>
        <w:rPr>
          <w:rFonts w:hint="eastAsia" w:ascii="宋体" w:hAnsi="宋体" w:eastAsia="宋体"/>
          <w:szCs w:val="24"/>
          <w:lang w:eastAsia="zh-CN"/>
        </w:rPr>
        <w:t>缴</w:t>
      </w:r>
      <w:r>
        <w:rPr>
          <w:rFonts w:ascii="宋体" w:hAnsi="宋体" w:eastAsia="宋体"/>
          <w:szCs w:val="24"/>
        </w:rPr>
        <w:t>已扣个人所得税的行为，处已扣未缴个人所得税税款1倍的罚款。</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4</w:t>
      </w:r>
      <w:r>
        <w:rPr>
          <w:rFonts w:hint="eastAsia" w:ascii="宋体" w:hAnsi="宋体" w:eastAsia="宋体"/>
          <w:szCs w:val="24"/>
        </w:rPr>
        <w:t>、</w:t>
      </w:r>
      <w:r>
        <w:rPr>
          <w:rFonts w:ascii="宋体" w:hAnsi="宋体" w:eastAsia="宋体"/>
          <w:szCs w:val="24"/>
        </w:rPr>
        <w:t>J公司编造会计凭证隐瞒财务副总经理陈某收入的行为涉嫌犯罪，移送公安机关依法追究其刑事责任。</w:t>
      </w:r>
    </w:p>
    <w:p>
      <w:pPr>
        <w:spacing w:before="156" w:beforeLines="50" w:beforeAutospacing="0" w:after="156" w:afterLines="50" w:afterAutospacing="0" w:line="360" w:lineRule="auto"/>
        <w:rPr>
          <w:rFonts w:ascii="宋体" w:hAnsi="宋体" w:eastAsia="宋体"/>
          <w:szCs w:val="24"/>
        </w:rPr>
      </w:pPr>
    </w:p>
    <w:p>
      <w:pPr>
        <w:pStyle w:val="2"/>
        <w:spacing w:before="50" w:beforeAutospacing="0" w:after="50" w:afterAutospacing="0" w:line="360" w:lineRule="auto"/>
        <w:rPr>
          <w:rFonts w:ascii="宋体" w:hAnsi="宋体" w:eastAsia="宋体"/>
          <w:sz w:val="24"/>
          <w:szCs w:val="24"/>
        </w:rPr>
      </w:pPr>
      <w:r>
        <w:rPr>
          <w:rFonts w:ascii="宋体" w:hAnsi="宋体" w:eastAsia="宋体"/>
          <w:sz w:val="24"/>
          <w:szCs w:val="24"/>
        </w:rPr>
        <w:t>案件疑难</w:t>
      </w:r>
    </w:p>
    <w:p>
      <w:pPr>
        <w:spacing w:before="156" w:beforeLines="50" w:beforeAutospacing="0" w:after="156" w:afterLines="50" w:afterAutospacing="0" w:line="360" w:lineRule="auto"/>
        <w:rPr>
          <w:rFonts w:ascii="宋体" w:hAnsi="宋体" w:eastAsia="宋体"/>
          <w:szCs w:val="24"/>
        </w:rPr>
      </w:pP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一、关于公司从政府部门取得资金款项的性质问题</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w:t>
      </w:r>
      <w:r>
        <w:rPr>
          <w:rFonts w:ascii="宋体" w:hAnsi="宋体" w:eastAsia="宋体"/>
          <w:szCs w:val="24"/>
        </w:rPr>
        <w:t>J公司从政府部门取得的拆迁安置房和基础配套工程建设补贴是否属于应税收入？《财政部：国家税务总局关于专项用途财政性资金企业所得税处理问题的通知》（</w:t>
      </w:r>
      <w:r>
        <w:fldChar w:fldCharType="begin"/>
      </w:r>
      <w:r>
        <w:instrText xml:space="preserve"> HYPERLINK "http://ssfb86.com/index/News/detail/newsid/1689.html" </w:instrText>
      </w:r>
      <w:r>
        <w:fldChar w:fldCharType="separate"/>
      </w:r>
      <w:r>
        <w:rPr>
          <w:rStyle w:val="12"/>
          <w:rFonts w:ascii="宋体" w:hAnsi="宋体" w:eastAsia="宋体"/>
          <w:szCs w:val="24"/>
        </w:rPr>
        <w:t>财税〔2011〕70号</w:t>
      </w:r>
      <w:r>
        <w:rPr>
          <w:rStyle w:val="12"/>
          <w:rFonts w:ascii="宋体" w:hAnsi="宋体" w:eastAsia="宋体"/>
          <w:szCs w:val="24"/>
        </w:rPr>
        <w:fldChar w:fldCharType="end"/>
      </w:r>
      <w:r>
        <w:rPr>
          <w:rFonts w:ascii="宋体" w:hAnsi="宋体" w:eastAsia="宋体"/>
          <w:szCs w:val="24"/>
        </w:rPr>
        <w:t>）规定：“企业从县级以上各级人民政府财政部门及其他部门取得的应计入收大总额的财政性资金，凡同时符合以下条件的，可以作为不征税收人，在计算应纳税所得额时从收入总额中减除：（一）企业能够提供规定资金专项用途的资金拨付文件；</w:t>
      </w:r>
      <w:r>
        <w:rPr>
          <w:rFonts w:hint="eastAsia" w:ascii="宋体" w:hAnsi="宋体" w:eastAsia="宋体"/>
          <w:szCs w:val="24"/>
        </w:rPr>
        <w:t>（</w:t>
      </w:r>
      <w:r>
        <w:rPr>
          <w:rFonts w:ascii="宋体" w:hAnsi="宋体" w:eastAsia="宋体"/>
          <w:szCs w:val="24"/>
        </w:rPr>
        <w:t>二）财政部门或其他拨付资金的政府部门对该资金有专门的资金管理办法或具体管理要求；（三）企业对该资金以及以</w:t>
      </w:r>
      <w:r>
        <w:rPr>
          <w:rFonts w:hint="eastAsia" w:ascii="宋体" w:hAnsi="宋体" w:eastAsia="宋体"/>
          <w:szCs w:val="24"/>
        </w:rPr>
        <w:t>该资金发生的支出单独进行核算。”本案中，</w:t>
      </w:r>
      <w:r>
        <w:rPr>
          <w:rFonts w:ascii="宋体" w:hAnsi="宋体" w:eastAsia="宋体"/>
          <w:color w:val="C55911" w:themeColor="accent2" w:themeShade="BF"/>
          <w:szCs w:val="24"/>
        </w:rPr>
        <w:t>J公司取得的基础配套工程建设补贴虽然属于专项用途财政性资金，但公司没有按规定对该补贴收入及发生的支出单独进行核算。根据上述规定；税务机关认定该补贴收入不能作为不征税收入</w:t>
      </w:r>
      <w:r>
        <w:rPr>
          <w:rFonts w:ascii="宋体" w:hAnsi="宋体" w:eastAsia="宋体"/>
          <w:szCs w:val="24"/>
        </w:rPr>
        <w:t>。</w:t>
      </w:r>
    </w:p>
    <w:p>
      <w:pPr>
        <w:pStyle w:val="3"/>
        <w:spacing w:before="50" w:beforeAutospacing="0" w:after="50" w:afterAutospacing="0" w:line="360" w:lineRule="auto"/>
        <w:ind w:firstLine="472" w:firstLineChars="196"/>
        <w:rPr>
          <w:rFonts w:ascii="宋体" w:hAnsi="宋体" w:eastAsia="宋体"/>
          <w:sz w:val="24"/>
          <w:szCs w:val="24"/>
        </w:rPr>
      </w:pPr>
      <w:r>
        <w:rPr>
          <w:rFonts w:ascii="宋体" w:hAnsi="宋体" w:eastAsia="宋体"/>
          <w:sz w:val="24"/>
          <w:szCs w:val="24"/>
        </w:rPr>
        <w:t>二、关于低价销售房产的问题</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J</w:t>
      </w:r>
      <w:r>
        <w:rPr>
          <w:rFonts w:ascii="宋体" w:hAnsi="宋体" w:eastAsia="宋体"/>
          <w:szCs w:val="24"/>
        </w:rPr>
        <w:t>公司称2014年因资金紧张与张某签订借款合同，并以商业地产作担保，后因不能按时还款遂按约定将房产交付给张某，该亚务实际上属于抵押和债务清偿，不形成纳税义务。税务机关认为，根据相关法律规定，抵押不转移标的物权属。本案中；J公司已向房地产主管部门完成登记备案，并已完成该房产权属的转让登记程序；故</w:t>
      </w:r>
      <w:r>
        <w:rPr>
          <w:rFonts w:hint="eastAsia" w:ascii="宋体" w:hAnsi="宋体" w:eastAsia="宋体"/>
          <w:szCs w:val="24"/>
        </w:rPr>
        <w:t>J</w:t>
      </w:r>
      <w:r>
        <w:rPr>
          <w:rFonts w:ascii="宋体" w:hAnsi="宋体" w:eastAsia="宋体"/>
          <w:szCs w:val="24"/>
        </w:rPr>
        <w:t>公司的行为属于销售房产，应依法申报纳税。对于房产的价格核定问题，《中华人民共和国营业税暂行条例实施纽则》第三十条规定，在销售价格明显偏低且无正当理由的情况下，可按如下顺</w:t>
      </w:r>
      <w:r>
        <w:rPr>
          <w:rFonts w:hint="eastAsia" w:ascii="宋体" w:hAnsi="宋体" w:eastAsia="宋体"/>
          <w:szCs w:val="24"/>
        </w:rPr>
        <w:t>序确定其营业额：按纳税人最近时期发生同类应税行为的平均价格核定；按其他纳税人最近时期发生同类应税行为的平均价格核定。</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w:t>
      </w:r>
      <w:r>
        <w:rPr>
          <w:rFonts w:hint="eastAsia" w:ascii="宋体" w:hAnsi="宋体" w:eastAsia="宋体"/>
          <w:color w:val="C55911" w:themeColor="accent2" w:themeShade="BF"/>
          <w:szCs w:val="24"/>
        </w:rPr>
        <w:t>J</w:t>
      </w:r>
      <w:r>
        <w:rPr>
          <w:rFonts w:ascii="宋体" w:hAnsi="宋体" w:eastAsia="宋体"/>
          <w:color w:val="C55911" w:themeColor="accent2" w:themeShade="BF"/>
          <w:szCs w:val="24"/>
        </w:rPr>
        <w:t>公司开发的房地产已售的只有这一个项目，无法参照同期同类产品的售价进行确认，在此情况下，稍查局委托宣城市物价局对该商业地产进行价格认定，并根据认定价格计算</w:t>
      </w:r>
      <w:r>
        <w:rPr>
          <w:rFonts w:hint="eastAsia" w:ascii="宋体" w:hAnsi="宋体" w:eastAsia="宋体"/>
          <w:color w:val="C55911" w:themeColor="accent2" w:themeShade="BF"/>
          <w:szCs w:val="24"/>
        </w:rPr>
        <w:t>J</w:t>
      </w:r>
      <w:r>
        <w:rPr>
          <w:rFonts w:ascii="宋体" w:hAnsi="宋体" w:eastAsia="宋体"/>
          <w:color w:val="C55911" w:themeColor="accent2" w:themeShade="BF"/>
          <w:szCs w:val="24"/>
        </w:rPr>
        <w:t>公司应纳税额</w:t>
      </w:r>
      <w:r>
        <w:rPr>
          <w:rFonts w:ascii="宋体" w:hAnsi="宋体" w:eastAsia="宋体"/>
          <w:szCs w:val="24"/>
        </w:rPr>
        <w:t>。</w:t>
      </w: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三、关于对陈某引荐融资的税后奖励问题</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w:t>
      </w:r>
      <w:r>
        <w:rPr>
          <w:rFonts w:ascii="宋体" w:hAnsi="宋体" w:eastAsia="宋体"/>
          <w:szCs w:val="24"/>
        </w:rPr>
        <w:t>J公司的《股东会议决议》载明，股东会议决定给财务副总经理、股东陈某税后奖励。按照《</w:t>
      </w:r>
      <w:r>
        <w:fldChar w:fldCharType="begin"/>
      </w:r>
      <w:r>
        <w:instrText xml:space="preserve"> HYPERLINK "http://ssfb86.com/index/News/detail/newsid/310.html" </w:instrText>
      </w:r>
      <w:r>
        <w:fldChar w:fldCharType="separate"/>
      </w:r>
      <w:r>
        <w:rPr>
          <w:rStyle w:val="12"/>
          <w:rFonts w:ascii="宋体" w:hAnsi="宋体" w:eastAsia="宋体"/>
          <w:szCs w:val="24"/>
        </w:rPr>
        <w:t>中华人民共和国个人所得税法</w:t>
      </w:r>
      <w:r>
        <w:rPr>
          <w:rStyle w:val="12"/>
          <w:rFonts w:ascii="宋体" w:hAnsi="宋体" w:eastAsia="宋体"/>
          <w:szCs w:val="24"/>
        </w:rPr>
        <w:fldChar w:fldCharType="end"/>
      </w:r>
      <w:r>
        <w:rPr>
          <w:rFonts w:ascii="宋体" w:hAnsi="宋体" w:eastAsia="宋体"/>
          <w:szCs w:val="24"/>
        </w:rPr>
        <w:t>》第二条第（三）项、第三条第（四）项、第六条第（四）项和第八条规定，J公司给予股东陈某税后奖励时应代扣代缴个人所得税。参照《最高人民法院关于审理偷税抗税刑事案件具体应用法律若干问题的解释》（</w:t>
      </w:r>
      <w:r>
        <w:fldChar w:fldCharType="begin"/>
      </w:r>
      <w:r>
        <w:instrText xml:space="preserve"> HYPERLINK "http://ssfb86.com/index/News/detail/newsid/3975.html" </w:instrText>
      </w:r>
      <w:r>
        <w:fldChar w:fldCharType="separate"/>
      </w:r>
      <w:r>
        <w:rPr>
          <w:rStyle w:val="12"/>
          <w:rFonts w:ascii="宋体" w:hAnsi="宋体" w:eastAsia="宋体"/>
          <w:szCs w:val="24"/>
        </w:rPr>
        <w:t>法释（2002〕33号</w:t>
      </w:r>
      <w:r>
        <w:rPr>
          <w:rStyle w:val="12"/>
          <w:rFonts w:ascii="宋体" w:hAnsi="宋体" w:eastAsia="宋体"/>
          <w:szCs w:val="24"/>
        </w:rPr>
        <w:fldChar w:fldCharType="end"/>
      </w:r>
      <w:r>
        <w:rPr>
          <w:rFonts w:ascii="宋体" w:hAnsi="宋体" w:eastAsia="宋体"/>
          <w:szCs w:val="24"/>
        </w:rPr>
        <w:t>）第一条第二款规定，扣缴义务人书面承诺代纳税人支付税款的，应当认定扣缴义务人已扣税款。J公司股东会议决定给陈某税后奖励，</w:t>
      </w:r>
      <w:r>
        <w:rPr>
          <w:rFonts w:ascii="宋体" w:hAnsi="宋体" w:eastAsia="宋体"/>
          <w:color w:val="C55911" w:themeColor="accent2" w:themeShade="BF"/>
          <w:szCs w:val="24"/>
        </w:rPr>
        <w:t>但未申报缴纳已扣的个人所得税，可判定其具有主观故意</w:t>
      </w:r>
      <w:r>
        <w:rPr>
          <w:rFonts w:ascii="宋体" w:hAnsi="宋体" w:eastAsia="宋体"/>
          <w:szCs w:val="24"/>
        </w:rPr>
        <w:t>。</w:t>
      </w:r>
    </w:p>
    <w:p>
      <w:pPr>
        <w:pStyle w:val="3"/>
        <w:spacing w:before="50" w:beforeAutospacing="0" w:after="50" w:afterAutospacing="0" w:line="360" w:lineRule="auto"/>
        <w:ind w:firstLine="472" w:firstLineChars="196"/>
        <w:rPr>
          <w:rFonts w:ascii="宋体" w:hAnsi="宋体" w:eastAsia="宋体"/>
          <w:sz w:val="24"/>
          <w:szCs w:val="24"/>
        </w:rPr>
      </w:pPr>
      <w:r>
        <w:rPr>
          <w:rFonts w:ascii="宋体" w:hAnsi="宋体" w:eastAsia="宋体"/>
          <w:sz w:val="24"/>
          <w:szCs w:val="24"/>
        </w:rPr>
        <w:t>四、关于扣缴义务人涉嫌犯罪移送公安机关问题</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根据《</w:t>
      </w:r>
      <w:r>
        <w:fldChar w:fldCharType="begin"/>
      </w:r>
      <w:r>
        <w:instrText xml:space="preserve"> HYPERLINK "http://ssfb86.com/index/News/detail/newsid/8368.html" </w:instrText>
      </w:r>
      <w:r>
        <w:fldChar w:fldCharType="separate"/>
      </w:r>
      <w:r>
        <w:rPr>
          <w:rStyle w:val="12"/>
          <w:rFonts w:ascii="宋体" w:hAnsi="宋体" w:eastAsia="宋体"/>
          <w:szCs w:val="24"/>
        </w:rPr>
        <w:t>中华人民共和国刑法》</w:t>
      </w:r>
      <w:r>
        <w:rPr>
          <w:rStyle w:val="12"/>
          <w:rFonts w:ascii="宋体" w:hAnsi="宋体" w:eastAsia="宋体"/>
          <w:szCs w:val="24"/>
        </w:rPr>
        <w:fldChar w:fldCharType="end"/>
      </w:r>
      <w:r>
        <w:rPr>
          <w:rFonts w:ascii="宋体" w:hAnsi="宋体" w:eastAsia="宋体"/>
          <w:szCs w:val="24"/>
        </w:rPr>
        <w:t>第二百零一条第二款和第四款的规定，扣缴义务人采取欺骗、隐瞒手段进行虚假纳税申报或者不申报，逃避缴纳税款数额较大并且占应纳税额百分之十以上的，构成逃税罪。参照《</w:t>
      </w:r>
      <w:r>
        <w:fldChar w:fldCharType="begin"/>
      </w:r>
      <w:r>
        <w:instrText xml:space="preserve"> HYPERLINK "http://ssfb86.com/index/News/detail/newsid/9469.html" </w:instrText>
      </w:r>
      <w:r>
        <w:fldChar w:fldCharType="separate"/>
      </w:r>
      <w:r>
        <w:rPr>
          <w:rStyle w:val="12"/>
          <w:rFonts w:ascii="宋体" w:hAnsi="宋体" w:eastAsia="宋体"/>
          <w:szCs w:val="24"/>
        </w:rPr>
        <w:t>最高人民检察院公安部关于公安机关管辖的刑事案件立案追诉标准的规定（二）</w:t>
      </w:r>
      <w:r>
        <w:rPr>
          <w:rStyle w:val="12"/>
          <w:rFonts w:ascii="宋体" w:hAnsi="宋体" w:eastAsia="宋体"/>
          <w:szCs w:val="24"/>
        </w:rPr>
        <w:fldChar w:fldCharType="end"/>
      </w:r>
      <w:r>
        <w:rPr>
          <w:rFonts w:ascii="宋体" w:hAnsi="宋体" w:eastAsia="宋体"/>
          <w:szCs w:val="24"/>
        </w:rPr>
        <w:t>》第五十七条第一款第（三）项的规定，扣缴义务人采取欺骗、隐蘭手段，不缴或者少繳已扣、已收税款，数额五万元以上的，应当立案追诉。因此；本案中税务机关对J公司作为扣缴义务人的违法行为移送公安机关。</w:t>
      </w:r>
    </w:p>
    <w:p>
      <w:pPr>
        <w:spacing w:before="156" w:beforeLines="50" w:beforeAutospacing="0" w:after="156"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rPr>
          <w:rFonts w:ascii="宋体" w:hAnsi="宋体" w:eastAsia="宋体"/>
          <w:sz w:val="24"/>
          <w:szCs w:val="24"/>
        </w:rPr>
      </w:pPr>
      <w:r>
        <w:rPr>
          <w:rFonts w:hint="eastAsia" w:ascii="宋体" w:hAnsi="宋体" w:eastAsia="宋体"/>
          <w:sz w:val="24"/>
          <w:szCs w:val="24"/>
        </w:rPr>
        <w:t>案例评析</w:t>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本案涉及房地产企业少计应税收入、低价销售房产、不缴已代扣个人所得税等问题。税务机关层层深入，运用多项法律规定准确定性处理，挽回税款损失。以本案为鉴，可以得到以下启示：</w:t>
      </w: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一、关注企业财政性资金的核算和纳税情况</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在会计处理上，企业对于符合不征税收入条件的专项用途财政性资金和该资金发生的支出应单独进行核算。</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实践中，企业在该环节较容易出现账务处理问题。特别是当有些成本费用同时用于应税收人和不征税收人时，企业往往未就不征税收入进行单独核算，未将成本费用在应税收入和不征税收入间进行合理分摊。</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检查中，应将此类情况列入检查重点，对不符合不征税收人条件的</w:t>
      </w:r>
      <w:r>
        <w:rPr>
          <w:rFonts w:ascii="宋体" w:hAnsi="宋体" w:eastAsia="宋体"/>
          <w:szCs w:val="24"/>
        </w:rPr>
        <w:t>依法进行纳税调整，避免税款流失。</w:t>
      </w: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二、综合运用法律规定进行纳税义务确认</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民法是行政机关在执法过程中对法律事实认定的重要参考依据。</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本案中，税务机关根据民事法律中关于房屋权属随登记转移的规定；确认</w:t>
      </w:r>
      <w:r>
        <w:rPr>
          <w:rFonts w:ascii="宋体" w:hAnsi="宋体" w:eastAsia="宋体"/>
          <w:szCs w:val="24"/>
        </w:rPr>
        <w:t>J公司销售房产的事实，防止J公司借抵押之名行销售之实造成的税款损失。</w:t>
      </w: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三、扣缴义务人对应扣未扣、已扣未缴承担不同的法律责任</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实践中，扣缴义务人可能有应扣未扣、已扣未缴或少缴两种违规情形，这两种情形下扣缴义务人承担的法律责任不同，税务机关应注意区分。</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color w:val="C55911" w:themeColor="accent2" w:themeShade="BF"/>
          <w:szCs w:val="24"/>
        </w:rPr>
        <w:t>对应扣未扣行为，按照《</w:t>
      </w:r>
      <w:r>
        <w:fldChar w:fldCharType="begin"/>
      </w:r>
      <w:r>
        <w:instrText xml:space="preserve"> HYPERLINK "http://ssfb86.com/index/News/detail/newsid/1036.html" </w:instrText>
      </w:r>
      <w:r>
        <w:fldChar w:fldCharType="separate"/>
      </w:r>
      <w:r>
        <w:rPr>
          <w:rStyle w:val="12"/>
          <w:rFonts w:hint="eastAsia" w:ascii="宋体" w:hAnsi="宋体" w:eastAsia="宋体"/>
          <w:color w:val="C55911" w:themeColor="accent2" w:themeShade="BF"/>
          <w:szCs w:val="24"/>
        </w:rPr>
        <w:t>中华人民共和国税收征收管理法</w:t>
      </w:r>
      <w:r>
        <w:rPr>
          <w:rStyle w:val="12"/>
          <w:rFonts w:hint="eastAsia" w:ascii="宋体" w:hAnsi="宋体" w:eastAsia="宋体"/>
          <w:color w:val="C55911" w:themeColor="accent2" w:themeShade="BF"/>
          <w:szCs w:val="24"/>
        </w:rPr>
        <w:fldChar w:fldCharType="end"/>
      </w:r>
      <w:r>
        <w:rPr>
          <w:rFonts w:hint="eastAsia" w:ascii="宋体" w:hAnsi="宋体" w:eastAsia="宋体"/>
          <w:color w:val="C55911" w:themeColor="accent2" w:themeShade="BF"/>
          <w:szCs w:val="24"/>
        </w:rPr>
        <w:t>》第六十九条的规定，由税务机关向纳税人追缴税款（不向纳税人或扣缴义务人加收滞纳金），对扣缴义务人处应扣未扣税款百分之五十以上三倍以下的罚款。对已扣未缴或少缴税款的行为，按照《</w:t>
      </w:r>
      <w:r>
        <w:fldChar w:fldCharType="begin"/>
      </w:r>
      <w:r>
        <w:instrText xml:space="preserve"> HYPERLINK "中华人民共和国税收征收管理法" </w:instrText>
      </w:r>
      <w:r>
        <w:fldChar w:fldCharType="separate"/>
      </w:r>
      <w:r>
        <w:rPr>
          <w:rStyle w:val="12"/>
          <w:rFonts w:hint="eastAsia" w:ascii="宋体" w:hAnsi="宋体" w:eastAsia="宋体"/>
          <w:color w:val="C55911" w:themeColor="accent2" w:themeShade="BF"/>
          <w:szCs w:val="24"/>
        </w:rPr>
        <w:t>中华人民共和国税收征收管理法</w:t>
      </w:r>
      <w:r>
        <w:rPr>
          <w:rStyle w:val="12"/>
          <w:rFonts w:hint="eastAsia" w:ascii="宋体" w:hAnsi="宋体" w:eastAsia="宋体"/>
          <w:color w:val="C55911" w:themeColor="accent2" w:themeShade="BF"/>
          <w:szCs w:val="24"/>
        </w:rPr>
        <w:fldChar w:fldCharType="end"/>
      </w:r>
      <w:r>
        <w:rPr>
          <w:rFonts w:hint="eastAsia" w:ascii="宋体" w:hAnsi="宋体" w:eastAsia="宋体"/>
          <w:color w:val="C55911" w:themeColor="accent2" w:themeShade="BF"/>
          <w:szCs w:val="24"/>
        </w:rPr>
        <w:t>》第六十三条第二款规定，税务机关向扣缴义务人追缴已扣未缴或少缴的税款、滞纳金，并处不缴或者少缴税款百分之五十以上五倍以下的罚款；构成犯罪的，依法追究刑事责任</w:t>
      </w:r>
      <w:r>
        <w:rPr>
          <w:rFonts w:hint="eastAsia" w:ascii="宋体" w:hAnsi="宋体" w:eastAsia="宋体"/>
          <w:szCs w:val="24"/>
        </w:rPr>
        <w:t>。</w:t>
      </w:r>
    </w:p>
    <w:p>
      <w:pPr>
        <w:pStyle w:val="3"/>
        <w:spacing w:before="50" w:beforeAutospacing="0" w:after="50" w:afterAutospacing="0" w:line="360" w:lineRule="auto"/>
        <w:ind w:firstLine="472" w:firstLineChars="196"/>
        <w:rPr>
          <w:rFonts w:ascii="宋体" w:hAnsi="宋体" w:eastAsia="宋体"/>
          <w:sz w:val="24"/>
          <w:szCs w:val="24"/>
        </w:rPr>
      </w:pPr>
      <w:r>
        <w:rPr>
          <w:rFonts w:hint="eastAsia" w:ascii="宋体" w:hAnsi="宋体" w:eastAsia="宋体"/>
          <w:sz w:val="24"/>
          <w:szCs w:val="24"/>
        </w:rPr>
        <w:t>四、注意扣缴义务人与纳税人涉税案件移送程序的差异</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按照《</w:t>
      </w:r>
      <w:r>
        <w:fldChar w:fldCharType="begin"/>
      </w:r>
      <w:r>
        <w:instrText xml:space="preserve"> HYPERLINK "http://ssfb86.com/index/News/detail/newsid/8368.html" </w:instrText>
      </w:r>
      <w:r>
        <w:fldChar w:fldCharType="separate"/>
      </w:r>
      <w:r>
        <w:rPr>
          <w:rStyle w:val="12"/>
          <w:rFonts w:ascii="宋体" w:hAnsi="宋体" w:eastAsia="宋体"/>
          <w:szCs w:val="24"/>
        </w:rPr>
        <w:t>中华人民共和国刑法</w:t>
      </w:r>
      <w:r>
        <w:rPr>
          <w:rStyle w:val="12"/>
          <w:rFonts w:ascii="宋体" w:hAnsi="宋体" w:eastAsia="宋体"/>
          <w:szCs w:val="24"/>
        </w:rPr>
        <w:fldChar w:fldCharType="end"/>
      </w:r>
      <w:r>
        <w:rPr>
          <w:rFonts w:hint="eastAsia" w:ascii="宋体" w:hAnsi="宋体" w:eastAsia="宋体"/>
          <w:szCs w:val="24"/>
        </w:rPr>
        <w:t>》第二百零一条规定，</w:t>
      </w:r>
      <w:r>
        <w:rPr>
          <w:rFonts w:hint="eastAsia" w:ascii="宋体" w:hAnsi="宋体" w:eastAsia="宋体"/>
          <w:color w:val="C55911" w:themeColor="accent2" w:themeShade="BF"/>
          <w:szCs w:val="24"/>
        </w:rPr>
        <w:t>纳税人和扣缴义务人构成逃税罪的要件不同，对纳税人可以适用初犯免责条款，对扣缴义务人则不适用</w:t>
      </w:r>
      <w:r>
        <w:rPr>
          <w:rFonts w:hint="eastAsia" w:ascii="宋体" w:hAnsi="宋体" w:eastAsia="宋体"/>
          <w:szCs w:val="24"/>
        </w:rPr>
        <w:t>。扣缴义务人不缴或者少缴已扣、已收税款的行为，既损害了国家的税收征收制度，也侵犯了国家财产权，此类案件不适用初犯免责条款，税务机关应予移送。</w:t>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rPr>
          <w:rFonts w:ascii="宋体" w:hAnsi="宋体" w:eastAsia="宋体"/>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3327797"/>
      <w:docPartObj>
        <w:docPartGallery w:val="AutoText"/>
      </w:docPartObj>
    </w:sdtPr>
    <w:sdtContent>
      <w:sdt>
        <w:sdtPr>
          <w:id w:val="171357217"/>
          <w:docPartObj>
            <w:docPartGallery w:val="AutoText"/>
          </w:docPartObj>
        </w:sdtPr>
        <w:sdtContent>
          <w:p>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w:t>
            </w:r>
            <w:r>
              <w:rPr>
                <w:b/>
                <w:sz w:val="24"/>
                <w:szCs w:val="24"/>
              </w:rPr>
              <w:fldChar w:fldCharType="end"/>
            </w:r>
          </w:p>
        </w:sdtContent>
      </w:sdt>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7B"/>
    <w:rsid w:val="00016CCE"/>
    <w:rsid w:val="00022D55"/>
    <w:rsid w:val="00032E3D"/>
    <w:rsid w:val="00043834"/>
    <w:rsid w:val="00050B5C"/>
    <w:rsid w:val="000568DE"/>
    <w:rsid w:val="00065BA9"/>
    <w:rsid w:val="000828D5"/>
    <w:rsid w:val="00087851"/>
    <w:rsid w:val="000D1540"/>
    <w:rsid w:val="00100939"/>
    <w:rsid w:val="0010174F"/>
    <w:rsid w:val="00120194"/>
    <w:rsid w:val="00126C60"/>
    <w:rsid w:val="0018253C"/>
    <w:rsid w:val="00186ECF"/>
    <w:rsid w:val="001D0127"/>
    <w:rsid w:val="001D3F4D"/>
    <w:rsid w:val="001F7041"/>
    <w:rsid w:val="00221EDC"/>
    <w:rsid w:val="0022440A"/>
    <w:rsid w:val="002479E5"/>
    <w:rsid w:val="00255106"/>
    <w:rsid w:val="002A2733"/>
    <w:rsid w:val="002B299C"/>
    <w:rsid w:val="002B2D99"/>
    <w:rsid w:val="002B4073"/>
    <w:rsid w:val="002D373B"/>
    <w:rsid w:val="002E29FC"/>
    <w:rsid w:val="002F419C"/>
    <w:rsid w:val="00306CDF"/>
    <w:rsid w:val="00307CB1"/>
    <w:rsid w:val="003173F9"/>
    <w:rsid w:val="003327C7"/>
    <w:rsid w:val="003450B5"/>
    <w:rsid w:val="00383A87"/>
    <w:rsid w:val="003B300E"/>
    <w:rsid w:val="003F714A"/>
    <w:rsid w:val="0040239C"/>
    <w:rsid w:val="00412A5E"/>
    <w:rsid w:val="004163A4"/>
    <w:rsid w:val="00427EEE"/>
    <w:rsid w:val="004326F7"/>
    <w:rsid w:val="00452B26"/>
    <w:rsid w:val="004740C5"/>
    <w:rsid w:val="004748DC"/>
    <w:rsid w:val="00493D98"/>
    <w:rsid w:val="004A5E3E"/>
    <w:rsid w:val="004C171E"/>
    <w:rsid w:val="004D0CC9"/>
    <w:rsid w:val="004D2FA3"/>
    <w:rsid w:val="00525169"/>
    <w:rsid w:val="005313D8"/>
    <w:rsid w:val="00541787"/>
    <w:rsid w:val="00545DF8"/>
    <w:rsid w:val="00550878"/>
    <w:rsid w:val="005A11B0"/>
    <w:rsid w:val="005B1EC2"/>
    <w:rsid w:val="005C5071"/>
    <w:rsid w:val="0060104E"/>
    <w:rsid w:val="00624DCA"/>
    <w:rsid w:val="00625239"/>
    <w:rsid w:val="00625311"/>
    <w:rsid w:val="00627F73"/>
    <w:rsid w:val="00635D1C"/>
    <w:rsid w:val="00652C01"/>
    <w:rsid w:val="00660828"/>
    <w:rsid w:val="00663E5B"/>
    <w:rsid w:val="00676A40"/>
    <w:rsid w:val="00682742"/>
    <w:rsid w:val="00687828"/>
    <w:rsid w:val="006917CA"/>
    <w:rsid w:val="006C209F"/>
    <w:rsid w:val="006C607F"/>
    <w:rsid w:val="006D2A94"/>
    <w:rsid w:val="006E357B"/>
    <w:rsid w:val="006E3E26"/>
    <w:rsid w:val="006E49CF"/>
    <w:rsid w:val="006E76EE"/>
    <w:rsid w:val="0070349D"/>
    <w:rsid w:val="00720F29"/>
    <w:rsid w:val="007440D2"/>
    <w:rsid w:val="00752CF1"/>
    <w:rsid w:val="0077120C"/>
    <w:rsid w:val="00783C34"/>
    <w:rsid w:val="00787808"/>
    <w:rsid w:val="007941D7"/>
    <w:rsid w:val="007A4003"/>
    <w:rsid w:val="007A6F96"/>
    <w:rsid w:val="007B1337"/>
    <w:rsid w:val="007C0D6A"/>
    <w:rsid w:val="007E479C"/>
    <w:rsid w:val="007F10A1"/>
    <w:rsid w:val="00824111"/>
    <w:rsid w:val="00840B39"/>
    <w:rsid w:val="008444D3"/>
    <w:rsid w:val="0085176F"/>
    <w:rsid w:val="00851D05"/>
    <w:rsid w:val="00870EEF"/>
    <w:rsid w:val="00880B4C"/>
    <w:rsid w:val="00893040"/>
    <w:rsid w:val="008C45BD"/>
    <w:rsid w:val="008F65F4"/>
    <w:rsid w:val="008F765D"/>
    <w:rsid w:val="00920A9C"/>
    <w:rsid w:val="00922D28"/>
    <w:rsid w:val="00935BF3"/>
    <w:rsid w:val="009433C9"/>
    <w:rsid w:val="00945251"/>
    <w:rsid w:val="00974FFF"/>
    <w:rsid w:val="00986FCA"/>
    <w:rsid w:val="009A47F3"/>
    <w:rsid w:val="009C660E"/>
    <w:rsid w:val="009D3757"/>
    <w:rsid w:val="009E03FC"/>
    <w:rsid w:val="009E5431"/>
    <w:rsid w:val="00A2160E"/>
    <w:rsid w:val="00A2487D"/>
    <w:rsid w:val="00A5447B"/>
    <w:rsid w:val="00A62E79"/>
    <w:rsid w:val="00AB4705"/>
    <w:rsid w:val="00AE1EBE"/>
    <w:rsid w:val="00AE3ECF"/>
    <w:rsid w:val="00AF0236"/>
    <w:rsid w:val="00B02133"/>
    <w:rsid w:val="00B34591"/>
    <w:rsid w:val="00B47B0C"/>
    <w:rsid w:val="00B514B3"/>
    <w:rsid w:val="00B6051B"/>
    <w:rsid w:val="00B938E8"/>
    <w:rsid w:val="00B93FD3"/>
    <w:rsid w:val="00B954BC"/>
    <w:rsid w:val="00BA3407"/>
    <w:rsid w:val="00BA66BD"/>
    <w:rsid w:val="00BB5115"/>
    <w:rsid w:val="00BB7B96"/>
    <w:rsid w:val="00C01FBF"/>
    <w:rsid w:val="00C22DA0"/>
    <w:rsid w:val="00C358D7"/>
    <w:rsid w:val="00C52768"/>
    <w:rsid w:val="00C556F9"/>
    <w:rsid w:val="00C64F1F"/>
    <w:rsid w:val="00C87654"/>
    <w:rsid w:val="00CB153A"/>
    <w:rsid w:val="00CB4754"/>
    <w:rsid w:val="00CE2EB7"/>
    <w:rsid w:val="00CF4530"/>
    <w:rsid w:val="00CF4A66"/>
    <w:rsid w:val="00D04BB0"/>
    <w:rsid w:val="00D11C0D"/>
    <w:rsid w:val="00D25BAC"/>
    <w:rsid w:val="00D34820"/>
    <w:rsid w:val="00D3501C"/>
    <w:rsid w:val="00D431CD"/>
    <w:rsid w:val="00D45446"/>
    <w:rsid w:val="00D5630C"/>
    <w:rsid w:val="00D721FC"/>
    <w:rsid w:val="00D96D98"/>
    <w:rsid w:val="00DA07EF"/>
    <w:rsid w:val="00DB404D"/>
    <w:rsid w:val="00DB6F35"/>
    <w:rsid w:val="00DE7549"/>
    <w:rsid w:val="00E059F6"/>
    <w:rsid w:val="00E4707A"/>
    <w:rsid w:val="00E6119F"/>
    <w:rsid w:val="00E621B3"/>
    <w:rsid w:val="00E86883"/>
    <w:rsid w:val="00E95299"/>
    <w:rsid w:val="00E96E31"/>
    <w:rsid w:val="00EA1047"/>
    <w:rsid w:val="00EA1817"/>
    <w:rsid w:val="00EB4965"/>
    <w:rsid w:val="00ED3216"/>
    <w:rsid w:val="00EF648E"/>
    <w:rsid w:val="00F41CB9"/>
    <w:rsid w:val="00F5520A"/>
    <w:rsid w:val="00F6190D"/>
    <w:rsid w:val="00F61988"/>
    <w:rsid w:val="00F77827"/>
    <w:rsid w:val="00F854DA"/>
    <w:rsid w:val="00FA38A9"/>
    <w:rsid w:val="00FB7617"/>
    <w:rsid w:val="00FF1924"/>
    <w:rsid w:val="0BE93F5D"/>
    <w:rsid w:val="5D3767D7"/>
    <w:rsid w:val="600F6B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312" w:lineRule="auto"/>
      <w:jc w:val="both"/>
    </w:pPr>
    <w:rPr>
      <w:rFonts w:ascii="仿宋" w:hAnsi="仿宋" w:eastAsia="仿宋" w:cstheme="minorBidi"/>
      <w:kern w:val="2"/>
      <w:sz w:val="24"/>
      <w:szCs w:val="28"/>
      <w:lang w:val="en-US" w:eastAsia="zh-CN" w:bidi="ar-SA"/>
    </w:rPr>
  </w:style>
  <w:style w:type="paragraph" w:styleId="2">
    <w:name w:val="heading 1"/>
    <w:basedOn w:val="1"/>
    <w:next w:val="1"/>
    <w:link w:val="13"/>
    <w:qFormat/>
    <w:uiPriority w:val="9"/>
    <w:pPr>
      <w:jc w:val="center"/>
      <w:outlineLvl w:val="0"/>
    </w:pPr>
    <w:rPr>
      <w:b/>
      <w:bCs/>
      <w:sz w:val="36"/>
      <w:szCs w:val="40"/>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ocument Map"/>
    <w:basedOn w:val="1"/>
    <w:link w:val="15"/>
    <w:semiHidden/>
    <w:unhideWhenUsed/>
    <w:uiPriority w:val="99"/>
    <w:rPr>
      <w:rFonts w:ascii="宋体" w:eastAsia="宋体"/>
      <w:sz w:val="18"/>
      <w:szCs w:val="18"/>
    </w:rPr>
  </w:style>
  <w:style w:type="paragraph" w:styleId="6">
    <w:name w:val="footer"/>
    <w:basedOn w:val="1"/>
    <w:link w:val="17"/>
    <w:unhideWhenUsed/>
    <w:uiPriority w:val="99"/>
    <w:pPr>
      <w:tabs>
        <w:tab w:val="center" w:pos="4153"/>
        <w:tab w:val="right" w:pos="8306"/>
      </w:tabs>
      <w:snapToGrid w:val="0"/>
      <w:spacing w:line="240" w:lineRule="auto"/>
      <w:jc w:val="left"/>
    </w:pPr>
    <w:rPr>
      <w:sz w:val="18"/>
      <w:szCs w:val="18"/>
    </w:rPr>
  </w:style>
  <w:style w:type="paragraph" w:styleId="7">
    <w:name w:val="header"/>
    <w:basedOn w:val="1"/>
    <w:link w:val="16"/>
    <w:semiHidden/>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unhideWhenUsed/>
    <w:qFormat/>
    <w:uiPriority w:val="99"/>
    <w:pPr>
      <w:spacing w:line="240" w:lineRule="auto"/>
      <w:jc w:val="left"/>
    </w:pPr>
    <w:rPr>
      <w:rFonts w:ascii="宋体" w:hAnsi="宋体" w:eastAsia="宋体" w:cs="宋体"/>
      <w:kern w:val="0"/>
      <w:szCs w:val="24"/>
    </w:rPr>
  </w:style>
  <w:style w:type="character" w:styleId="11">
    <w:name w:val="FollowedHyperlink"/>
    <w:basedOn w:val="10"/>
    <w:semiHidden/>
    <w:unhideWhenUsed/>
    <w:uiPriority w:val="99"/>
    <w:rPr>
      <w:color w:val="954F72" w:themeColor="followedHyperlink"/>
      <w:u w:val="single"/>
    </w:rPr>
  </w:style>
  <w:style w:type="character" w:styleId="12">
    <w:name w:val="Hyperlink"/>
    <w:basedOn w:val="10"/>
    <w:unhideWhenUsed/>
    <w:uiPriority w:val="99"/>
    <w:rPr>
      <w:color w:val="0563C1" w:themeColor="hyperlink"/>
      <w:u w:val="single"/>
    </w:rPr>
  </w:style>
  <w:style w:type="character" w:customStyle="1" w:styleId="13">
    <w:name w:val="标题 1 字符"/>
    <w:basedOn w:val="10"/>
    <w:link w:val="2"/>
    <w:uiPriority w:val="9"/>
    <w:rPr>
      <w:rFonts w:ascii="仿宋" w:hAnsi="仿宋" w:eastAsia="仿宋"/>
      <w:b/>
      <w:bCs/>
      <w:sz w:val="36"/>
      <w:szCs w:val="40"/>
    </w:rPr>
  </w:style>
  <w:style w:type="paragraph" w:styleId="14">
    <w:name w:val="No Spacing"/>
    <w:qFormat/>
    <w:uiPriority w:val="1"/>
    <w:pPr>
      <w:spacing w:before="0" w:beforeAutospacing="0" w:after="0" w:afterAutospacing="0" w:line="240" w:lineRule="auto"/>
    </w:pPr>
    <w:rPr>
      <w:rFonts w:asciiTheme="minorHAnsi" w:hAnsiTheme="minorHAnsi" w:eastAsiaTheme="minorEastAsia" w:cstheme="minorBidi"/>
      <w:kern w:val="2"/>
      <w:sz w:val="21"/>
      <w:szCs w:val="22"/>
      <w:lang w:val="en-US" w:eastAsia="zh-CN" w:bidi="ar-SA"/>
    </w:rPr>
  </w:style>
  <w:style w:type="character" w:customStyle="1" w:styleId="15">
    <w:name w:val="文档结构图 字符"/>
    <w:basedOn w:val="10"/>
    <w:link w:val="5"/>
    <w:semiHidden/>
    <w:uiPriority w:val="99"/>
    <w:rPr>
      <w:rFonts w:ascii="宋体" w:hAnsi="仿宋" w:eastAsia="宋体"/>
      <w:sz w:val="18"/>
      <w:szCs w:val="18"/>
    </w:rPr>
  </w:style>
  <w:style w:type="character" w:customStyle="1" w:styleId="16">
    <w:name w:val="页眉 字符"/>
    <w:basedOn w:val="10"/>
    <w:link w:val="7"/>
    <w:semiHidden/>
    <w:qFormat/>
    <w:uiPriority w:val="99"/>
    <w:rPr>
      <w:rFonts w:ascii="仿宋" w:hAnsi="仿宋" w:eastAsia="仿宋"/>
      <w:sz w:val="18"/>
      <w:szCs w:val="18"/>
    </w:rPr>
  </w:style>
  <w:style w:type="character" w:customStyle="1" w:styleId="17">
    <w:name w:val="页脚 字符"/>
    <w:basedOn w:val="10"/>
    <w:link w:val="6"/>
    <w:uiPriority w:val="99"/>
    <w:rPr>
      <w:rFonts w:ascii="仿宋" w:hAnsi="仿宋" w:eastAsia="仿宋"/>
      <w:sz w:val="18"/>
      <w:szCs w:val="18"/>
    </w:rPr>
  </w:style>
  <w:style w:type="character" w:customStyle="1" w:styleId="18">
    <w:name w:val="标题 2 字符"/>
    <w:basedOn w:val="10"/>
    <w:link w:val="3"/>
    <w:uiPriority w:val="9"/>
    <w:rPr>
      <w:rFonts w:asciiTheme="majorHAnsi" w:hAnsiTheme="majorHAnsi" w:eastAsiaTheme="majorEastAsia" w:cstheme="majorBidi"/>
      <w:b/>
      <w:bCs/>
      <w:sz w:val="32"/>
      <w:szCs w:val="32"/>
    </w:rPr>
  </w:style>
  <w:style w:type="character" w:customStyle="1" w:styleId="19">
    <w:name w:val="标题 3 字符"/>
    <w:basedOn w:val="10"/>
    <w:link w:val="4"/>
    <w:qFormat/>
    <w:uiPriority w:val="9"/>
    <w:rPr>
      <w:rFonts w:ascii="仿宋" w:hAnsi="仿宋" w:eastAsia="仿宋"/>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896</Words>
  <Characters>5111</Characters>
  <Lines>42</Lines>
  <Paragraphs>11</Paragraphs>
  <TotalTime>6</TotalTime>
  <ScaleCrop>false</ScaleCrop>
  <LinksUpToDate>false</LinksUpToDate>
  <CharactersWithSpaces>5996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2022-01-17T12:33:00Z</dcterms:created>
  <dc:creator>A2949</dc:creator>
  <cp:lastModifiedBy>默默</cp:lastModifiedBy>
  <dcterms:modified xsi:type="dcterms:W3CDTF">2022-02-08T13:00:48Z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