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Lines="50" w:beforeAutospacing="0" w:afterLines="50" w:afterAutospacing="0" w:line="360" w:lineRule="auto"/>
        <w:rPr>
          <w:rFonts w:ascii="宋体" w:hAnsi="宋体" w:eastAsia="宋体"/>
          <w:kern w:val="0"/>
        </w:rPr>
      </w:pPr>
      <w:r>
        <w:rPr>
          <w:rFonts w:hint="eastAsia" w:ascii="宋体" w:hAnsi="宋体" w:eastAsia="宋体"/>
          <w:kern w:val="0"/>
        </w:rPr>
        <w:t>2020税务稽查典型案例评析之四</w:t>
      </w:r>
    </w:p>
    <w:p>
      <w:pPr>
        <w:spacing w:beforeLines="50" w:beforeAutospacing="0" w:afterLines="50" w:afterAutospacing="0" w:line="360" w:lineRule="auto"/>
        <w:rPr>
          <w:rFonts w:ascii="宋体" w:hAnsi="宋体" w:eastAsia="宋体"/>
        </w:rPr>
      </w:pPr>
    </w:p>
    <w:p>
      <w:pPr>
        <w:pStyle w:val="2"/>
        <w:spacing w:beforeLines="50" w:beforeAutospacing="0" w:afterLines="50" w:afterAutospacing="0" w:line="360" w:lineRule="auto"/>
        <w:rPr>
          <w:rFonts w:ascii="宋体" w:hAnsi="宋体" w:eastAsia="宋体"/>
          <w:sz w:val="24"/>
          <w:szCs w:val="24"/>
        </w:rPr>
      </w:pPr>
      <w:r>
        <w:rPr>
          <w:rFonts w:hint="eastAsia" w:ascii="宋体" w:hAnsi="宋体" w:eastAsia="宋体"/>
          <w:sz w:val="24"/>
          <w:szCs w:val="24"/>
        </w:rPr>
        <w:t>摘要</w:t>
      </w:r>
    </w:p>
    <w:p>
      <w:pPr>
        <w:pStyle w:val="9"/>
        <w:spacing w:beforeLines="50" w:beforeAutospacing="0" w:afterLines="50" w:afterAutospacing="0" w:line="360" w:lineRule="auto"/>
        <w:ind w:firstLine="386"/>
        <w:rPr>
          <w:color w:val="C55911" w:themeColor="accent2" w:themeShade="BF"/>
        </w:rPr>
      </w:pPr>
    </w:p>
    <w:p>
      <w:pPr>
        <w:spacing w:beforeLines="50" w:beforeAutospacing="0" w:afterLines="50" w:afterAutospacing="0" w:line="360" w:lineRule="auto"/>
        <w:ind w:firstLine="480" w:firstLineChars="200"/>
        <w:rPr>
          <w:rFonts w:hint="eastAsia" w:ascii="楷体" w:hAnsi="楷体" w:eastAsia="楷体" w:cs="楷体"/>
          <w:color w:val="0000FF"/>
          <w:szCs w:val="24"/>
        </w:rPr>
      </w:pPr>
      <w:r>
        <w:rPr>
          <w:rFonts w:hint="eastAsia" w:ascii="楷体" w:hAnsi="楷体" w:eastAsia="楷体" w:cs="楷体"/>
          <w:color w:val="0000FF"/>
        </w:rPr>
        <w:t>一、</w:t>
      </w:r>
      <w:r>
        <w:rPr>
          <w:rFonts w:hint="eastAsia" w:ascii="楷体" w:hAnsi="楷体" w:eastAsia="楷体" w:cs="楷体"/>
          <w:color w:val="0000FF"/>
          <w:szCs w:val="24"/>
        </w:rPr>
        <w:t>按照《</w:t>
      </w:r>
      <w:r>
        <w:rPr>
          <w:rFonts w:hint="eastAsia" w:ascii="楷体" w:hAnsi="楷体" w:eastAsia="楷体" w:cs="楷体"/>
          <w:color w:val="0000FF"/>
        </w:rPr>
        <w:fldChar w:fldCharType="begin"/>
      </w:r>
      <w:r>
        <w:rPr>
          <w:rFonts w:hint="eastAsia" w:ascii="楷体" w:hAnsi="楷体" w:eastAsia="楷体" w:cs="楷体"/>
          <w:color w:val="0000FF"/>
        </w:rPr>
        <w:instrText xml:space="preserve"> HYPERLINK "http://ssfb86.com/index/News/detail/newsid/575.html" </w:instrText>
      </w:r>
      <w:r>
        <w:rPr>
          <w:rFonts w:hint="eastAsia" w:ascii="楷体" w:hAnsi="楷体" w:eastAsia="楷体" w:cs="楷体"/>
          <w:color w:val="0000FF"/>
        </w:rPr>
        <w:fldChar w:fldCharType="separate"/>
      </w:r>
      <w:r>
        <w:rPr>
          <w:rStyle w:val="12"/>
          <w:rFonts w:hint="eastAsia" w:ascii="楷体" w:hAnsi="楷体" w:eastAsia="楷体" w:cs="楷体"/>
          <w:color w:val="0000FF"/>
          <w:szCs w:val="24"/>
        </w:rPr>
        <w:t>中华人民共和国企业所得税法</w:t>
      </w:r>
      <w:r>
        <w:rPr>
          <w:rStyle w:val="12"/>
          <w:rFonts w:hint="eastAsia" w:ascii="楷体" w:hAnsi="楷体" w:eastAsia="楷体" w:cs="楷体"/>
          <w:color w:val="0000FF"/>
          <w:szCs w:val="24"/>
        </w:rPr>
        <w:fldChar w:fldCharType="end"/>
      </w:r>
      <w:r>
        <w:rPr>
          <w:rFonts w:hint="eastAsia" w:ascii="楷体" w:hAnsi="楷体" w:eastAsia="楷体" w:cs="楷体"/>
          <w:color w:val="0000FF"/>
          <w:szCs w:val="24"/>
        </w:rPr>
        <w:t>》第六条、《</w:t>
      </w:r>
      <w:r>
        <w:rPr>
          <w:rFonts w:hint="eastAsia" w:ascii="楷体" w:hAnsi="楷体" w:eastAsia="楷体" w:cs="楷体"/>
          <w:color w:val="0000FF"/>
        </w:rPr>
        <w:fldChar w:fldCharType="begin"/>
      </w:r>
      <w:r>
        <w:rPr>
          <w:rFonts w:hint="eastAsia" w:ascii="楷体" w:hAnsi="楷体" w:eastAsia="楷体" w:cs="楷体"/>
          <w:color w:val="0000FF"/>
        </w:rPr>
        <w:instrText xml:space="preserve"> HYPERLINK "http://ssfb86.com/index/News/detail/newsid/7083.html" </w:instrText>
      </w:r>
      <w:r>
        <w:rPr>
          <w:rFonts w:hint="eastAsia" w:ascii="楷体" w:hAnsi="楷体" w:eastAsia="楷体" w:cs="楷体"/>
          <w:color w:val="0000FF"/>
        </w:rPr>
        <w:fldChar w:fldCharType="separate"/>
      </w:r>
      <w:r>
        <w:rPr>
          <w:rStyle w:val="12"/>
          <w:rFonts w:hint="eastAsia" w:ascii="楷体" w:hAnsi="楷体" w:eastAsia="楷体" w:cs="楷体"/>
          <w:color w:val="0000FF"/>
          <w:szCs w:val="24"/>
        </w:rPr>
        <w:t>中华人民共和国企业所得税法实施条例</w:t>
      </w:r>
      <w:r>
        <w:rPr>
          <w:rStyle w:val="12"/>
          <w:rFonts w:hint="eastAsia" w:ascii="楷体" w:hAnsi="楷体" w:eastAsia="楷体" w:cs="楷体"/>
          <w:color w:val="0000FF"/>
          <w:szCs w:val="24"/>
        </w:rPr>
        <w:fldChar w:fldCharType="end"/>
      </w:r>
      <w:r>
        <w:rPr>
          <w:rFonts w:hint="eastAsia" w:ascii="楷体" w:hAnsi="楷体" w:eastAsia="楷体" w:cs="楷体"/>
          <w:color w:val="0000FF"/>
          <w:szCs w:val="24"/>
        </w:rPr>
        <w:t>》第二十二条的规定，确实无法偿付的应付款项应确认为其他收入，缴纳企业所得税。</w:t>
      </w:r>
    </w:p>
    <w:p>
      <w:pPr>
        <w:spacing w:beforeLines="50" w:beforeAutospacing="0" w:afterLines="50" w:afterAutospacing="0" w:line="360" w:lineRule="auto"/>
        <w:ind w:firstLine="480" w:firstLineChars="200"/>
        <w:rPr>
          <w:rFonts w:hint="eastAsia" w:ascii="楷体" w:hAnsi="楷体" w:eastAsia="楷体" w:cs="楷体"/>
          <w:color w:val="0000FF"/>
          <w:szCs w:val="24"/>
        </w:rPr>
      </w:pPr>
      <w:r>
        <w:rPr>
          <w:rFonts w:hint="eastAsia" w:ascii="楷体" w:hAnsi="楷体" w:eastAsia="楷体" w:cs="楷体"/>
          <w:color w:val="0000FF"/>
          <w:szCs w:val="24"/>
        </w:rPr>
        <w:t>根据《国家税务总局关于税务检查期间补正申报补缴税款是否影响偷税行为定性有关问题的批复》（</w:t>
      </w:r>
      <w:r>
        <w:rPr>
          <w:rFonts w:hint="eastAsia" w:ascii="楷体" w:hAnsi="楷体" w:eastAsia="楷体" w:cs="楷体"/>
          <w:color w:val="0000FF"/>
        </w:rPr>
        <w:fldChar w:fldCharType="begin"/>
      </w:r>
      <w:r>
        <w:rPr>
          <w:rFonts w:hint="eastAsia" w:ascii="楷体" w:hAnsi="楷体" w:eastAsia="楷体" w:cs="楷体"/>
          <w:color w:val="0000FF"/>
        </w:rPr>
        <w:instrText xml:space="preserve"> HYPERLINK "http://ssfb86.com/index/News/detail/newsid/1443.html" </w:instrText>
      </w:r>
      <w:r>
        <w:rPr>
          <w:rFonts w:hint="eastAsia" w:ascii="楷体" w:hAnsi="楷体" w:eastAsia="楷体" w:cs="楷体"/>
          <w:color w:val="0000FF"/>
        </w:rPr>
        <w:fldChar w:fldCharType="separate"/>
      </w:r>
      <w:r>
        <w:rPr>
          <w:rStyle w:val="12"/>
          <w:rFonts w:hint="eastAsia" w:ascii="楷体" w:hAnsi="楷体" w:eastAsia="楷体" w:cs="楷体"/>
          <w:color w:val="0000FF"/>
          <w:szCs w:val="24"/>
        </w:rPr>
        <w:t>税总函〔2013〕196号</w:t>
      </w:r>
      <w:r>
        <w:rPr>
          <w:rStyle w:val="12"/>
          <w:rFonts w:hint="eastAsia" w:ascii="楷体" w:hAnsi="楷体" w:eastAsia="楷体" w:cs="楷体"/>
          <w:color w:val="0000FF"/>
          <w:szCs w:val="24"/>
        </w:rPr>
        <w:fldChar w:fldCharType="end"/>
      </w:r>
      <w:r>
        <w:rPr>
          <w:rFonts w:hint="eastAsia" w:ascii="楷体" w:hAnsi="楷体" w:eastAsia="楷体" w:cs="楷体"/>
          <w:color w:val="0000FF"/>
          <w:szCs w:val="24"/>
        </w:rPr>
        <w:t>）的规定，定性偷税需要取得纳税人主观故意方面的证据。本案中，没有充分证据证明HZ公司未将上述无法偿付的债务确认为收入存在偷税的主观故意；故对该行为不定性偷税，而是依法对其进行纳税调整。</w:t>
      </w:r>
    </w:p>
    <w:p>
      <w:pPr>
        <w:spacing w:beforeLines="50" w:beforeAutospacing="0" w:afterLines="50" w:afterAutospacing="0" w:line="360" w:lineRule="auto"/>
        <w:ind w:firstLine="480" w:firstLineChars="200"/>
        <w:rPr>
          <w:rFonts w:hint="eastAsia" w:ascii="楷体" w:hAnsi="楷体" w:eastAsia="楷体" w:cs="楷体"/>
          <w:color w:val="0000FF"/>
          <w:szCs w:val="24"/>
        </w:rPr>
      </w:pPr>
      <w:r>
        <w:rPr>
          <w:rFonts w:hint="eastAsia" w:ascii="楷体" w:hAnsi="楷体" w:eastAsia="楷体" w:cs="楷体"/>
          <w:color w:val="0000FF"/>
          <w:sz w:val="24"/>
          <w:szCs w:val="24"/>
        </w:rPr>
        <w:t>二、</w:t>
      </w:r>
      <w:r>
        <w:rPr>
          <w:rFonts w:hint="eastAsia" w:ascii="楷体" w:hAnsi="楷体" w:eastAsia="楷体" w:cs="楷体"/>
          <w:color w:val="0000FF"/>
          <w:szCs w:val="24"/>
        </w:rPr>
        <w:t>以发放工资、缴纳社会保险费等形式向股东分红，并在税前列支，导致少缴企业所得税，且未代扣代缴相应的个人所得税。</w:t>
      </w:r>
    </w:p>
    <w:p>
      <w:pPr>
        <w:spacing w:beforeLines="50" w:beforeAutospacing="0" w:afterLines="50" w:afterAutospacing="0" w:line="360" w:lineRule="auto"/>
        <w:ind w:firstLine="480" w:firstLineChars="200"/>
        <w:rPr>
          <w:rFonts w:ascii="宋体" w:hAnsi="宋体" w:eastAsia="宋体"/>
          <w:szCs w:val="24"/>
        </w:rPr>
      </w:pPr>
      <w:r>
        <w:rPr>
          <w:rFonts w:hint="eastAsia" w:ascii="楷体" w:hAnsi="楷体" w:eastAsia="楷体" w:cs="楷体"/>
          <w:color w:val="0000FF"/>
          <w:szCs w:val="24"/>
          <w:lang w:eastAsia="zh-CN"/>
        </w:rPr>
        <w:t>三、</w:t>
      </w:r>
      <w:r>
        <w:rPr>
          <w:rFonts w:hint="eastAsia" w:ascii="楷体" w:hAnsi="楷体" w:eastAsia="楷体" w:cs="楷体"/>
          <w:color w:val="0000FF"/>
          <w:szCs w:val="24"/>
        </w:rPr>
        <w:t>《</w:t>
      </w:r>
      <w:r>
        <w:rPr>
          <w:rFonts w:hint="eastAsia" w:ascii="楷体" w:hAnsi="楷体" w:eastAsia="楷体" w:cs="楷体"/>
          <w:color w:val="0000FF"/>
        </w:rPr>
        <w:fldChar w:fldCharType="begin"/>
      </w:r>
      <w:r>
        <w:rPr>
          <w:rFonts w:hint="eastAsia" w:ascii="楷体" w:hAnsi="楷体" w:eastAsia="楷体" w:cs="楷体"/>
          <w:color w:val="0000FF"/>
        </w:rPr>
        <w:instrText xml:space="preserve"> HYPERLINK "http://ssfb86.com/index/News/detail/newsid/8483.html" </w:instrText>
      </w:r>
      <w:r>
        <w:rPr>
          <w:rFonts w:hint="eastAsia" w:ascii="楷体" w:hAnsi="楷体" w:eastAsia="楷体" w:cs="楷体"/>
          <w:color w:val="0000FF"/>
        </w:rPr>
        <w:fldChar w:fldCharType="separate"/>
      </w:r>
      <w:r>
        <w:rPr>
          <w:rStyle w:val="12"/>
          <w:rFonts w:hint="eastAsia" w:ascii="楷体" w:hAnsi="楷体" w:eastAsia="楷体" w:cs="楷体"/>
          <w:color w:val="0000FF"/>
          <w:szCs w:val="24"/>
        </w:rPr>
        <w:t>中华人民共和国行政处罚法</w:t>
      </w:r>
      <w:r>
        <w:rPr>
          <w:rStyle w:val="12"/>
          <w:rFonts w:hint="eastAsia" w:ascii="楷体" w:hAnsi="楷体" w:eastAsia="楷体" w:cs="楷体"/>
          <w:color w:val="0000FF"/>
          <w:szCs w:val="24"/>
        </w:rPr>
        <w:fldChar w:fldCharType="end"/>
      </w:r>
      <w:r>
        <w:rPr>
          <w:rFonts w:hint="eastAsia" w:ascii="楷体" w:hAnsi="楷体" w:eastAsia="楷体" w:cs="楷体"/>
          <w:color w:val="0000FF"/>
          <w:szCs w:val="24"/>
        </w:rPr>
        <w:t>》第二十九条第二款规定，违法行为有连续或者继续状态的，追溯期限从行为终了之日起计算；《国务院法制办公室对湖北省人民政府法制办公室《关于如何确认违法行为连续或继续状态的请示）的复函》（</w:t>
      </w:r>
      <w:r>
        <w:rPr>
          <w:rFonts w:hint="eastAsia" w:ascii="楷体" w:hAnsi="楷体" w:eastAsia="楷体" w:cs="楷体"/>
          <w:color w:val="0000FF"/>
        </w:rPr>
        <w:fldChar w:fldCharType="begin"/>
      </w:r>
      <w:r>
        <w:rPr>
          <w:rFonts w:hint="eastAsia" w:ascii="楷体" w:hAnsi="楷体" w:eastAsia="楷体" w:cs="楷体"/>
          <w:color w:val="0000FF"/>
        </w:rPr>
        <w:instrText xml:space="preserve"> HYPERLINK "http://ssfb86.com/index/News/detail/newsid/10023.html" </w:instrText>
      </w:r>
      <w:r>
        <w:rPr>
          <w:rFonts w:hint="eastAsia" w:ascii="楷体" w:hAnsi="楷体" w:eastAsia="楷体" w:cs="楷体"/>
          <w:color w:val="0000FF"/>
        </w:rPr>
        <w:fldChar w:fldCharType="separate"/>
      </w:r>
      <w:r>
        <w:rPr>
          <w:rStyle w:val="12"/>
          <w:rFonts w:hint="eastAsia" w:ascii="楷体" w:hAnsi="楷体" w:eastAsia="楷体" w:cs="楷体"/>
          <w:color w:val="0000FF"/>
          <w:szCs w:val="24"/>
        </w:rPr>
        <w:t>国法函〔2005〕442号</w:t>
      </w:r>
      <w:r>
        <w:rPr>
          <w:rStyle w:val="12"/>
          <w:rFonts w:hint="eastAsia" w:ascii="楷体" w:hAnsi="楷体" w:eastAsia="楷体" w:cs="楷体"/>
          <w:color w:val="0000FF"/>
          <w:szCs w:val="24"/>
        </w:rPr>
        <w:fldChar w:fldCharType="end"/>
      </w:r>
      <w:r>
        <w:rPr>
          <w:rFonts w:hint="eastAsia" w:ascii="楷体" w:hAnsi="楷体" w:eastAsia="楷体" w:cs="楷体"/>
          <w:color w:val="0000FF"/>
          <w:szCs w:val="24"/>
        </w:rPr>
        <w:t>）规定，</w:t>
      </w:r>
      <w:r>
        <w:rPr>
          <w:rFonts w:hint="eastAsia" w:ascii="楷体" w:hAnsi="楷体" w:eastAsia="楷体" w:cs="楷体"/>
          <w:color w:val="0000FF"/>
        </w:rPr>
        <w:fldChar w:fldCharType="begin"/>
      </w:r>
      <w:r>
        <w:rPr>
          <w:rFonts w:hint="eastAsia" w:ascii="楷体" w:hAnsi="楷体" w:eastAsia="楷体" w:cs="楷体"/>
          <w:color w:val="0000FF"/>
        </w:rPr>
        <w:instrText xml:space="preserve"> HYPERLINK "http://ssfb86.com/index/News/detail/newsid/8483.html" </w:instrText>
      </w:r>
      <w:r>
        <w:rPr>
          <w:rFonts w:hint="eastAsia" w:ascii="楷体" w:hAnsi="楷体" w:eastAsia="楷体" w:cs="楷体"/>
          <w:color w:val="0000FF"/>
        </w:rPr>
        <w:fldChar w:fldCharType="separate"/>
      </w:r>
      <w:r>
        <w:rPr>
          <w:rStyle w:val="12"/>
          <w:rFonts w:hint="eastAsia" w:ascii="楷体" w:hAnsi="楷体" w:eastAsia="楷体" w:cs="楷体"/>
          <w:color w:val="0000FF"/>
          <w:szCs w:val="24"/>
        </w:rPr>
        <w:t>行政处罚法</w:t>
      </w:r>
      <w:r>
        <w:rPr>
          <w:rStyle w:val="12"/>
          <w:rFonts w:hint="eastAsia" w:ascii="楷体" w:hAnsi="楷体" w:eastAsia="楷体" w:cs="楷体"/>
          <w:color w:val="0000FF"/>
          <w:szCs w:val="24"/>
        </w:rPr>
        <w:fldChar w:fldCharType="end"/>
      </w:r>
      <w:r>
        <w:rPr>
          <w:rFonts w:hint="eastAsia" w:ascii="楷体" w:hAnsi="楷体" w:eastAsia="楷体" w:cs="楷体"/>
          <w:color w:val="0000FF"/>
          <w:szCs w:val="24"/>
        </w:rPr>
        <w:t>第二十九条中规定的违法行为的连续状态，是指当事人基于同一个违法故意，连续实施数个独立的行政违法行为，并触犯同一个行政处罚规定的情形。根据上述规定，HZ公司连续在数个年度实施偷税违法行为，应认定为连续状态，因此对于HZ公司2010——2018年的偷税行为，税务机关有权依法予以行政处罚。</w:t>
      </w:r>
    </w:p>
    <w:p>
      <w:pPr>
        <w:spacing w:beforeLines="50" w:beforeAutospacing="0" w:afterLines="50" w:afterAutospacing="0" w:line="360" w:lineRule="auto"/>
        <w:ind w:firstLine="480" w:firstLineChars="200"/>
        <w:rPr>
          <w:rFonts w:hint="eastAsia" w:ascii="楷体" w:hAnsi="楷体" w:eastAsia="楷体"/>
          <w:color w:val="0070C0"/>
          <w:lang w:eastAsia="zh-CN"/>
        </w:rPr>
      </w:pPr>
    </w:p>
    <w:p>
      <w:pPr>
        <w:pStyle w:val="2"/>
        <w:spacing w:beforeLines="50" w:beforeAutospacing="0" w:afterLines="50" w:afterAutospacing="0" w:line="360" w:lineRule="auto"/>
        <w:rPr>
          <w:rFonts w:ascii="宋体" w:hAnsi="宋体" w:eastAsia="宋体"/>
          <w:sz w:val="24"/>
          <w:szCs w:val="24"/>
        </w:rPr>
      </w:pPr>
      <w:r>
        <w:rPr>
          <w:rFonts w:hint="eastAsia" w:ascii="宋体" w:hAnsi="宋体" w:eastAsia="宋体"/>
          <w:sz w:val="24"/>
          <w:szCs w:val="24"/>
        </w:rPr>
        <w:t>思考</w:t>
      </w:r>
    </w:p>
    <w:p>
      <w:pPr>
        <w:spacing w:beforeLines="50" w:beforeAutospacing="0" w:afterLines="50" w:afterAutospacing="0" w:line="360" w:lineRule="auto"/>
        <w:ind w:firstLine="480" w:firstLineChars="200"/>
        <w:rPr>
          <w:rFonts w:hint="eastAsia" w:ascii="楷体" w:hAnsi="楷体" w:eastAsia="楷体"/>
          <w:color w:val="0070C0"/>
        </w:rPr>
      </w:pPr>
    </w:p>
    <w:p>
      <w:pPr>
        <w:spacing w:beforeLines="50" w:beforeAutospacing="0" w:afterLines="50" w:afterAutospacing="0" w:line="360" w:lineRule="auto"/>
        <w:ind w:firstLine="480" w:firstLineChars="200"/>
        <w:rPr>
          <w:rFonts w:hint="eastAsia" w:ascii="宋体" w:hAnsi="宋体" w:eastAsia="宋体"/>
          <w:kern w:val="0"/>
        </w:rPr>
      </w:pPr>
      <w:r>
        <w:rPr>
          <w:rFonts w:hint="eastAsia" w:ascii="楷体" w:hAnsi="楷体" w:eastAsia="楷体"/>
          <w:color w:val="0070C0"/>
        </w:rPr>
        <w:t>一、</w:t>
      </w:r>
      <w:r>
        <w:rPr>
          <w:rFonts w:hint="eastAsia" w:ascii="楷体" w:hAnsi="楷体" w:eastAsia="楷体"/>
          <w:color w:val="0070C0"/>
          <w:lang w:eastAsia="zh-CN"/>
        </w:rPr>
        <w:t>偷税主观故意的认定，要有哪些证据？</w:t>
      </w:r>
      <w:bookmarkStart w:id="0" w:name="_GoBack"/>
      <w:bookmarkEnd w:id="0"/>
    </w:p>
    <w:p>
      <w:pPr>
        <w:spacing w:beforeLines="50" w:beforeAutospacing="0" w:afterLines="50" w:afterAutospacing="0" w:line="360" w:lineRule="auto"/>
        <w:ind w:firstLine="883" w:firstLineChars="200"/>
        <w:jc w:val="center"/>
        <w:rPr>
          <w:rFonts w:hint="eastAsia" w:ascii="宋体" w:hAnsi="宋体" w:eastAsia="宋体"/>
          <w:b/>
          <w:color w:val="C55911" w:themeColor="accent2" w:themeShade="BF"/>
          <w:sz w:val="44"/>
          <w:szCs w:val="44"/>
        </w:rPr>
      </w:pPr>
    </w:p>
    <w:p>
      <w:pPr>
        <w:spacing w:beforeLines="50" w:beforeAutospacing="0" w:afterLines="50" w:afterAutospacing="0" w:line="360" w:lineRule="auto"/>
        <w:ind w:firstLine="883" w:firstLineChars="200"/>
        <w:jc w:val="center"/>
        <w:rPr>
          <w:rFonts w:ascii="宋体" w:hAnsi="宋体" w:eastAsia="宋体"/>
          <w:b/>
          <w:color w:val="C55911" w:themeColor="accent2" w:themeShade="BF"/>
          <w:sz w:val="44"/>
          <w:szCs w:val="44"/>
        </w:rPr>
      </w:pPr>
      <w:r>
        <w:rPr>
          <w:rFonts w:hint="eastAsia" w:ascii="宋体" w:hAnsi="宋体" w:eastAsia="宋体"/>
          <w:b/>
          <w:color w:val="C55911" w:themeColor="accent2" w:themeShade="BF"/>
          <w:sz w:val="44"/>
          <w:szCs w:val="44"/>
        </w:rPr>
        <w:t>四川</w:t>
      </w:r>
      <w:r>
        <w:rPr>
          <w:rFonts w:ascii="宋体" w:hAnsi="宋体" w:eastAsia="宋体"/>
          <w:b/>
          <w:color w:val="C55911" w:themeColor="accent2" w:themeShade="BF"/>
          <w:sz w:val="44"/>
          <w:szCs w:val="44"/>
        </w:rPr>
        <w:t>HZ工业（集团）有限公司偷税案</w:t>
      </w:r>
    </w:p>
    <w:p>
      <w:pPr>
        <w:spacing w:beforeLines="50" w:beforeAutospacing="0" w:afterLines="50" w:afterAutospacing="0" w:line="360" w:lineRule="auto"/>
        <w:ind w:firstLine="480" w:firstLineChars="200"/>
        <w:rPr>
          <w:rFonts w:ascii="宋体" w:hAnsi="宋体" w:eastAsia="宋体"/>
          <w:szCs w:val="24"/>
        </w:rPr>
      </w:pPr>
    </w:p>
    <w:p>
      <w:pPr>
        <w:spacing w:beforeLines="50" w:beforeAutospacing="0" w:afterLines="50" w:afterAutospacing="0" w:line="360" w:lineRule="auto"/>
        <w:ind w:firstLine="480" w:firstLineChars="200"/>
        <w:jc w:val="center"/>
        <w:rPr>
          <w:rFonts w:ascii="宋体" w:hAnsi="宋体" w:eastAsia="宋体"/>
          <w:szCs w:val="24"/>
        </w:rPr>
      </w:pPr>
      <w:r>
        <w:rPr>
          <w:rFonts w:hint="eastAsia" w:ascii="宋体" w:hAnsi="宋体" w:eastAsia="宋体"/>
          <w:szCs w:val="24"/>
        </w:rPr>
        <w:t>——</w:t>
      </w:r>
      <w:r>
        <w:fldChar w:fldCharType="begin"/>
      </w:r>
      <w:r>
        <w:instrText xml:space="preserve"> HYPERLINK "http://ssfb86.com/index/News/detail/newsid/10104.html" </w:instrText>
      </w:r>
      <w:r>
        <w:fldChar w:fldCharType="separate"/>
      </w:r>
      <w:r>
        <w:rPr>
          <w:rStyle w:val="12"/>
          <w:rFonts w:hint="eastAsia" w:ascii="宋体" w:hAnsi="宋体" w:eastAsia="宋体"/>
          <w:szCs w:val="24"/>
        </w:rPr>
        <w:t>隐瞒债务重组所得少缴税款</w:t>
      </w:r>
      <w:r>
        <w:rPr>
          <w:rStyle w:val="12"/>
          <w:rFonts w:hint="eastAsia" w:ascii="宋体" w:hAnsi="宋体" w:eastAsia="宋体"/>
          <w:szCs w:val="24"/>
        </w:rPr>
        <w:fldChar w:fldCharType="end"/>
      </w:r>
    </w:p>
    <w:p>
      <w:pPr>
        <w:spacing w:beforeLines="50" w:beforeAutospacing="0" w:afterLines="50" w:afterAutospacing="0" w:line="360" w:lineRule="auto"/>
        <w:ind w:firstLine="480" w:firstLineChars="200"/>
        <w:rPr>
          <w:rFonts w:ascii="宋体" w:hAnsi="宋体" w:eastAsia="宋体"/>
          <w:szCs w:val="24"/>
        </w:rPr>
      </w:pPr>
    </w:p>
    <w:p>
      <w:pPr>
        <w:spacing w:beforeLines="50" w:beforeAutospacing="0" w:afterLines="50" w:afterAutospacing="0" w:line="360" w:lineRule="auto"/>
        <w:ind w:firstLine="482" w:firstLineChars="200"/>
        <w:rPr>
          <w:rFonts w:ascii="宋体" w:hAnsi="宋体" w:eastAsia="宋体"/>
          <w:szCs w:val="24"/>
        </w:rPr>
      </w:pPr>
      <w:r>
        <w:rPr>
          <w:rFonts w:hint="eastAsia" w:ascii="宋体" w:hAnsi="宋体" w:eastAsia="宋体"/>
          <w:b/>
          <w:szCs w:val="24"/>
        </w:rPr>
        <w:t>〔关键词〕</w:t>
      </w:r>
      <w:r>
        <w:rPr>
          <w:rFonts w:hint="eastAsia" w:ascii="宋体" w:hAnsi="宋体" w:eastAsia="宋体"/>
          <w:szCs w:val="24"/>
        </w:rPr>
        <w:t>债务重组虚假偿债</w:t>
      </w:r>
      <w:r>
        <w:rPr>
          <w:rFonts w:ascii="宋体" w:hAnsi="宋体" w:eastAsia="宋体"/>
          <w:szCs w:val="24"/>
        </w:rPr>
        <w:t>虚列工资偷税</w:t>
      </w:r>
    </w:p>
    <w:p>
      <w:pPr>
        <w:spacing w:beforeLines="50" w:beforeAutospacing="0" w:afterLines="50" w:afterAutospacing="0" w:line="360" w:lineRule="auto"/>
        <w:ind w:firstLine="480" w:firstLineChars="200"/>
        <w:rPr>
          <w:rFonts w:ascii="宋体" w:hAnsi="宋体" w:eastAsia="宋体"/>
          <w:szCs w:val="24"/>
        </w:rPr>
      </w:pPr>
    </w:p>
    <w:p>
      <w:pPr>
        <w:pStyle w:val="2"/>
        <w:spacing w:before="50" w:beforeAutospacing="0" w:after="50" w:afterAutospacing="0" w:line="360" w:lineRule="auto"/>
        <w:ind w:firstLine="482" w:firstLineChars="200"/>
        <w:rPr>
          <w:rFonts w:ascii="宋体" w:hAnsi="宋体" w:eastAsia="宋体"/>
          <w:sz w:val="24"/>
          <w:szCs w:val="24"/>
        </w:rPr>
      </w:pPr>
      <w:r>
        <w:rPr>
          <w:rFonts w:hint="eastAsia" w:ascii="宋体" w:hAnsi="宋体" w:eastAsia="宋体"/>
          <w:sz w:val="24"/>
          <w:szCs w:val="24"/>
        </w:rPr>
        <w:t>基本案情</w:t>
      </w:r>
    </w:p>
    <w:p>
      <w:pPr>
        <w:spacing w:beforeLines="50" w:beforeAutospacing="0" w:afterLines="50" w:afterAutospacing="0" w:line="360" w:lineRule="auto"/>
        <w:ind w:firstLine="480" w:firstLineChars="200"/>
        <w:rPr>
          <w:rFonts w:ascii="宋体" w:hAnsi="宋体" w:eastAsia="宋体"/>
          <w:szCs w:val="24"/>
        </w:rPr>
      </w:pPr>
    </w:p>
    <w:p>
      <w:pPr>
        <w:pStyle w:val="3"/>
        <w:spacing w:before="50" w:beforeAutospacing="0" w:after="50" w:afterAutospacing="0" w:line="360" w:lineRule="auto"/>
        <w:ind w:firstLine="482" w:firstLineChars="200"/>
        <w:rPr>
          <w:rFonts w:ascii="宋体" w:hAnsi="宋体" w:eastAsia="宋体"/>
          <w:sz w:val="24"/>
          <w:szCs w:val="24"/>
        </w:rPr>
      </w:pPr>
      <w:r>
        <w:rPr>
          <w:rFonts w:hint="eastAsia" w:ascii="宋体" w:hAnsi="宋体" w:eastAsia="宋体"/>
          <w:sz w:val="24"/>
          <w:szCs w:val="24"/>
        </w:rPr>
        <w:t>一、检查过程</w:t>
      </w:r>
    </w:p>
    <w:p>
      <w:pPr>
        <w:pStyle w:val="4"/>
        <w:spacing w:before="50" w:beforeAutospacing="0" w:after="50" w:afterAutospacing="0" w:line="360" w:lineRule="auto"/>
        <w:ind w:firstLine="482" w:firstLineChars="200"/>
        <w:rPr>
          <w:rFonts w:ascii="宋体" w:hAnsi="宋体" w:eastAsia="宋体"/>
          <w:sz w:val="24"/>
          <w:szCs w:val="24"/>
        </w:rPr>
      </w:pPr>
      <w:r>
        <w:rPr>
          <w:rFonts w:hint="eastAsia" w:ascii="宋体" w:hAnsi="宋体" w:eastAsia="宋体"/>
          <w:sz w:val="24"/>
          <w:szCs w:val="24"/>
        </w:rPr>
        <w:t>（一）数据分析，疑点浮现</w:t>
      </w:r>
    </w:p>
    <w:p>
      <w:pPr>
        <w:spacing w:beforeLines="50" w:beforeAutospacing="0" w:afterLines="50" w:afterAutospacing="0" w:line="360" w:lineRule="auto"/>
        <w:ind w:firstLine="480" w:firstLineChars="200"/>
        <w:rPr>
          <w:rFonts w:ascii="宋体" w:hAnsi="宋体" w:eastAsia="宋体"/>
          <w:szCs w:val="24"/>
        </w:rPr>
      </w:pPr>
      <w:r>
        <w:rPr>
          <w:rFonts w:ascii="宋体" w:hAnsi="宋体" w:eastAsia="宋体"/>
          <w:szCs w:val="24"/>
        </w:rPr>
        <w:t>2020年3月，税务总局驻重庆特派办成立专案组，对四川HZ工业（集团）有限公司（以下简称HZ公司）2010——2019年涉嫌少缴税款的案件线索进行检查。</w:t>
      </w:r>
    </w:p>
    <w:p>
      <w:pPr>
        <w:spacing w:beforeLines="50" w:beforeAutospacing="0" w:afterLines="50" w:afterAutospacing="0" w:line="360" w:lineRule="auto"/>
        <w:ind w:firstLine="480" w:firstLineChars="200"/>
        <w:rPr>
          <w:rFonts w:ascii="宋体" w:hAnsi="宋体" w:eastAsia="宋体"/>
          <w:szCs w:val="24"/>
        </w:rPr>
      </w:pPr>
      <w:r>
        <w:rPr>
          <w:rFonts w:ascii="宋体" w:hAnsi="宋体" w:eastAsia="宋体"/>
          <w:szCs w:val="24"/>
        </w:rPr>
        <w:t>按照新冠肺炎疫情防控要求，专案组坚持数据分析先行，深入分析HZ公司纳税申报、财务报表等数据。数据显示，2010——2019年，HZ公司年平均收人稳定在1000万元左右，每年均处于微利状态，结合公司申报纳税情况看，初步判定其收入来源于自有房屋租赁，经营业务单一；但公司每年管理费用近800万元，其中职工薪酬占比超过90％。如此单一业务的企业，怎么会有如此高额的人员支</w:t>
      </w:r>
      <w:r>
        <w:rPr>
          <w:rFonts w:hint="eastAsia" w:ascii="宋体" w:hAnsi="宋体" w:eastAsia="宋体"/>
          <w:szCs w:val="24"/>
        </w:rPr>
        <w:t>出？专案组怀疑企业可能存在虚列工资费用的问题。人检查人员分析财务报表时发现，</w:t>
      </w:r>
      <w:r>
        <w:rPr>
          <w:rFonts w:ascii="宋体" w:hAnsi="宋体" w:eastAsia="宋体"/>
          <w:szCs w:val="24"/>
        </w:rPr>
        <w:t>HZ公司2010——2017年长期应付款金额均为1</w:t>
      </w:r>
      <w:r>
        <w:rPr>
          <w:rFonts w:hint="eastAsia" w:ascii="宋体" w:hAnsi="宋体" w:eastAsia="宋体"/>
          <w:kern w:val="0"/>
          <w:szCs w:val="24"/>
        </w:rPr>
        <w:t>.</w:t>
      </w:r>
      <w:r>
        <w:rPr>
          <w:rFonts w:ascii="宋体" w:hAnsi="宋体" w:eastAsia="宋体"/>
          <w:szCs w:val="24"/>
        </w:rPr>
        <w:t>4亿元左右，但在2018年末减少至5400万元，减少了8600余万元，而同期其他应付款增加8600余万元。检查人员认为，HZ公司可能未按规定将无法支付的应付款项确认收人，进而少缴纳了企业所得税。</w:t>
      </w:r>
    </w:p>
    <w:p>
      <w:pPr>
        <w:pStyle w:val="4"/>
        <w:spacing w:before="50" w:beforeAutospacing="0" w:after="50" w:afterAutospacing="0" w:line="360" w:lineRule="auto"/>
        <w:ind w:firstLine="482" w:firstLineChars="200"/>
        <w:rPr>
          <w:rFonts w:ascii="宋体" w:hAnsi="宋体" w:eastAsia="宋体"/>
          <w:sz w:val="24"/>
          <w:szCs w:val="24"/>
        </w:rPr>
      </w:pPr>
      <w:r>
        <w:rPr>
          <w:rFonts w:hint="eastAsia" w:ascii="宋体" w:hAnsi="宋体" w:eastAsia="宋体"/>
          <w:sz w:val="24"/>
          <w:szCs w:val="24"/>
        </w:rPr>
        <w:t>（二）突击检查，固定证据</w:t>
      </w:r>
    </w:p>
    <w:p>
      <w:pPr>
        <w:spacing w:beforeLines="50" w:beforeAutospacing="0" w:afterLines="50" w:afterAutospacing="0" w:line="360" w:lineRule="auto"/>
        <w:ind w:firstLine="480" w:firstLineChars="200"/>
        <w:rPr>
          <w:rFonts w:ascii="宋体" w:hAnsi="宋体" w:eastAsia="宋体"/>
          <w:szCs w:val="24"/>
        </w:rPr>
      </w:pPr>
      <w:r>
        <w:rPr>
          <w:rFonts w:hint="eastAsia" w:ascii="宋体" w:hAnsi="宋体" w:eastAsia="宋体"/>
          <w:szCs w:val="24"/>
        </w:rPr>
        <w:t>围绕上述两个疑点，专案组决定进行突击检查。</w:t>
      </w:r>
      <w:r>
        <w:rPr>
          <w:rFonts w:ascii="宋体" w:hAnsi="宋体" w:eastAsia="宋体"/>
          <w:szCs w:val="24"/>
        </w:rPr>
        <w:t>2020年3月12日，1专案组</w:t>
      </w:r>
      <w:r>
        <w:rPr>
          <w:rFonts w:hint="eastAsia" w:ascii="宋体" w:hAnsi="宋体" w:eastAsia="宋体"/>
          <w:szCs w:val="24"/>
        </w:rPr>
        <w:t>调取企业</w:t>
      </w:r>
      <w:r>
        <w:rPr>
          <w:rFonts w:ascii="宋体" w:hAnsi="宋体" w:eastAsia="宋体"/>
          <w:szCs w:val="24"/>
        </w:rPr>
        <w:t>2010年以来全部账册、凭证及其他相关资料，并就有关疑点询问了公司法定代表人和财务负责人。</w:t>
      </w:r>
    </w:p>
    <w:p>
      <w:pPr>
        <w:spacing w:beforeLines="50" w:beforeAutospacing="0" w:afterLines="50" w:afterAutospacing="0" w:line="360" w:lineRule="auto"/>
        <w:ind w:firstLine="480" w:firstLineChars="200"/>
        <w:rPr>
          <w:rFonts w:ascii="宋体" w:hAnsi="宋体" w:eastAsia="宋体"/>
          <w:szCs w:val="24"/>
        </w:rPr>
      </w:pPr>
      <w:r>
        <w:rPr>
          <w:rFonts w:hint="eastAsia" w:ascii="宋体" w:hAnsi="宋体" w:eastAsia="宋体"/>
          <w:szCs w:val="24"/>
        </w:rPr>
        <w:t>针对人员费用问题，财务负责人称，</w:t>
      </w:r>
      <w:r>
        <w:rPr>
          <w:rFonts w:ascii="宋体" w:hAnsi="宋体" w:eastAsia="宋体"/>
          <w:szCs w:val="24"/>
        </w:rPr>
        <w:t>HZ公司早年从事国际贸易和实业投资，业务包括先进技术设备进口、“三来一补”贸易、投资有色金属冶炼、酒店餐饮等在内的多个行业；近几年，由于经营管理不善，业务萎靡，HZ公司主要以自有房屋对外租赁为主，偶尔有少量贸易业务；企业现有职工20余人，负责公司日常运营，包括房屋出租相关业务、贸易业务、财务核算、申报纳税等事务，职工中除两名驾驶员外，均为公司股东，因此，职工工资较高，为公司的主要支出。</w:t>
      </w:r>
    </w:p>
    <w:p>
      <w:pPr>
        <w:spacing w:beforeLines="50" w:beforeAutospacing="0" w:afterLines="50" w:afterAutospacing="0" w:line="360" w:lineRule="auto"/>
        <w:ind w:firstLine="480" w:firstLineChars="200"/>
        <w:rPr>
          <w:rFonts w:ascii="宋体" w:hAnsi="宋体" w:eastAsia="宋体"/>
          <w:szCs w:val="24"/>
        </w:rPr>
      </w:pPr>
      <w:r>
        <w:rPr>
          <w:rFonts w:hint="eastAsia" w:ascii="宋体" w:hAnsi="宋体" w:eastAsia="宋体"/>
          <w:szCs w:val="24"/>
        </w:rPr>
        <w:t>针对长期负债问题，财务负责人称，</w:t>
      </w:r>
      <w:r>
        <w:rPr>
          <w:rFonts w:ascii="宋体" w:hAnsi="宋体" w:eastAsia="宋体"/>
          <w:szCs w:val="24"/>
        </w:rPr>
        <w:t>2008年接管公司财务时，该债务就已存在，不清楚是如何产生的。由于债权人是关联企业，且股东高度重合，长期负债一直没有偿付。2018年，由于关联企业要注销，公司就将债务挂到了公司的股东名下，实际上没有任何实质业务。法定代表人则表示，该金额为虚挂数字，公司早年做贸易业务期间，关联企业之间往来频繁，日积月累便产生了大额债务。</w:t>
      </w:r>
    </w:p>
    <w:p>
      <w:pPr>
        <w:spacing w:beforeLines="50" w:beforeAutospacing="0" w:afterLines="50" w:afterAutospacing="0" w:line="360" w:lineRule="auto"/>
        <w:ind w:firstLine="480" w:firstLineChars="200"/>
        <w:rPr>
          <w:rFonts w:ascii="宋体" w:hAnsi="宋体" w:eastAsia="宋体"/>
          <w:szCs w:val="24"/>
        </w:rPr>
      </w:pPr>
      <w:r>
        <w:rPr>
          <w:rFonts w:hint="eastAsia" w:ascii="宋体" w:hAnsi="宋体" w:eastAsia="宋体"/>
          <w:szCs w:val="24"/>
        </w:rPr>
        <w:t>显然，他们没有如实回答问题。就人员费用问题，</w:t>
      </w:r>
      <w:r>
        <w:rPr>
          <w:rFonts w:ascii="宋体" w:hAnsi="宋体" w:eastAsia="宋体"/>
          <w:szCs w:val="24"/>
        </w:rPr>
        <w:t>HZ公司仅有一栋房屋出租，相关业务根本不需要20多人；就长期负债问题，关联企业之间即使股东重合，但也是独立的法人主体，相互之间巨额的长期借款不可能是资金往来频繁积累所致。专案组决定对调取的相关资料进行深入分析检查。</w:t>
      </w:r>
    </w:p>
    <w:p>
      <w:pPr>
        <w:pStyle w:val="4"/>
        <w:spacing w:before="50" w:beforeAutospacing="0" w:after="50" w:afterAutospacing="0" w:line="360" w:lineRule="auto"/>
        <w:ind w:firstLine="482" w:firstLineChars="200"/>
        <w:rPr>
          <w:rFonts w:ascii="宋体" w:hAnsi="宋体" w:eastAsia="宋体"/>
          <w:sz w:val="24"/>
          <w:szCs w:val="24"/>
        </w:rPr>
      </w:pPr>
      <w:r>
        <w:rPr>
          <w:rFonts w:hint="eastAsia" w:ascii="宋体" w:hAnsi="宋体" w:eastAsia="宋体"/>
          <w:sz w:val="24"/>
          <w:szCs w:val="24"/>
        </w:rPr>
        <w:t>（三）查账分析，初现端倪</w:t>
      </w:r>
    </w:p>
    <w:p>
      <w:pPr>
        <w:spacing w:beforeLines="50" w:beforeAutospacing="0" w:afterLines="50" w:afterAutospacing="0" w:line="360" w:lineRule="auto"/>
        <w:ind w:firstLine="480" w:firstLineChars="200"/>
        <w:rPr>
          <w:rFonts w:ascii="宋体" w:hAnsi="宋体" w:eastAsia="宋体"/>
          <w:szCs w:val="24"/>
        </w:rPr>
      </w:pPr>
      <w:r>
        <w:rPr>
          <w:rFonts w:hint="eastAsia" w:ascii="宋体" w:hAnsi="宋体" w:eastAsia="宋体"/>
          <w:szCs w:val="24"/>
        </w:rPr>
        <w:t>专案组首先对企业财务数据开展分析。一张名为“实发工资台账”的</w:t>
      </w:r>
      <w:r>
        <w:rPr>
          <w:rFonts w:ascii="宋体" w:hAnsi="宋体" w:eastAsia="宋体"/>
          <w:szCs w:val="24"/>
        </w:rPr>
        <w:t>Excel表格进入检查人员的视野，台账记载的企业职工仅有5名，为法定代表人、总经理、财务负责人、会计、出纳，月工资总额约3万元。而企业账簿资料附列的工资表中，职工有20余人，月工资总额近50万元。检查人员推断，企业可能有两套账，“实发工资台账”：可能是企业的真实工资表，企业可能通过列支工资的形式向股东分红。</w:t>
      </w:r>
    </w:p>
    <w:p>
      <w:pPr>
        <w:spacing w:beforeLines="50" w:beforeAutospacing="0" w:afterLines="50" w:afterAutospacing="0" w:line="360" w:lineRule="auto"/>
        <w:ind w:firstLine="480" w:firstLineChars="200"/>
        <w:rPr>
          <w:rFonts w:ascii="宋体" w:hAnsi="宋体" w:eastAsia="宋体"/>
          <w:szCs w:val="24"/>
        </w:rPr>
      </w:pPr>
      <w:r>
        <w:rPr>
          <w:rFonts w:hint="eastAsia" w:ascii="宋体" w:hAnsi="宋体" w:eastAsia="宋体"/>
          <w:szCs w:val="24"/>
        </w:rPr>
        <w:t>同时，检查组人员结合电子账套与纸质账簿进行比对分析，基本厘清了企业长期负债的由来。早在</w:t>
      </w:r>
      <w:r>
        <w:rPr>
          <w:rFonts w:ascii="宋体" w:hAnsi="宋体" w:eastAsia="宋体"/>
          <w:szCs w:val="24"/>
        </w:rPr>
        <w:t>2004年，HZ公司就承接了关联公司X国际贸易公司对A银行的债务，金额约3亿元。2005年，A银行对不良资产进行清理，将该部分债权进行公开拍卖。HZ公司的关联公司四川PH工业有限公司（以下简称PH公司）以1</w:t>
      </w:r>
      <w:r>
        <w:rPr>
          <w:rFonts w:hint="eastAsia" w:ascii="宋体" w:hAnsi="宋体" w:eastAsia="宋体"/>
          <w:kern w:val="0"/>
          <w:szCs w:val="24"/>
        </w:rPr>
        <w:t>.</w:t>
      </w:r>
      <w:r>
        <w:rPr>
          <w:rFonts w:ascii="宋体" w:hAnsi="宋体" w:eastAsia="宋体"/>
          <w:szCs w:val="24"/>
        </w:rPr>
        <w:t>4亿元拍得上述债权。Hz公司据此在账簿上将债权人由A银行变更为PH公司，在抵销部分与PH公司往来款后，长期负债金额减至1</w:t>
      </w:r>
      <w:r>
        <w:rPr>
          <w:rFonts w:hint="eastAsia" w:ascii="宋体" w:hAnsi="宋体" w:eastAsia="宋体"/>
          <w:kern w:val="0"/>
          <w:szCs w:val="24"/>
        </w:rPr>
        <w:t>.</w:t>
      </w:r>
      <w:r>
        <w:rPr>
          <w:rFonts w:ascii="宋体" w:hAnsi="宋体" w:eastAsia="宋体"/>
          <w:szCs w:val="24"/>
        </w:rPr>
        <w:t>36亿元。2014——2015年，Hz公司陆续偿付5000余万元，余额减至8600余万元。2018年，PH公司与Hz公司及其股东签订三方协议，约定将PH公司该笔债权无偿转让给HZ公司股东姜某某、李某某，HZ公司账簿上将该笔长期负债调账至短期负债，在“其他应付款”科目核算，债权人变更为姜某某、李某某。企业长期负债的来源已基本清楚，但问题随之而来，关联企业PH公司2005</w:t>
      </w:r>
      <w:r>
        <w:rPr>
          <w:rFonts w:hint="eastAsia" w:ascii="宋体" w:hAnsi="宋体" w:eastAsia="宋体"/>
          <w:szCs w:val="24"/>
        </w:rPr>
        <w:t>年低价拍得债权后，</w:t>
      </w:r>
      <w:r>
        <w:rPr>
          <w:rFonts w:ascii="宋体" w:hAnsi="宋体" w:eastAsia="宋体"/>
          <w:szCs w:val="24"/>
        </w:rPr>
        <w:t>Hz公司长期挂账，HZ公司和关联企业PH公司股东高度重合，是否意味着不用偿还？据此推理，后续Hz公司的偿付行为是否真实；，PH公司无偿转让债权行为是否仅为了掩人耳目，这都将是下一步检查核实的重点。</w:t>
      </w:r>
    </w:p>
    <w:p>
      <w:pPr>
        <w:pStyle w:val="4"/>
        <w:spacing w:before="50" w:beforeAutospacing="0" w:after="50" w:afterAutospacing="0" w:line="360" w:lineRule="auto"/>
        <w:ind w:firstLine="482" w:firstLineChars="200"/>
        <w:rPr>
          <w:rFonts w:ascii="宋体" w:hAnsi="宋体" w:eastAsia="宋体"/>
          <w:sz w:val="24"/>
          <w:szCs w:val="24"/>
        </w:rPr>
      </w:pPr>
      <w:r>
        <w:rPr>
          <w:rFonts w:ascii="宋体" w:hAnsi="宋体" w:eastAsia="宋体"/>
          <w:sz w:val="24"/>
          <w:szCs w:val="24"/>
        </w:rPr>
        <w:t>（四）资金查控，做实证据</w:t>
      </w:r>
    </w:p>
    <w:p>
      <w:pPr>
        <w:spacing w:beforeLines="50" w:beforeAutospacing="0" w:afterLines="50" w:afterAutospacing="0" w:line="360" w:lineRule="auto"/>
        <w:ind w:firstLine="480" w:firstLineChars="200"/>
        <w:rPr>
          <w:rFonts w:ascii="宋体" w:hAnsi="宋体" w:eastAsia="宋体"/>
          <w:szCs w:val="24"/>
        </w:rPr>
      </w:pPr>
      <w:r>
        <w:rPr>
          <w:rFonts w:hint="eastAsia" w:ascii="宋体" w:hAnsi="宋体" w:eastAsia="宋体"/>
          <w:szCs w:val="24"/>
        </w:rPr>
        <w:t>要解答上述疑问，掌握企业的资金流水情况是关键。专案组全面调取</w:t>
      </w:r>
      <w:r>
        <w:rPr>
          <w:rFonts w:ascii="宋体" w:hAnsi="宋体" w:eastAsia="宋体"/>
          <w:szCs w:val="24"/>
        </w:rPr>
        <w:t>HZ公司及相关人员账户资金流水信息，对近十万条资金数据进行分析研判，将每月账上记载的虚假工资和账外实际发放的工资进行比对，并由出纳一一确认。很快，完整的资金链条浮出水面。</w:t>
      </w:r>
    </w:p>
    <w:p>
      <w:pPr>
        <w:spacing w:beforeLines="50" w:beforeAutospacing="0" w:afterLines="50" w:afterAutospacing="0" w:line="360" w:lineRule="auto"/>
        <w:ind w:firstLine="480" w:firstLineChars="200"/>
        <w:rPr>
          <w:rFonts w:ascii="宋体" w:hAnsi="宋体" w:eastAsia="宋体"/>
          <w:szCs w:val="24"/>
        </w:rPr>
      </w:pPr>
      <w:r>
        <w:rPr>
          <w:rFonts w:hint="eastAsia" w:ascii="宋体" w:hAnsi="宋体" w:eastAsia="宋体"/>
          <w:szCs w:val="24"/>
        </w:rPr>
        <w:t>工资方面，</w:t>
      </w:r>
      <w:r>
        <w:rPr>
          <w:rFonts w:ascii="宋体" w:hAnsi="宋体" w:eastAsia="宋体"/>
          <w:szCs w:val="24"/>
        </w:rPr>
        <w:t>HZ公司通过对公账户发放账簿上记载的工资，年支付金额约600万元；通过出纳李某个人账户向，“实发工资台账，列明的5人发放工资，年支付金额约40万元。检查人员发现，账簿所列支工资中，一名员工工资在工资总额中的占比</w:t>
      </w:r>
      <w:r>
        <w:rPr>
          <w:rFonts w:hint="eastAsia" w:ascii="宋体" w:hAnsi="宋体" w:eastAsia="宋体"/>
          <w:szCs w:val="24"/>
        </w:rPr>
        <w:t>，</w:t>
      </w:r>
      <w:r>
        <w:rPr>
          <w:rFonts w:ascii="宋体" w:hAnsi="宋体" w:eastAsia="宋体"/>
          <w:szCs w:val="24"/>
        </w:rPr>
        <w:t>竟然与其所持公司股份占比高度一致。专案组初步判定，账载工资实际为分红，“实发工资台账”所载金额才是真正的工资支出。</w:t>
      </w:r>
    </w:p>
    <w:p>
      <w:pPr>
        <w:spacing w:beforeLines="50" w:beforeAutospacing="0" w:afterLines="50" w:afterAutospacing="0" w:line="360" w:lineRule="auto"/>
        <w:ind w:firstLine="480" w:firstLineChars="200"/>
        <w:rPr>
          <w:rFonts w:ascii="宋体" w:hAnsi="宋体" w:eastAsia="宋体"/>
          <w:szCs w:val="24"/>
        </w:rPr>
      </w:pPr>
      <w:r>
        <w:rPr>
          <w:rFonts w:ascii="宋体" w:hAnsi="宋体" w:eastAsia="宋体"/>
          <w:szCs w:val="24"/>
        </w:rPr>
        <w:t>长期负债方面，HZ公司账簿上记载偿还了债务，但是实际上款项并未付至PH公司，而是支付至无关联的第三方成都SD科技有限公司（以下简称SD科技），SD科技当日将款项付至HZ公司出纳李某个人账户；李某又转至姜某某等20余名企业股东个人账户。经测算，20余名股东分别收到的款项也与其在公司持股比例高度一致，初步判断也为分红。至于PH公司2018年后续的无偿转让债权行为，资金流水上无任何体现。</w:t>
      </w:r>
    </w:p>
    <w:p>
      <w:pPr>
        <w:pStyle w:val="4"/>
        <w:spacing w:before="50" w:beforeAutospacing="0" w:after="50" w:afterAutospacing="0" w:line="360" w:lineRule="auto"/>
        <w:ind w:firstLine="482" w:firstLineChars="200"/>
        <w:rPr>
          <w:rFonts w:ascii="宋体" w:hAnsi="宋体" w:eastAsia="宋体"/>
          <w:sz w:val="24"/>
          <w:szCs w:val="24"/>
        </w:rPr>
      </w:pPr>
      <w:r>
        <w:rPr>
          <w:rFonts w:hint="eastAsia" w:ascii="宋体" w:hAnsi="宋体" w:eastAsia="宋体"/>
          <w:sz w:val="24"/>
          <w:szCs w:val="24"/>
        </w:rPr>
        <w:t>（五）再次询问，真相大白</w:t>
      </w:r>
    </w:p>
    <w:p>
      <w:pPr>
        <w:spacing w:beforeLines="50" w:beforeAutospacing="0" w:afterLines="50" w:afterAutospacing="0" w:line="360" w:lineRule="auto"/>
        <w:ind w:firstLine="480" w:firstLineChars="200"/>
        <w:rPr>
          <w:rFonts w:ascii="宋体" w:hAnsi="宋体" w:eastAsia="宋体"/>
          <w:szCs w:val="24"/>
        </w:rPr>
      </w:pPr>
      <w:r>
        <w:rPr>
          <w:rFonts w:hint="eastAsia" w:ascii="宋体" w:hAnsi="宋体" w:eastAsia="宋体"/>
          <w:szCs w:val="24"/>
        </w:rPr>
        <w:t>在取得上述证据后，专案组再次询同企业相关人员。面对检查人员——一展示的证据资料，被询问入最终如实供述了相关违法事实。</w:t>
      </w:r>
    </w:p>
    <w:p>
      <w:pPr>
        <w:spacing w:beforeLines="50" w:beforeAutospacing="0" w:afterLines="50" w:afterAutospacing="0" w:line="360" w:lineRule="auto"/>
        <w:ind w:firstLine="480" w:firstLineChars="200"/>
        <w:rPr>
          <w:rFonts w:ascii="宋体" w:hAnsi="宋体" w:eastAsia="宋体"/>
          <w:szCs w:val="24"/>
        </w:rPr>
      </w:pPr>
      <w:r>
        <w:rPr>
          <w:rFonts w:hint="eastAsia" w:ascii="宋体" w:hAnsi="宋体" w:eastAsia="宋体"/>
          <w:szCs w:val="24"/>
        </w:rPr>
        <w:t>工资方面，</w:t>
      </w:r>
      <w:r>
        <w:rPr>
          <w:rFonts w:ascii="宋体" w:hAnsi="宋体" w:eastAsia="宋体"/>
          <w:szCs w:val="24"/>
        </w:rPr>
        <w:t>Hz公司原有职工20余人，除两名司机外，其余均为公司股东。2010年左右，公司贸易业务全部停止，唯一业务为出租一栋房屋。为此，除公司法定代表人、总经理及财务相关人员等5人继续在岗外，其余人员均不再上班。股东下岗后，公司名义上继续为其发放工资、缴纳社会保险、缴纳住房公积金，实际为分配红利。在岗的5名股东除享受分红外，其实际工资、奖金等通过在账上列支往来款项等形式，将企业资金套出至出纳个人账户再进行发放。</w:t>
      </w:r>
    </w:p>
    <w:p>
      <w:pPr>
        <w:spacing w:beforeLines="50" w:beforeAutospacing="0" w:afterLines="50" w:afterAutospacing="0" w:line="360" w:lineRule="auto"/>
        <w:ind w:firstLine="480" w:firstLineChars="200"/>
        <w:rPr>
          <w:rFonts w:ascii="宋体" w:hAnsi="宋体" w:eastAsia="宋体"/>
          <w:szCs w:val="24"/>
        </w:rPr>
      </w:pPr>
      <w:r>
        <w:rPr>
          <w:rFonts w:hint="eastAsia" w:ascii="宋体" w:hAnsi="宋体" w:eastAsia="宋体"/>
          <w:szCs w:val="24"/>
        </w:rPr>
        <w:t>长期负债方面，</w:t>
      </w:r>
      <w:r>
        <w:rPr>
          <w:rFonts w:ascii="宋体" w:hAnsi="宋体" w:eastAsia="宋体"/>
          <w:szCs w:val="24"/>
        </w:rPr>
        <w:t>2005年Hz公司以往来款形式借款给关联企业PH公司，由PH公司购买A银行对HZ公司的债权。在抵销往来款项后，长期货债余额1</w:t>
      </w:r>
      <w:r>
        <w:rPr>
          <w:rFonts w:hint="eastAsia" w:ascii="宋体" w:hAnsi="宋体" w:eastAsia="宋体"/>
          <w:kern w:val="0"/>
          <w:szCs w:val="24"/>
        </w:rPr>
        <w:t>.</w:t>
      </w:r>
      <w:r>
        <w:rPr>
          <w:rFonts w:ascii="宋体" w:hAnsi="宋体" w:eastAsia="宋体"/>
          <w:szCs w:val="24"/>
        </w:rPr>
        <w:t>36亿元。2014年，HZ公司因转让一笔对外投资，取得股权转让收人5000余万元，公司决议分配给股东。为了少缴股息红利个人所得税，Hz公司决定以偿还PH公司长期负债形式，将款项转至SD科技，再转至Hz公司出纳个人账户后分配给股东。事实上，Hz公司一直未偿还上述债务。2018年，鉴于HZ公司长期经营困难，无力偿付债务，PH公司决定豁免剩余债务8600余万元。</w:t>
      </w:r>
      <w:r>
        <w:rPr>
          <w:rFonts w:hint="eastAsia" w:ascii="宋体" w:hAnsi="宋体" w:eastAsia="宋体"/>
          <w:szCs w:val="24"/>
        </w:rPr>
        <w:t>为了掩人耳目，不确认重组所得，</w:t>
      </w:r>
      <w:r>
        <w:rPr>
          <w:rFonts w:ascii="宋体" w:hAnsi="宋体" w:eastAsia="宋体"/>
          <w:szCs w:val="24"/>
        </w:rPr>
        <w:t>PH公司与Hz公司及其两名股东之间签订</w:t>
      </w:r>
      <w:r>
        <w:rPr>
          <w:rFonts w:hint="eastAsia" w:ascii="宋体" w:hAnsi="宋体" w:eastAsia="宋体"/>
          <w:szCs w:val="24"/>
        </w:rPr>
        <w:t>了</w:t>
      </w:r>
      <w:r>
        <w:rPr>
          <w:rFonts w:ascii="宋体" w:hAnsi="宋体" w:eastAsia="宋体"/>
          <w:szCs w:val="24"/>
        </w:rPr>
        <w:t>《债权债务转让协议》，将该笔债权转由Hz公司的两名股东享有，但事实上，该笔债务此时已</w:t>
      </w:r>
      <w:r>
        <w:rPr>
          <w:rFonts w:hint="eastAsia" w:ascii="宋体" w:hAnsi="宋体" w:eastAsia="宋体"/>
          <w:szCs w:val="24"/>
        </w:rPr>
        <w:t>经</w:t>
      </w:r>
      <w:r>
        <w:rPr>
          <w:rFonts w:ascii="宋体" w:hAnsi="宋体" w:eastAsia="宋体"/>
          <w:szCs w:val="24"/>
        </w:rPr>
        <w:t>免除，HZ公司两名股东并不真正享有债权。，至此，相关违法事实已基本查清。此外，专案组还对Hz公司印花税、房产税等纳税情况进行了检查，发现其2017年相关房产租赁合同未按规定贴花少缴印花税、2019年对外出租房产免租期未按房产原值计征房产税的违法事实。</w:t>
      </w:r>
    </w:p>
    <w:p>
      <w:pPr>
        <w:pStyle w:val="3"/>
        <w:spacing w:before="50" w:beforeAutospacing="0" w:after="50" w:afterAutospacing="0" w:line="360" w:lineRule="auto"/>
        <w:ind w:firstLine="482" w:firstLineChars="200"/>
        <w:rPr>
          <w:rFonts w:ascii="宋体" w:hAnsi="宋体" w:eastAsia="宋体"/>
          <w:sz w:val="24"/>
          <w:szCs w:val="24"/>
        </w:rPr>
      </w:pPr>
      <w:r>
        <w:rPr>
          <w:rFonts w:hint="eastAsia" w:ascii="宋体" w:hAnsi="宋体" w:eastAsia="宋体"/>
          <w:sz w:val="24"/>
          <w:szCs w:val="24"/>
        </w:rPr>
        <w:t>二、案件事实</w:t>
      </w:r>
    </w:p>
    <w:p>
      <w:pPr>
        <w:spacing w:beforeLines="50" w:beforeAutospacing="0" w:afterLines="50" w:afterAutospacing="0" w:line="360" w:lineRule="auto"/>
        <w:ind w:firstLine="480" w:firstLineChars="200"/>
        <w:rPr>
          <w:rFonts w:ascii="宋体" w:hAnsi="宋体" w:eastAsia="宋体"/>
          <w:szCs w:val="24"/>
        </w:rPr>
      </w:pPr>
      <w:r>
        <w:rPr>
          <w:rFonts w:hint="eastAsia" w:ascii="宋体" w:hAnsi="宋体" w:eastAsia="宋体"/>
          <w:szCs w:val="24"/>
        </w:rPr>
        <w:t>经查明，本案的主要事实如下：</w:t>
      </w:r>
    </w:p>
    <w:p>
      <w:pPr>
        <w:spacing w:beforeLines="50" w:beforeAutospacing="0" w:afterLines="50" w:afterAutospacing="0" w:line="360" w:lineRule="auto"/>
        <w:ind w:firstLine="480" w:firstLineChars="200"/>
        <w:rPr>
          <w:rFonts w:ascii="宋体" w:hAnsi="宋体" w:eastAsia="宋体"/>
          <w:szCs w:val="24"/>
        </w:rPr>
      </w:pPr>
      <w:r>
        <w:rPr>
          <w:rFonts w:hint="eastAsia" w:ascii="宋体" w:hAnsi="宋体" w:eastAsia="宋体"/>
          <w:szCs w:val="24"/>
        </w:rPr>
        <w:t>1、</w:t>
      </w:r>
      <w:r>
        <w:rPr>
          <w:rFonts w:ascii="宋体" w:hAnsi="宋体" w:eastAsia="宋体"/>
          <w:szCs w:val="24"/>
        </w:rPr>
        <w:t>企业所得税方面。一是未确认债务重组所得。</w:t>
      </w:r>
      <w:r>
        <w:rPr>
          <w:rFonts w:ascii="宋体" w:hAnsi="宋体" w:eastAsia="宋体"/>
          <w:color w:val="C55911" w:themeColor="accent2" w:themeShade="BF"/>
          <w:szCs w:val="24"/>
        </w:rPr>
        <w:t>2018年，PH公司免除H</w:t>
      </w:r>
      <w:r>
        <w:rPr>
          <w:rFonts w:hint="eastAsia" w:ascii="宋体" w:hAnsi="宋体" w:eastAsia="宋体"/>
          <w:color w:val="C55911" w:themeColor="accent2" w:themeShade="BF"/>
          <w:szCs w:val="24"/>
        </w:rPr>
        <w:t>z</w:t>
      </w:r>
      <w:r>
        <w:rPr>
          <w:rFonts w:ascii="宋体" w:hAnsi="宋体" w:eastAsia="宋体"/>
          <w:color w:val="C55911" w:themeColor="accent2" w:themeShade="BF"/>
          <w:szCs w:val="24"/>
        </w:rPr>
        <w:t>公司8635</w:t>
      </w:r>
      <w:r>
        <w:rPr>
          <w:rFonts w:hint="eastAsia" w:ascii="宋体" w:hAnsi="宋体" w:eastAsia="宋体"/>
          <w:color w:val="C55911" w:themeColor="accent2" w:themeShade="BF"/>
          <w:kern w:val="0"/>
          <w:szCs w:val="24"/>
        </w:rPr>
        <w:t>.</w:t>
      </w:r>
      <w:r>
        <w:rPr>
          <w:rFonts w:ascii="宋体" w:hAnsi="宋体" w:eastAsia="宋体"/>
          <w:color w:val="C55911" w:themeColor="accent2" w:themeShade="BF"/>
          <w:szCs w:val="24"/>
        </w:rPr>
        <w:t>32万元债务，Hz公司未对该收入确认债务重组所得。</w:t>
      </w:r>
      <w:r>
        <w:rPr>
          <w:rFonts w:ascii="宋体" w:hAnsi="宋体" w:eastAsia="宋体"/>
          <w:szCs w:val="24"/>
        </w:rPr>
        <w:t>二是以</w:t>
      </w:r>
      <w:r>
        <w:rPr>
          <w:rFonts w:ascii="宋体" w:hAnsi="宋体" w:eastAsia="宋体"/>
          <w:color w:val="C55911" w:themeColor="accent2" w:themeShade="BF"/>
          <w:szCs w:val="24"/>
        </w:rPr>
        <w:t>工资社会保险费等形式分红。2010——2018年，H2公司以工资、社会保险费、住房公积金等形式列支，实际是向股东分红，少缴企业所得税455</w:t>
      </w:r>
      <w:r>
        <w:rPr>
          <w:rFonts w:hint="eastAsia" w:ascii="宋体" w:hAnsi="宋体" w:eastAsia="宋体"/>
          <w:color w:val="C55911" w:themeColor="accent2" w:themeShade="BF"/>
          <w:kern w:val="0"/>
          <w:szCs w:val="24"/>
        </w:rPr>
        <w:t>.</w:t>
      </w:r>
      <w:r>
        <w:rPr>
          <w:rFonts w:ascii="宋体" w:hAnsi="宋体" w:eastAsia="宋体"/>
          <w:color w:val="C55911" w:themeColor="accent2" w:themeShade="BF"/>
          <w:szCs w:val="24"/>
        </w:rPr>
        <w:t>18万元</w:t>
      </w:r>
      <w:r>
        <w:rPr>
          <w:rFonts w:ascii="宋体" w:hAnsi="宋体" w:eastAsia="宋体"/>
          <w:szCs w:val="24"/>
        </w:rPr>
        <w:t>。三是</w:t>
      </w:r>
      <w:r>
        <w:rPr>
          <w:rFonts w:ascii="宋体" w:hAnsi="宋体" w:eastAsia="宋体"/>
          <w:color w:val="C55911" w:themeColor="accent2" w:themeShade="BF"/>
          <w:szCs w:val="24"/>
        </w:rPr>
        <w:t>无法支付的应付款项未确认应税收入。截至2019年PH公司注销时，Hz公司仍欠其5022</w:t>
      </w:r>
      <w:r>
        <w:rPr>
          <w:rFonts w:hint="eastAsia" w:ascii="宋体" w:hAnsi="宋体" w:eastAsia="宋体"/>
          <w:color w:val="C55911" w:themeColor="accent2" w:themeShade="BF"/>
          <w:kern w:val="0"/>
          <w:szCs w:val="24"/>
        </w:rPr>
        <w:t>.</w:t>
      </w:r>
      <w:r>
        <w:rPr>
          <w:rFonts w:ascii="宋体" w:hAnsi="宋体" w:eastAsia="宋体"/>
          <w:color w:val="C55911" w:themeColor="accent2" w:themeShade="BF"/>
          <w:szCs w:val="24"/>
        </w:rPr>
        <w:t>76万元债务。PH公司注销后，该债务已无法偿还，但Hz公司未将其确认为应税收入计算缴纳企业所得税</w:t>
      </w:r>
      <w:r>
        <w:rPr>
          <w:rFonts w:ascii="宋体" w:hAnsi="宋体" w:eastAsia="宋体"/>
          <w:szCs w:val="24"/>
        </w:rPr>
        <w:t>。</w:t>
      </w:r>
    </w:p>
    <w:p>
      <w:pPr>
        <w:spacing w:beforeLines="50" w:beforeAutospacing="0" w:afterLines="50" w:afterAutospacing="0" w:line="360" w:lineRule="auto"/>
        <w:ind w:firstLine="480" w:firstLineChars="200"/>
        <w:rPr>
          <w:rFonts w:ascii="宋体" w:hAnsi="宋体" w:eastAsia="宋体"/>
          <w:szCs w:val="24"/>
        </w:rPr>
      </w:pPr>
      <w:r>
        <w:rPr>
          <w:rFonts w:ascii="宋体" w:hAnsi="宋体" w:eastAsia="宋体"/>
          <w:szCs w:val="24"/>
        </w:rPr>
        <w:t>2．个人所得税方面。2010——2019年，HZ公司通过私人账户向21名股东支付工资、分红等，累计少代扣代缴个人所得税638</w:t>
      </w:r>
      <w:r>
        <w:rPr>
          <w:rFonts w:hint="eastAsia" w:ascii="宋体" w:hAnsi="宋体" w:eastAsia="宋体"/>
          <w:kern w:val="0"/>
          <w:szCs w:val="24"/>
        </w:rPr>
        <w:t>.</w:t>
      </w:r>
      <w:r>
        <w:rPr>
          <w:rFonts w:ascii="宋体" w:hAnsi="宋体" w:eastAsia="宋体"/>
          <w:szCs w:val="24"/>
        </w:rPr>
        <w:t>77万元。其中，2010年1月至2015年2月少代扣代缴318</w:t>
      </w:r>
      <w:r>
        <w:rPr>
          <w:rFonts w:hint="eastAsia" w:ascii="宋体" w:hAnsi="宋体" w:eastAsia="宋体"/>
          <w:kern w:val="0"/>
          <w:szCs w:val="24"/>
        </w:rPr>
        <w:t>.</w:t>
      </w:r>
      <w:r>
        <w:rPr>
          <w:rFonts w:ascii="宋体" w:hAnsi="宋体" w:eastAsia="宋体"/>
          <w:szCs w:val="24"/>
        </w:rPr>
        <w:t>26万元，2015年3月至2019年12月少代扣代缴320</w:t>
      </w:r>
      <w:r>
        <w:rPr>
          <w:rFonts w:hint="eastAsia" w:ascii="宋体" w:hAnsi="宋体" w:eastAsia="宋体"/>
          <w:kern w:val="0"/>
          <w:szCs w:val="24"/>
        </w:rPr>
        <w:t>.</w:t>
      </w:r>
      <w:r>
        <w:rPr>
          <w:rFonts w:ascii="宋体" w:hAnsi="宋体" w:eastAsia="宋体"/>
          <w:szCs w:val="24"/>
        </w:rPr>
        <w:t>51万元。</w:t>
      </w:r>
    </w:p>
    <w:p>
      <w:pPr>
        <w:spacing w:beforeLines="50" w:beforeAutospacing="0" w:afterLines="50" w:afterAutospacing="0" w:line="360" w:lineRule="auto"/>
        <w:ind w:firstLine="480" w:firstLineChars="200"/>
        <w:rPr>
          <w:rFonts w:ascii="宋体" w:hAnsi="宋体" w:eastAsia="宋体"/>
          <w:szCs w:val="24"/>
        </w:rPr>
      </w:pPr>
      <w:r>
        <w:rPr>
          <w:rFonts w:ascii="宋体" w:hAnsi="宋体" w:eastAsia="宋体"/>
          <w:szCs w:val="24"/>
        </w:rPr>
        <w:t>3．其他方面。2017年，HZ公司相关房产租赁合同未按规定贴花少缴印花税22</w:t>
      </w:r>
      <w:r>
        <w:rPr>
          <w:rFonts w:hint="eastAsia" w:ascii="宋体" w:hAnsi="宋体" w:eastAsia="宋体"/>
          <w:kern w:val="0"/>
          <w:szCs w:val="24"/>
        </w:rPr>
        <w:t>.</w:t>
      </w:r>
      <w:r>
        <w:rPr>
          <w:rFonts w:ascii="宋体" w:hAnsi="宋体" w:eastAsia="宋体"/>
          <w:szCs w:val="24"/>
        </w:rPr>
        <w:t>20万元；2019年，HZ公司对外出租房产免租期未按房产原值计征房产税26</w:t>
      </w:r>
      <w:r>
        <w:rPr>
          <w:rFonts w:hint="eastAsia" w:ascii="宋体" w:hAnsi="宋体" w:eastAsia="宋体"/>
          <w:kern w:val="0"/>
          <w:szCs w:val="24"/>
        </w:rPr>
        <w:t>.</w:t>
      </w:r>
      <w:r>
        <w:rPr>
          <w:rFonts w:ascii="宋体" w:hAnsi="宋体" w:eastAsia="宋体"/>
          <w:szCs w:val="24"/>
        </w:rPr>
        <w:t>86万元。</w:t>
      </w:r>
    </w:p>
    <w:p>
      <w:pPr>
        <w:pStyle w:val="3"/>
        <w:spacing w:before="50" w:beforeAutospacing="0" w:after="50" w:afterAutospacing="0" w:line="360" w:lineRule="auto"/>
        <w:ind w:firstLine="482" w:firstLineChars="200"/>
        <w:rPr>
          <w:rFonts w:ascii="宋体" w:hAnsi="宋体" w:eastAsia="宋体"/>
          <w:sz w:val="24"/>
          <w:szCs w:val="24"/>
        </w:rPr>
      </w:pPr>
      <w:r>
        <w:rPr>
          <w:rFonts w:hint="eastAsia" w:ascii="宋体" w:hAnsi="宋体" w:eastAsia="宋体"/>
          <w:sz w:val="24"/>
          <w:szCs w:val="24"/>
        </w:rPr>
        <w:t>三、处理结果</w:t>
      </w:r>
    </w:p>
    <w:p>
      <w:pPr>
        <w:spacing w:beforeLines="50" w:beforeAutospacing="0" w:afterLines="50" w:afterAutospacing="0" w:line="360" w:lineRule="auto"/>
        <w:ind w:firstLine="480" w:firstLineChars="200"/>
        <w:rPr>
          <w:rFonts w:ascii="宋体" w:hAnsi="宋体" w:eastAsia="宋体"/>
          <w:szCs w:val="24"/>
        </w:rPr>
      </w:pPr>
      <w:r>
        <w:rPr>
          <w:rFonts w:hint="eastAsia" w:ascii="宋体" w:hAnsi="宋体" w:eastAsia="宋体"/>
          <w:szCs w:val="24"/>
        </w:rPr>
        <w:t>经审理，税务机关作出如下决定：</w:t>
      </w:r>
    </w:p>
    <w:p>
      <w:pPr>
        <w:spacing w:beforeLines="50" w:beforeAutospacing="0" w:afterLines="50" w:afterAutospacing="0" w:line="360" w:lineRule="auto"/>
        <w:ind w:firstLine="480" w:firstLineChars="200"/>
        <w:rPr>
          <w:rFonts w:ascii="宋体" w:hAnsi="宋体" w:eastAsia="宋体"/>
          <w:szCs w:val="24"/>
        </w:rPr>
      </w:pPr>
      <w:r>
        <w:rPr>
          <w:rFonts w:ascii="宋体" w:hAnsi="宋体" w:eastAsia="宋体"/>
          <w:szCs w:val="24"/>
        </w:rPr>
        <w:t>1．对HZ公司债务重组业务和无法支付的应付款项进行纳税调整，调增应纳税所得额13658</w:t>
      </w:r>
      <w:r>
        <w:rPr>
          <w:rFonts w:hint="eastAsia" w:ascii="宋体" w:hAnsi="宋体" w:eastAsia="宋体"/>
          <w:kern w:val="0"/>
          <w:szCs w:val="24"/>
        </w:rPr>
        <w:t>.</w:t>
      </w:r>
      <w:r>
        <w:rPr>
          <w:rFonts w:ascii="宋体" w:hAnsi="宋体" w:eastAsia="宋体"/>
          <w:szCs w:val="24"/>
        </w:rPr>
        <w:t>08（8635</w:t>
      </w:r>
      <w:r>
        <w:rPr>
          <w:rFonts w:hint="eastAsia" w:ascii="宋体" w:hAnsi="宋体" w:eastAsia="宋体"/>
          <w:kern w:val="0"/>
          <w:szCs w:val="24"/>
        </w:rPr>
        <w:t>.</w:t>
      </w:r>
      <w:r>
        <w:rPr>
          <w:rFonts w:ascii="宋体" w:hAnsi="宋体" w:eastAsia="宋体"/>
          <w:szCs w:val="24"/>
        </w:rPr>
        <w:t>32＋5022</w:t>
      </w:r>
      <w:r>
        <w:rPr>
          <w:rFonts w:hint="eastAsia" w:ascii="宋体" w:hAnsi="宋体" w:eastAsia="宋体"/>
          <w:kern w:val="0"/>
          <w:szCs w:val="24"/>
        </w:rPr>
        <w:t>.</w:t>
      </w:r>
      <w:r>
        <w:rPr>
          <w:rFonts w:ascii="宋体" w:hAnsi="宋体" w:eastAsia="宋体"/>
          <w:szCs w:val="24"/>
        </w:rPr>
        <w:t>76）万元。</w:t>
      </w:r>
    </w:p>
    <w:p>
      <w:pPr>
        <w:spacing w:beforeLines="50" w:beforeAutospacing="0" w:afterLines="50" w:afterAutospacing="0" w:line="360" w:lineRule="auto"/>
        <w:ind w:firstLine="480" w:firstLineChars="200"/>
        <w:rPr>
          <w:rFonts w:ascii="宋体" w:hAnsi="宋体" w:eastAsia="宋体"/>
          <w:szCs w:val="24"/>
        </w:rPr>
      </w:pPr>
      <w:r>
        <w:rPr>
          <w:rFonts w:ascii="宋体" w:hAnsi="宋体" w:eastAsia="宋体"/>
          <w:szCs w:val="24"/>
        </w:rPr>
        <w:t>2．对HZ公司以列支工资、社会保险费等形式进行分红且在企业所得税税前扣除，少缴企业所得税455</w:t>
      </w:r>
      <w:r>
        <w:rPr>
          <w:rFonts w:hint="eastAsia" w:ascii="宋体" w:hAnsi="宋体" w:eastAsia="宋体"/>
          <w:kern w:val="0"/>
          <w:szCs w:val="24"/>
        </w:rPr>
        <w:t>.</w:t>
      </w:r>
      <w:r>
        <w:rPr>
          <w:rFonts w:ascii="宋体" w:hAnsi="宋体" w:eastAsia="宋体"/>
          <w:szCs w:val="24"/>
        </w:rPr>
        <w:t>18万元的行为，定性为偷税；并处以偷税额0</w:t>
      </w:r>
      <w:r>
        <w:rPr>
          <w:rFonts w:hint="eastAsia" w:ascii="宋体" w:hAnsi="宋体" w:eastAsia="宋体"/>
          <w:kern w:val="0"/>
          <w:szCs w:val="24"/>
        </w:rPr>
        <w:t>.</w:t>
      </w:r>
      <w:r>
        <w:rPr>
          <w:rFonts w:ascii="宋体" w:hAnsi="宋体" w:eastAsia="宋体"/>
          <w:szCs w:val="24"/>
        </w:rPr>
        <w:t>5倍罚款227</w:t>
      </w:r>
      <w:r>
        <w:rPr>
          <w:rFonts w:hint="eastAsia" w:ascii="宋体" w:hAnsi="宋体" w:eastAsia="宋体"/>
          <w:kern w:val="0"/>
          <w:szCs w:val="24"/>
        </w:rPr>
        <w:t>.</w:t>
      </w:r>
      <w:r>
        <w:rPr>
          <w:rFonts w:ascii="宋体" w:hAnsi="宋体" w:eastAsia="宋体"/>
          <w:szCs w:val="24"/>
        </w:rPr>
        <w:t>59万元。</w:t>
      </w:r>
    </w:p>
    <w:p>
      <w:pPr>
        <w:spacing w:beforeLines="50" w:beforeAutospacing="0" w:afterLines="50" w:afterAutospacing="0" w:line="360" w:lineRule="auto"/>
        <w:ind w:firstLine="480" w:firstLineChars="200"/>
        <w:rPr>
          <w:rFonts w:ascii="宋体" w:hAnsi="宋体" w:eastAsia="宋体"/>
          <w:szCs w:val="24"/>
        </w:rPr>
      </w:pPr>
      <w:r>
        <w:rPr>
          <w:rFonts w:ascii="宋体" w:hAnsi="宋体" w:eastAsia="宋体"/>
          <w:szCs w:val="24"/>
        </w:rPr>
        <w:t>3．对HZ公司2015年3月至2019年12月应扣未扣个人所得税320</w:t>
      </w:r>
      <w:r>
        <w:rPr>
          <w:rFonts w:hint="eastAsia" w:ascii="宋体" w:hAnsi="宋体" w:eastAsia="宋体"/>
          <w:kern w:val="0"/>
          <w:szCs w:val="24"/>
        </w:rPr>
        <w:t>.</w:t>
      </w:r>
      <w:r>
        <w:rPr>
          <w:rFonts w:ascii="宋体" w:hAnsi="宋体" w:eastAsia="宋体"/>
          <w:szCs w:val="24"/>
        </w:rPr>
        <w:t>51万元的行为，处以0</w:t>
      </w:r>
      <w:r>
        <w:rPr>
          <w:rFonts w:hint="eastAsia" w:ascii="宋体" w:hAnsi="宋体" w:eastAsia="宋体"/>
          <w:kern w:val="0"/>
          <w:szCs w:val="24"/>
        </w:rPr>
        <w:t>.</w:t>
      </w:r>
      <w:r>
        <w:rPr>
          <w:rFonts w:ascii="宋体" w:hAnsi="宋体" w:eastAsia="宋体"/>
          <w:szCs w:val="24"/>
        </w:rPr>
        <w:t>5倍罚款160</w:t>
      </w:r>
      <w:r>
        <w:rPr>
          <w:rFonts w:hint="eastAsia" w:ascii="宋体" w:hAnsi="宋体" w:eastAsia="宋体"/>
          <w:kern w:val="0"/>
          <w:szCs w:val="24"/>
        </w:rPr>
        <w:t>.</w:t>
      </w:r>
      <w:r>
        <w:rPr>
          <w:rFonts w:ascii="宋体" w:hAnsi="宋体" w:eastAsia="宋体"/>
          <w:szCs w:val="24"/>
        </w:rPr>
        <w:t>25万元，并责令HZ公司补扣应扣未扣个人所得税（HZ公司2010年1月至2015年2月应扣未扣个人所得税行为已超处罚期限）。</w:t>
      </w:r>
    </w:p>
    <w:p>
      <w:pPr>
        <w:spacing w:beforeLines="50" w:beforeAutospacing="0" w:afterLines="50" w:afterAutospacing="0" w:line="360" w:lineRule="auto"/>
        <w:ind w:firstLine="480" w:firstLineChars="200"/>
        <w:rPr>
          <w:rFonts w:ascii="宋体" w:hAnsi="宋体" w:eastAsia="宋体"/>
          <w:szCs w:val="24"/>
        </w:rPr>
      </w:pPr>
      <w:r>
        <w:rPr>
          <w:rFonts w:ascii="宋体" w:hAnsi="宋体" w:eastAsia="宋体"/>
          <w:szCs w:val="24"/>
        </w:rPr>
        <w:t>4．追缴HZ公司印花税、房产税共计49</w:t>
      </w:r>
      <w:r>
        <w:rPr>
          <w:rFonts w:hint="eastAsia" w:ascii="宋体" w:hAnsi="宋体" w:eastAsia="宋体"/>
          <w:kern w:val="0"/>
          <w:szCs w:val="24"/>
        </w:rPr>
        <w:t>.</w:t>
      </w:r>
      <w:r>
        <w:rPr>
          <w:rFonts w:ascii="宋体" w:hAnsi="宋体" w:eastAsia="宋体"/>
          <w:szCs w:val="24"/>
        </w:rPr>
        <w:t>06（22</w:t>
      </w:r>
      <w:r>
        <w:rPr>
          <w:rFonts w:hint="eastAsia" w:ascii="宋体" w:hAnsi="宋体" w:eastAsia="宋体"/>
          <w:kern w:val="0"/>
          <w:szCs w:val="24"/>
        </w:rPr>
        <w:t>.</w:t>
      </w:r>
      <w:r>
        <w:rPr>
          <w:rFonts w:ascii="宋体" w:hAnsi="宋体" w:eastAsia="宋体"/>
          <w:szCs w:val="24"/>
        </w:rPr>
        <w:t>20＋26</w:t>
      </w:r>
      <w:r>
        <w:rPr>
          <w:rFonts w:hint="eastAsia" w:ascii="宋体" w:hAnsi="宋体" w:eastAsia="宋体"/>
          <w:kern w:val="0"/>
          <w:szCs w:val="24"/>
        </w:rPr>
        <w:t>.</w:t>
      </w:r>
      <w:r>
        <w:rPr>
          <w:rFonts w:ascii="宋体" w:hAnsi="宋体" w:eastAsia="宋体"/>
          <w:szCs w:val="24"/>
        </w:rPr>
        <w:t>86）万元</w:t>
      </w:r>
      <w:r>
        <w:rPr>
          <w:rFonts w:hint="eastAsia" w:ascii="宋体" w:hAnsi="宋体" w:eastAsia="宋体"/>
          <w:szCs w:val="24"/>
        </w:rPr>
        <w:t>。</w:t>
      </w:r>
    </w:p>
    <w:p>
      <w:pPr>
        <w:spacing w:beforeLines="50" w:beforeAutospacing="0" w:afterLines="50" w:afterAutospacing="0" w:line="360" w:lineRule="auto"/>
        <w:ind w:firstLine="480" w:firstLineChars="200"/>
        <w:rPr>
          <w:rFonts w:ascii="宋体" w:hAnsi="宋体" w:eastAsia="宋体"/>
          <w:szCs w:val="24"/>
        </w:rPr>
      </w:pPr>
    </w:p>
    <w:p>
      <w:pPr>
        <w:pStyle w:val="2"/>
        <w:spacing w:before="50" w:beforeAutospacing="0" w:after="50" w:afterAutospacing="0" w:line="360" w:lineRule="auto"/>
        <w:ind w:firstLine="482" w:firstLineChars="200"/>
        <w:rPr>
          <w:rFonts w:ascii="宋体" w:hAnsi="宋体" w:eastAsia="宋体"/>
          <w:sz w:val="24"/>
          <w:szCs w:val="24"/>
        </w:rPr>
      </w:pPr>
      <w:r>
        <w:rPr>
          <w:rFonts w:ascii="宋体" w:hAnsi="宋体" w:eastAsia="宋体"/>
          <w:sz w:val="24"/>
          <w:szCs w:val="24"/>
        </w:rPr>
        <w:t>案件疑难</w:t>
      </w:r>
    </w:p>
    <w:p>
      <w:pPr>
        <w:spacing w:beforeLines="50" w:beforeAutospacing="0" w:afterLines="50" w:afterAutospacing="0" w:line="360" w:lineRule="auto"/>
        <w:ind w:firstLine="480" w:firstLineChars="200"/>
        <w:rPr>
          <w:rFonts w:ascii="宋体" w:hAnsi="宋体" w:eastAsia="宋体"/>
          <w:szCs w:val="24"/>
        </w:rPr>
      </w:pPr>
    </w:p>
    <w:p>
      <w:pPr>
        <w:pStyle w:val="3"/>
        <w:spacing w:before="50" w:beforeAutospacing="0" w:after="50" w:afterAutospacing="0" w:line="360" w:lineRule="auto"/>
        <w:ind w:firstLine="482" w:firstLineChars="200"/>
        <w:rPr>
          <w:rFonts w:ascii="宋体" w:hAnsi="宋体" w:eastAsia="宋体"/>
          <w:sz w:val="24"/>
          <w:szCs w:val="24"/>
        </w:rPr>
      </w:pPr>
      <w:r>
        <w:rPr>
          <w:rFonts w:hint="eastAsia" w:ascii="宋体" w:hAnsi="宋体" w:eastAsia="宋体"/>
          <w:sz w:val="24"/>
          <w:szCs w:val="24"/>
        </w:rPr>
        <w:t>一、关于无法偿付债务的企业所得税处理问题</w:t>
      </w:r>
    </w:p>
    <w:p>
      <w:pPr>
        <w:spacing w:beforeLines="50" w:beforeAutospacing="0" w:afterLines="50" w:afterAutospacing="0" w:line="360" w:lineRule="auto"/>
        <w:ind w:firstLine="480" w:firstLineChars="200"/>
        <w:rPr>
          <w:rFonts w:ascii="宋体" w:hAnsi="宋体" w:eastAsia="宋体"/>
          <w:szCs w:val="24"/>
        </w:rPr>
      </w:pPr>
      <w:r>
        <w:rPr>
          <w:rFonts w:hint="eastAsia" w:ascii="宋体" w:hAnsi="宋体" w:eastAsia="宋体"/>
          <w:szCs w:val="24"/>
        </w:rPr>
        <w:t>按照《</w:t>
      </w:r>
      <w:r>
        <w:fldChar w:fldCharType="begin"/>
      </w:r>
      <w:r>
        <w:instrText xml:space="preserve"> HYPERLINK "http://ssfb86.com/index/News/detail/newsid/575.html" </w:instrText>
      </w:r>
      <w:r>
        <w:fldChar w:fldCharType="separate"/>
      </w:r>
      <w:r>
        <w:rPr>
          <w:rStyle w:val="12"/>
          <w:rFonts w:hint="eastAsia" w:ascii="宋体" w:hAnsi="宋体" w:eastAsia="宋体"/>
          <w:szCs w:val="24"/>
        </w:rPr>
        <w:t>中华人民共和国企业所得税法</w:t>
      </w:r>
      <w:r>
        <w:rPr>
          <w:rStyle w:val="12"/>
          <w:rFonts w:hint="eastAsia" w:ascii="宋体" w:hAnsi="宋体" w:eastAsia="宋体"/>
          <w:szCs w:val="24"/>
        </w:rPr>
        <w:fldChar w:fldCharType="end"/>
      </w:r>
      <w:r>
        <w:rPr>
          <w:rFonts w:hint="eastAsia" w:ascii="宋体" w:hAnsi="宋体" w:eastAsia="宋体"/>
          <w:szCs w:val="24"/>
        </w:rPr>
        <w:t>》第六条、《</w:t>
      </w:r>
      <w:r>
        <w:fldChar w:fldCharType="begin"/>
      </w:r>
      <w:r>
        <w:instrText xml:space="preserve"> HYPERLINK "http://ssfb86.com/index/News/detail/newsid/7083.html" </w:instrText>
      </w:r>
      <w:r>
        <w:fldChar w:fldCharType="separate"/>
      </w:r>
      <w:r>
        <w:rPr>
          <w:rStyle w:val="12"/>
          <w:rFonts w:hint="eastAsia" w:ascii="宋体" w:hAnsi="宋体" w:eastAsia="宋体"/>
          <w:szCs w:val="24"/>
        </w:rPr>
        <w:t>中华人民共和国企业所得税法实施条例</w:t>
      </w:r>
      <w:r>
        <w:rPr>
          <w:rStyle w:val="12"/>
          <w:rFonts w:hint="eastAsia" w:ascii="宋体" w:hAnsi="宋体" w:eastAsia="宋体"/>
          <w:szCs w:val="24"/>
        </w:rPr>
        <w:fldChar w:fldCharType="end"/>
      </w:r>
      <w:r>
        <w:rPr>
          <w:rFonts w:hint="eastAsia" w:ascii="宋体" w:hAnsi="宋体" w:eastAsia="宋体"/>
          <w:szCs w:val="24"/>
        </w:rPr>
        <w:t>》第二十二条的规定，确实无法偿付的应付款项应确认为其他收入，缴纳企业所得税。本案中，</w:t>
      </w:r>
      <w:r>
        <w:rPr>
          <w:rFonts w:ascii="宋体" w:hAnsi="宋体" w:eastAsia="宋体"/>
          <w:szCs w:val="24"/>
        </w:rPr>
        <w:t>PH公司注销后，HZ公司所欠的5022</w:t>
      </w:r>
      <w:r>
        <w:rPr>
          <w:rFonts w:hint="eastAsia" w:ascii="宋体" w:hAnsi="宋体" w:eastAsia="宋体"/>
          <w:kern w:val="0"/>
          <w:szCs w:val="24"/>
        </w:rPr>
        <w:t>.</w:t>
      </w:r>
      <w:r>
        <w:rPr>
          <w:rFonts w:ascii="宋体" w:hAnsi="宋体" w:eastAsia="宋体"/>
          <w:szCs w:val="24"/>
        </w:rPr>
        <w:t>76万元债务已不用偿付，应按规定确认为应税收入计算缴纳企业所得税。</w:t>
      </w:r>
    </w:p>
    <w:p>
      <w:pPr>
        <w:spacing w:beforeLines="50" w:beforeAutospacing="0" w:afterLines="50" w:afterAutospacing="0" w:line="360" w:lineRule="auto"/>
        <w:ind w:firstLine="480" w:firstLineChars="200"/>
        <w:rPr>
          <w:rFonts w:ascii="宋体" w:hAnsi="宋体" w:eastAsia="宋体"/>
          <w:szCs w:val="24"/>
        </w:rPr>
      </w:pPr>
      <w:r>
        <w:rPr>
          <w:rFonts w:hint="eastAsia" w:ascii="宋体" w:hAnsi="宋体" w:eastAsia="宋体"/>
          <w:szCs w:val="24"/>
        </w:rPr>
        <w:t>另外，根据《国家税务总局关于税务检查期间补正申报补缴税款是否影响偷税行为定性有关问题的批复》（</w:t>
      </w:r>
      <w:r>
        <w:fldChar w:fldCharType="begin"/>
      </w:r>
      <w:r>
        <w:instrText xml:space="preserve"> HYPERLINK "http://ssfb86.com/index/News/detail/newsid/1443.html" </w:instrText>
      </w:r>
      <w:r>
        <w:fldChar w:fldCharType="separate"/>
      </w:r>
      <w:r>
        <w:rPr>
          <w:rStyle w:val="12"/>
          <w:rFonts w:hint="eastAsia" w:ascii="宋体" w:hAnsi="宋体" w:eastAsia="宋体"/>
          <w:szCs w:val="24"/>
        </w:rPr>
        <w:t>税总函〔</w:t>
      </w:r>
      <w:r>
        <w:rPr>
          <w:rStyle w:val="12"/>
          <w:rFonts w:ascii="宋体" w:hAnsi="宋体" w:eastAsia="宋体"/>
          <w:szCs w:val="24"/>
        </w:rPr>
        <w:t>2013〕196号</w:t>
      </w:r>
      <w:r>
        <w:rPr>
          <w:rStyle w:val="12"/>
          <w:rFonts w:ascii="宋体" w:hAnsi="宋体" w:eastAsia="宋体"/>
          <w:szCs w:val="24"/>
        </w:rPr>
        <w:fldChar w:fldCharType="end"/>
      </w:r>
      <w:r>
        <w:rPr>
          <w:rFonts w:ascii="宋体" w:hAnsi="宋体" w:eastAsia="宋体"/>
          <w:szCs w:val="24"/>
        </w:rPr>
        <w:t>）的规定，</w:t>
      </w:r>
      <w:r>
        <w:rPr>
          <w:rFonts w:ascii="宋体" w:hAnsi="宋体" w:eastAsia="宋体"/>
          <w:color w:val="C55911" w:themeColor="accent2" w:themeShade="BF"/>
          <w:szCs w:val="24"/>
        </w:rPr>
        <w:t>定性偷</w:t>
      </w:r>
      <w:r>
        <w:rPr>
          <w:rFonts w:hint="eastAsia" w:ascii="宋体" w:hAnsi="宋体" w:eastAsia="宋体"/>
          <w:color w:val="C55911" w:themeColor="accent2" w:themeShade="BF"/>
          <w:szCs w:val="24"/>
        </w:rPr>
        <w:t>税需要取得纳税人主观故意方面的证据。本案中，没有充分证据证明</w:t>
      </w:r>
      <w:r>
        <w:rPr>
          <w:rFonts w:ascii="宋体" w:hAnsi="宋体" w:eastAsia="宋体"/>
          <w:color w:val="C55911" w:themeColor="accent2" w:themeShade="BF"/>
          <w:szCs w:val="24"/>
        </w:rPr>
        <w:t>HZ公司未将上述无法偿付的债务确认为收入存在偷税的主观故意；故对该行为不定性偷税，而是依法对其进行纳税调整</w:t>
      </w:r>
      <w:r>
        <w:rPr>
          <w:rFonts w:ascii="宋体" w:hAnsi="宋体" w:eastAsia="宋体"/>
          <w:szCs w:val="24"/>
        </w:rPr>
        <w:t>。</w:t>
      </w:r>
    </w:p>
    <w:p>
      <w:pPr>
        <w:pStyle w:val="3"/>
        <w:spacing w:before="50" w:beforeAutospacing="0" w:after="50" w:afterAutospacing="0" w:line="360" w:lineRule="auto"/>
        <w:ind w:firstLine="482" w:firstLineChars="200"/>
        <w:rPr>
          <w:rFonts w:ascii="宋体" w:hAnsi="宋体" w:eastAsia="宋体"/>
          <w:sz w:val="24"/>
          <w:szCs w:val="24"/>
        </w:rPr>
      </w:pPr>
      <w:r>
        <w:rPr>
          <w:rFonts w:hint="eastAsia" w:ascii="宋体" w:hAnsi="宋体" w:eastAsia="宋体"/>
          <w:sz w:val="24"/>
          <w:szCs w:val="24"/>
        </w:rPr>
        <w:t>二、关于以工资、社会保险费名义进行分红的处理问题</w:t>
      </w:r>
    </w:p>
    <w:p>
      <w:pPr>
        <w:spacing w:beforeLines="50" w:beforeAutospacing="0" w:afterLines="50" w:afterAutospacing="0" w:line="360" w:lineRule="auto"/>
        <w:ind w:firstLine="480" w:firstLineChars="200"/>
        <w:rPr>
          <w:rFonts w:ascii="宋体" w:hAnsi="宋体" w:eastAsia="宋体"/>
          <w:szCs w:val="24"/>
        </w:rPr>
      </w:pPr>
      <w:r>
        <w:rPr>
          <w:rFonts w:hint="eastAsia" w:ascii="宋体" w:hAnsi="宋体" w:eastAsia="宋体"/>
          <w:szCs w:val="24"/>
        </w:rPr>
        <w:t>本案中，</w:t>
      </w:r>
      <w:r>
        <w:rPr>
          <w:rFonts w:ascii="宋体" w:hAnsi="宋体" w:eastAsia="宋体"/>
          <w:szCs w:val="24"/>
        </w:rPr>
        <w:t>HZ公司以发放工资、缴纳社会保险费等形式向股东分红，并在税前列支，导致少缴企业所得税，且未代扣代缴相应的个人所得税。根据《</w:t>
      </w:r>
      <w:r>
        <w:fldChar w:fldCharType="begin"/>
      </w:r>
      <w:r>
        <w:instrText xml:space="preserve"> HYPERLINK "http://ssfb86.com/index/News/detail/newsid/1036.html" </w:instrText>
      </w:r>
      <w:r>
        <w:fldChar w:fldCharType="separate"/>
      </w:r>
      <w:r>
        <w:rPr>
          <w:rStyle w:val="12"/>
          <w:rFonts w:ascii="宋体" w:hAnsi="宋体" w:eastAsia="宋体"/>
          <w:szCs w:val="24"/>
        </w:rPr>
        <w:t>中华人民共和国税收征收管理法</w:t>
      </w:r>
      <w:r>
        <w:rPr>
          <w:rStyle w:val="12"/>
          <w:rFonts w:ascii="宋体" w:hAnsi="宋体" w:eastAsia="宋体"/>
          <w:szCs w:val="24"/>
        </w:rPr>
        <w:fldChar w:fldCharType="end"/>
      </w:r>
      <w:r>
        <w:rPr>
          <w:rFonts w:ascii="宋体" w:hAnsi="宋体" w:eastAsia="宋体"/>
          <w:szCs w:val="24"/>
        </w:rPr>
        <w:t>》第八十六条规定，违反税收法律、行政法规应当给予行政处罚的行为，在五年内未被发现的，不再给予行政处罚。HZ公司变相分红的违法行为发生在2010——2018年，其中，2010——2014年的行为已超过五年的追溯期。但是，《</w:t>
      </w:r>
      <w:r>
        <w:fldChar w:fldCharType="begin"/>
      </w:r>
      <w:r>
        <w:instrText xml:space="preserve"> HYPERLINK "http://ssfb86.com/index/News/detail/newsid/8483.html" </w:instrText>
      </w:r>
      <w:r>
        <w:fldChar w:fldCharType="separate"/>
      </w:r>
      <w:r>
        <w:rPr>
          <w:rStyle w:val="12"/>
          <w:rFonts w:ascii="宋体" w:hAnsi="宋体" w:eastAsia="宋体"/>
          <w:szCs w:val="24"/>
        </w:rPr>
        <w:t>中华人民共和国行政处罚法</w:t>
      </w:r>
      <w:r>
        <w:rPr>
          <w:rStyle w:val="12"/>
          <w:rFonts w:ascii="宋体" w:hAnsi="宋体" w:eastAsia="宋体"/>
          <w:szCs w:val="24"/>
        </w:rPr>
        <w:fldChar w:fldCharType="end"/>
      </w:r>
      <w:r>
        <w:rPr>
          <w:rFonts w:ascii="宋体" w:hAnsi="宋体" w:eastAsia="宋体"/>
          <w:szCs w:val="24"/>
        </w:rPr>
        <w:t>》第二十九条第二款规定，违法行为有连续或者继续状态的，追溯期限从行为终了之日起计算；《国务院法制办公室对湖北省人民</w:t>
      </w:r>
      <w:r>
        <w:rPr>
          <w:rFonts w:hint="eastAsia" w:ascii="宋体" w:hAnsi="宋体" w:eastAsia="宋体"/>
          <w:szCs w:val="24"/>
        </w:rPr>
        <w:t>政府法制办公室《关于如何确认违法行为连续或继续状态的请示）的复函》（</w:t>
      </w:r>
      <w:r>
        <w:fldChar w:fldCharType="begin"/>
      </w:r>
      <w:r>
        <w:instrText xml:space="preserve"> HYPERLINK "http://ssfb86.com/index/News/detail/newsid/10023.html" </w:instrText>
      </w:r>
      <w:r>
        <w:fldChar w:fldCharType="separate"/>
      </w:r>
      <w:r>
        <w:rPr>
          <w:rStyle w:val="12"/>
          <w:rFonts w:hint="eastAsia" w:ascii="宋体" w:hAnsi="宋体" w:eastAsia="宋体"/>
          <w:szCs w:val="24"/>
        </w:rPr>
        <w:t>国法函〔</w:t>
      </w:r>
      <w:r>
        <w:rPr>
          <w:rStyle w:val="12"/>
          <w:rFonts w:ascii="宋体" w:hAnsi="宋体" w:eastAsia="宋体"/>
          <w:szCs w:val="24"/>
        </w:rPr>
        <w:t>2005〕442号</w:t>
      </w:r>
      <w:r>
        <w:rPr>
          <w:rStyle w:val="12"/>
          <w:rFonts w:ascii="宋体" w:hAnsi="宋体" w:eastAsia="宋体"/>
          <w:szCs w:val="24"/>
        </w:rPr>
        <w:fldChar w:fldCharType="end"/>
      </w:r>
      <w:r>
        <w:rPr>
          <w:rFonts w:ascii="宋体" w:hAnsi="宋体" w:eastAsia="宋体"/>
          <w:szCs w:val="24"/>
        </w:rPr>
        <w:t>）规定，</w:t>
      </w:r>
      <w:r>
        <w:fldChar w:fldCharType="begin"/>
      </w:r>
      <w:r>
        <w:instrText xml:space="preserve"> HYPERLINK "http://ssfb86.com/index/News/detail/newsid/8483.html" </w:instrText>
      </w:r>
      <w:r>
        <w:fldChar w:fldCharType="separate"/>
      </w:r>
      <w:r>
        <w:rPr>
          <w:rStyle w:val="12"/>
          <w:rFonts w:ascii="宋体" w:hAnsi="宋体" w:eastAsia="宋体"/>
          <w:szCs w:val="24"/>
        </w:rPr>
        <w:t>行政处罚法</w:t>
      </w:r>
      <w:r>
        <w:rPr>
          <w:rStyle w:val="12"/>
          <w:rFonts w:ascii="宋体" w:hAnsi="宋体" w:eastAsia="宋体"/>
          <w:szCs w:val="24"/>
        </w:rPr>
        <w:fldChar w:fldCharType="end"/>
      </w:r>
      <w:r>
        <w:rPr>
          <w:rFonts w:ascii="宋体" w:hAnsi="宋体" w:eastAsia="宋体"/>
          <w:szCs w:val="24"/>
        </w:rPr>
        <w:t>第二十九条中规定的违法行为的连续状态，</w:t>
      </w:r>
      <w:r>
        <w:rPr>
          <w:rFonts w:ascii="宋体" w:hAnsi="宋体" w:eastAsia="宋体"/>
          <w:color w:val="C55911" w:themeColor="accent2" w:themeShade="BF"/>
          <w:szCs w:val="24"/>
        </w:rPr>
        <w:t>是指当事人基于同一个违法故意，连续实施数个独立的行政违法行为，并触犯同一个行政处罚规定的情形。根据上述规定，HZ公司连续在数个年度实施偷税违法行为，应认定为连续状态，因此对于HZ公司2010——2018年的偷税行为，税务机关有权依法予以行政处罚</w:t>
      </w:r>
      <w:r>
        <w:rPr>
          <w:rFonts w:ascii="宋体" w:hAnsi="宋体" w:eastAsia="宋体"/>
          <w:szCs w:val="24"/>
        </w:rPr>
        <w:t>。</w:t>
      </w:r>
    </w:p>
    <w:p>
      <w:pPr>
        <w:spacing w:beforeLines="50" w:beforeAutospacing="0" w:afterLines="50" w:afterAutospacing="0" w:line="360" w:lineRule="auto"/>
        <w:ind w:firstLine="480" w:firstLineChars="200"/>
        <w:rPr>
          <w:rFonts w:ascii="宋体" w:hAnsi="宋体" w:eastAsia="宋体"/>
          <w:szCs w:val="24"/>
        </w:rPr>
      </w:pPr>
    </w:p>
    <w:p>
      <w:pPr>
        <w:pStyle w:val="2"/>
        <w:spacing w:before="50" w:beforeAutospacing="0" w:after="50" w:afterAutospacing="0" w:line="360" w:lineRule="auto"/>
        <w:ind w:firstLine="482" w:firstLineChars="200"/>
        <w:rPr>
          <w:rFonts w:ascii="宋体" w:hAnsi="宋体" w:eastAsia="宋体"/>
          <w:sz w:val="24"/>
          <w:szCs w:val="24"/>
        </w:rPr>
      </w:pPr>
      <w:r>
        <w:rPr>
          <w:rFonts w:ascii="宋体" w:hAnsi="宋体" w:eastAsia="宋体"/>
          <w:sz w:val="24"/>
          <w:szCs w:val="24"/>
        </w:rPr>
        <w:t>案例评析</w:t>
      </w:r>
    </w:p>
    <w:p>
      <w:pPr>
        <w:spacing w:beforeLines="50" w:beforeAutospacing="0" w:afterLines="50" w:afterAutospacing="0" w:line="360" w:lineRule="auto"/>
        <w:ind w:firstLine="480" w:firstLineChars="200"/>
        <w:rPr>
          <w:rFonts w:ascii="宋体" w:hAnsi="宋体" w:eastAsia="宋体"/>
          <w:szCs w:val="24"/>
        </w:rPr>
      </w:pPr>
    </w:p>
    <w:p>
      <w:pPr>
        <w:spacing w:beforeLines="50" w:beforeAutospacing="0" w:afterLines="50" w:afterAutospacing="0" w:line="360" w:lineRule="auto"/>
        <w:ind w:firstLine="480" w:firstLineChars="200"/>
        <w:rPr>
          <w:rFonts w:ascii="宋体" w:hAnsi="宋体" w:eastAsia="宋体"/>
          <w:szCs w:val="24"/>
        </w:rPr>
      </w:pPr>
      <w:r>
        <w:rPr>
          <w:rFonts w:hint="eastAsia" w:ascii="宋体" w:hAnsi="宋体" w:eastAsia="宋体"/>
          <w:szCs w:val="24"/>
        </w:rPr>
        <w:t>本案是一起以偿还债务、发放工资、缴纳社会保险费等名义向股东分红，利用债务重组偷运企业所得税的典型案例。税务机关通过查证违法事实、准确适用相关法规政策，最大限度挽回税款损失。以本案为鉴，可以得到以下启示：</w:t>
      </w:r>
    </w:p>
    <w:p>
      <w:pPr>
        <w:pStyle w:val="3"/>
        <w:spacing w:before="50" w:beforeAutospacing="0" w:after="50" w:afterAutospacing="0" w:line="360" w:lineRule="auto"/>
        <w:ind w:firstLine="482" w:firstLineChars="200"/>
        <w:rPr>
          <w:rFonts w:ascii="宋体" w:hAnsi="宋体" w:eastAsia="宋体"/>
          <w:sz w:val="24"/>
          <w:szCs w:val="24"/>
        </w:rPr>
      </w:pPr>
      <w:r>
        <w:rPr>
          <w:rFonts w:hint="eastAsia" w:ascii="宋体" w:hAnsi="宋体" w:eastAsia="宋体"/>
          <w:sz w:val="24"/>
          <w:szCs w:val="24"/>
        </w:rPr>
        <w:t>一、仔细研判企业所得税税前列支项目的性质</w:t>
      </w:r>
    </w:p>
    <w:p>
      <w:pPr>
        <w:spacing w:beforeLines="50" w:beforeAutospacing="0" w:afterLines="50" w:afterAutospacing="0" w:line="360" w:lineRule="auto"/>
        <w:ind w:firstLine="480" w:firstLineChars="200"/>
        <w:rPr>
          <w:rFonts w:ascii="宋体" w:hAnsi="宋体" w:eastAsia="宋体"/>
          <w:szCs w:val="24"/>
        </w:rPr>
      </w:pPr>
      <w:r>
        <w:rPr>
          <w:rFonts w:hint="eastAsia" w:ascii="宋体" w:hAnsi="宋体" w:eastAsia="宋体"/>
          <w:szCs w:val="24"/>
        </w:rPr>
        <w:t>根据税法规定，工资薪金以及社会保险费可以在企业所得税税前扣除，而分红不能在税前扣除。实践中，有的企业可能以发放工资、缴纳社会保险</w:t>
      </w:r>
    </w:p>
    <w:p>
      <w:pPr>
        <w:spacing w:beforeLines="50" w:beforeAutospacing="0" w:afterLines="50" w:afterAutospacing="0" w:line="360" w:lineRule="auto"/>
        <w:ind w:firstLine="480" w:firstLineChars="200"/>
        <w:rPr>
          <w:rFonts w:ascii="宋体" w:hAnsi="宋体" w:eastAsia="宋体"/>
          <w:szCs w:val="24"/>
        </w:rPr>
      </w:pPr>
      <w:r>
        <w:rPr>
          <w:rFonts w:hint="eastAsia" w:ascii="宋体" w:hAnsi="宋体" w:eastAsia="宋体"/>
          <w:szCs w:val="24"/>
        </w:rPr>
        <w:t>费的名义进行分红，并将有关支出在企业所得税税前列支，以达到少缴企业所得税的目的。检查中应重点关注此类风险，通过核查用工合同、工资发放清单等资料，判定工资发放等支出是否真实、合法，对于不符合工资发放范围的列支，不允许在企业所得税税前扣除。同时也要关注企业是否存在未代扣代缴个人所得税等问题，防范税收流失。</w:t>
      </w:r>
    </w:p>
    <w:p>
      <w:pPr>
        <w:pStyle w:val="3"/>
        <w:spacing w:before="50" w:beforeAutospacing="0" w:after="50" w:afterAutospacing="0" w:line="360" w:lineRule="auto"/>
        <w:ind w:firstLine="482" w:firstLineChars="200"/>
        <w:rPr>
          <w:rFonts w:ascii="宋体" w:hAnsi="宋体" w:eastAsia="宋体"/>
          <w:sz w:val="24"/>
          <w:szCs w:val="24"/>
        </w:rPr>
      </w:pPr>
      <w:r>
        <w:rPr>
          <w:rFonts w:hint="eastAsia" w:ascii="宋体" w:hAnsi="宋体" w:eastAsia="宋体"/>
          <w:sz w:val="24"/>
          <w:szCs w:val="24"/>
        </w:rPr>
        <w:t>二、关注企业债务灭失的税务处理问题</w:t>
      </w:r>
    </w:p>
    <w:p>
      <w:pPr>
        <w:spacing w:beforeLines="50" w:beforeAutospacing="0" w:afterLines="50" w:afterAutospacing="0" w:line="360" w:lineRule="auto"/>
        <w:ind w:firstLine="480" w:firstLineChars="200"/>
        <w:rPr>
          <w:rFonts w:ascii="宋体" w:hAnsi="宋体" w:eastAsia="宋体"/>
          <w:szCs w:val="24"/>
        </w:rPr>
      </w:pPr>
      <w:r>
        <w:rPr>
          <w:rFonts w:hint="eastAsia" w:ascii="宋体" w:hAnsi="宋体" w:eastAsia="宋体"/>
          <w:szCs w:val="24"/>
        </w:rPr>
        <w:t>实践中，关联企业间相互免除债务，或债权人注销后债务人存在无法偿付的债务等情形大量存在，企业不计收入偷逃税款的情况时有发生。本案中，</w:t>
      </w:r>
      <w:r>
        <w:rPr>
          <w:rFonts w:ascii="宋体" w:hAnsi="宋体" w:eastAsia="宋体"/>
          <w:szCs w:val="24"/>
        </w:rPr>
        <w:t>HZ公司与PH公司为关联企业，HZ公司未将债务重组业务和无法支付的应付款项按规定确认应税收入，导致少缴企业所得税的后果。检查中，应重点关注企业是否存在上述类似问题，防止税款流失。</w:t>
      </w:r>
    </w:p>
    <w:p>
      <w:pPr>
        <w:pStyle w:val="3"/>
        <w:spacing w:before="50" w:beforeAutospacing="0" w:after="50" w:afterAutospacing="0" w:line="360" w:lineRule="auto"/>
        <w:ind w:firstLine="482" w:firstLineChars="200"/>
        <w:rPr>
          <w:rFonts w:ascii="宋体" w:hAnsi="宋体" w:eastAsia="宋体"/>
          <w:sz w:val="24"/>
          <w:szCs w:val="24"/>
        </w:rPr>
      </w:pPr>
      <w:r>
        <w:rPr>
          <w:rFonts w:hint="eastAsia" w:ascii="宋体" w:hAnsi="宋体" w:eastAsia="宋体"/>
          <w:sz w:val="24"/>
          <w:szCs w:val="24"/>
        </w:rPr>
        <w:t>三、根据违法行为的状态确定处罚追溯期限</w:t>
      </w:r>
    </w:p>
    <w:p>
      <w:pPr>
        <w:spacing w:beforeLines="50" w:beforeAutospacing="0" w:afterLines="50" w:afterAutospacing="0" w:line="360" w:lineRule="auto"/>
        <w:ind w:firstLine="480" w:firstLineChars="200"/>
        <w:rPr>
          <w:rFonts w:ascii="宋体" w:hAnsi="宋体" w:eastAsia="宋体"/>
          <w:szCs w:val="24"/>
        </w:rPr>
      </w:pPr>
      <w:r>
        <w:rPr>
          <w:rFonts w:hint="eastAsia" w:ascii="宋体" w:hAnsi="宋体" w:eastAsia="宋体"/>
          <w:szCs w:val="24"/>
        </w:rPr>
        <w:t>违法行为的状态是否连续，直接关系处罚追溯期限的确定。按照法律规定，对于连续的违法行为，从连续状态结束之日起计算追溯期限。本案中，</w:t>
      </w:r>
      <w:r>
        <w:rPr>
          <w:rFonts w:ascii="宋体" w:hAnsi="宋体" w:eastAsia="宋体"/>
          <w:szCs w:val="24"/>
        </w:rPr>
        <w:t>HZ公司2010——2018年偷逃企业所得税是连续的违法行为，税务机关依法对其2010——2014年偷税的行为也进行了处罚。对于非连续的违法行为，只能对追溯期限内的违法行为进行处罚。本案中，HZ公司的代扣代缴义务基于员工、股东纳税义务的产生而存在，不具有连续性，因此税务机关对其2010年1月至2015年2月应扣未扣个人所得税的行为不予处罚，只对2015年3月至2019年12月应扣未扣个</w:t>
      </w:r>
      <w:r>
        <w:rPr>
          <w:rFonts w:hint="eastAsia" w:ascii="宋体" w:hAnsi="宋体" w:eastAsia="宋体"/>
          <w:szCs w:val="24"/>
        </w:rPr>
        <w:t>人所得税的行为进行处罚。在税务检查和处理过程中，要关注违法行为是否连续，依法定性处理，确保税务执法的合法性、有效性。</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A5447B"/>
    <w:rsid w:val="00015A1E"/>
    <w:rsid w:val="00016CCE"/>
    <w:rsid w:val="00022D55"/>
    <w:rsid w:val="00032E3D"/>
    <w:rsid w:val="00043834"/>
    <w:rsid w:val="00050B5C"/>
    <w:rsid w:val="000568DE"/>
    <w:rsid w:val="00065BA9"/>
    <w:rsid w:val="000828D5"/>
    <w:rsid w:val="00100939"/>
    <w:rsid w:val="0010174F"/>
    <w:rsid w:val="00120194"/>
    <w:rsid w:val="00126C60"/>
    <w:rsid w:val="00174CD4"/>
    <w:rsid w:val="0018253C"/>
    <w:rsid w:val="00186ECF"/>
    <w:rsid w:val="001D0127"/>
    <w:rsid w:val="001D3F4D"/>
    <w:rsid w:val="001F7041"/>
    <w:rsid w:val="001F709D"/>
    <w:rsid w:val="00221EDC"/>
    <w:rsid w:val="0022440A"/>
    <w:rsid w:val="002479E5"/>
    <w:rsid w:val="00255106"/>
    <w:rsid w:val="002844A0"/>
    <w:rsid w:val="002A2733"/>
    <w:rsid w:val="002B299C"/>
    <w:rsid w:val="002B4073"/>
    <w:rsid w:val="002D373B"/>
    <w:rsid w:val="002E29FC"/>
    <w:rsid w:val="002F419C"/>
    <w:rsid w:val="00306CDF"/>
    <w:rsid w:val="00307CB1"/>
    <w:rsid w:val="003450B5"/>
    <w:rsid w:val="00383A87"/>
    <w:rsid w:val="003B300E"/>
    <w:rsid w:val="003E48E8"/>
    <w:rsid w:val="003F714A"/>
    <w:rsid w:val="0040239C"/>
    <w:rsid w:val="00412A5E"/>
    <w:rsid w:val="00427EEE"/>
    <w:rsid w:val="004326F7"/>
    <w:rsid w:val="004740C5"/>
    <w:rsid w:val="004748DC"/>
    <w:rsid w:val="00493D98"/>
    <w:rsid w:val="004A5E3E"/>
    <w:rsid w:val="004C171E"/>
    <w:rsid w:val="004D0CC9"/>
    <w:rsid w:val="004D2FA3"/>
    <w:rsid w:val="00525169"/>
    <w:rsid w:val="005313D8"/>
    <w:rsid w:val="00541787"/>
    <w:rsid w:val="00545DF8"/>
    <w:rsid w:val="00550878"/>
    <w:rsid w:val="005A11B0"/>
    <w:rsid w:val="005B1EC2"/>
    <w:rsid w:val="005C5071"/>
    <w:rsid w:val="0060104E"/>
    <w:rsid w:val="00624DCA"/>
    <w:rsid w:val="00625239"/>
    <w:rsid w:val="00625311"/>
    <w:rsid w:val="00635D1C"/>
    <w:rsid w:val="00652C01"/>
    <w:rsid w:val="00660828"/>
    <w:rsid w:val="00663E5B"/>
    <w:rsid w:val="00676A40"/>
    <w:rsid w:val="00682742"/>
    <w:rsid w:val="00687828"/>
    <w:rsid w:val="006917CA"/>
    <w:rsid w:val="006A185B"/>
    <w:rsid w:val="006C209F"/>
    <w:rsid w:val="006C2965"/>
    <w:rsid w:val="006D6092"/>
    <w:rsid w:val="006E357B"/>
    <w:rsid w:val="006E3E26"/>
    <w:rsid w:val="006E49CF"/>
    <w:rsid w:val="006E76EE"/>
    <w:rsid w:val="0070349D"/>
    <w:rsid w:val="00720F29"/>
    <w:rsid w:val="007440D2"/>
    <w:rsid w:val="00752CF1"/>
    <w:rsid w:val="0077120C"/>
    <w:rsid w:val="00783C34"/>
    <w:rsid w:val="007941D7"/>
    <w:rsid w:val="007A4003"/>
    <w:rsid w:val="007A6F96"/>
    <w:rsid w:val="007B1337"/>
    <w:rsid w:val="007C0D6A"/>
    <w:rsid w:val="007E479C"/>
    <w:rsid w:val="007F10A1"/>
    <w:rsid w:val="007F2AEC"/>
    <w:rsid w:val="00805BFD"/>
    <w:rsid w:val="008165B7"/>
    <w:rsid w:val="00824111"/>
    <w:rsid w:val="00840B39"/>
    <w:rsid w:val="008444D3"/>
    <w:rsid w:val="0085176F"/>
    <w:rsid w:val="00851D05"/>
    <w:rsid w:val="00870EEF"/>
    <w:rsid w:val="00875C42"/>
    <w:rsid w:val="00893040"/>
    <w:rsid w:val="008C45BD"/>
    <w:rsid w:val="008F65F4"/>
    <w:rsid w:val="008F765D"/>
    <w:rsid w:val="00920A9C"/>
    <w:rsid w:val="00922D28"/>
    <w:rsid w:val="00935BF3"/>
    <w:rsid w:val="009433C9"/>
    <w:rsid w:val="00945251"/>
    <w:rsid w:val="0095282F"/>
    <w:rsid w:val="00974FFF"/>
    <w:rsid w:val="00986FCA"/>
    <w:rsid w:val="009A47F3"/>
    <w:rsid w:val="009C660E"/>
    <w:rsid w:val="009D3757"/>
    <w:rsid w:val="009E03FC"/>
    <w:rsid w:val="009E5431"/>
    <w:rsid w:val="00A2160E"/>
    <w:rsid w:val="00A2487D"/>
    <w:rsid w:val="00A5447B"/>
    <w:rsid w:val="00A62E79"/>
    <w:rsid w:val="00AB4705"/>
    <w:rsid w:val="00AE3ECF"/>
    <w:rsid w:val="00AF0236"/>
    <w:rsid w:val="00B02133"/>
    <w:rsid w:val="00B34591"/>
    <w:rsid w:val="00B47B0C"/>
    <w:rsid w:val="00B514B3"/>
    <w:rsid w:val="00B938E8"/>
    <w:rsid w:val="00B93FD3"/>
    <w:rsid w:val="00B954BC"/>
    <w:rsid w:val="00BA3407"/>
    <w:rsid w:val="00BA66BD"/>
    <w:rsid w:val="00BB5115"/>
    <w:rsid w:val="00BB7B96"/>
    <w:rsid w:val="00C01FBF"/>
    <w:rsid w:val="00C22DA0"/>
    <w:rsid w:val="00C358D7"/>
    <w:rsid w:val="00C52768"/>
    <w:rsid w:val="00C556F9"/>
    <w:rsid w:val="00C64F1F"/>
    <w:rsid w:val="00C87654"/>
    <w:rsid w:val="00CA7FCD"/>
    <w:rsid w:val="00CB153A"/>
    <w:rsid w:val="00CB4754"/>
    <w:rsid w:val="00CE2EB7"/>
    <w:rsid w:val="00CF4530"/>
    <w:rsid w:val="00D04BB0"/>
    <w:rsid w:val="00D13A15"/>
    <w:rsid w:val="00D25BAC"/>
    <w:rsid w:val="00D25DBE"/>
    <w:rsid w:val="00D34820"/>
    <w:rsid w:val="00D3501C"/>
    <w:rsid w:val="00D431CD"/>
    <w:rsid w:val="00D45446"/>
    <w:rsid w:val="00D5630C"/>
    <w:rsid w:val="00D721FC"/>
    <w:rsid w:val="00D96D98"/>
    <w:rsid w:val="00DA07EF"/>
    <w:rsid w:val="00DB404D"/>
    <w:rsid w:val="00DB6F35"/>
    <w:rsid w:val="00DE7549"/>
    <w:rsid w:val="00E059F6"/>
    <w:rsid w:val="00E4707A"/>
    <w:rsid w:val="00E6119F"/>
    <w:rsid w:val="00E621B3"/>
    <w:rsid w:val="00E86883"/>
    <w:rsid w:val="00E95299"/>
    <w:rsid w:val="00E96E31"/>
    <w:rsid w:val="00EA1047"/>
    <w:rsid w:val="00EA1817"/>
    <w:rsid w:val="00EB4965"/>
    <w:rsid w:val="00ED3216"/>
    <w:rsid w:val="00EE24D9"/>
    <w:rsid w:val="00F41CB9"/>
    <w:rsid w:val="00F5520A"/>
    <w:rsid w:val="00F6190D"/>
    <w:rsid w:val="00F61988"/>
    <w:rsid w:val="00F77827"/>
    <w:rsid w:val="00F854DA"/>
    <w:rsid w:val="00FA38A9"/>
    <w:rsid w:val="00FB7617"/>
    <w:rsid w:val="00FD7134"/>
    <w:rsid w:val="00FF0B7F"/>
    <w:rsid w:val="00FF1924"/>
    <w:rsid w:val="2D7555D3"/>
    <w:rsid w:val="35946F3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100" w:beforeAutospacing="1" w:after="100" w:afterAutospacing="1" w:line="312" w:lineRule="auto"/>
      <w:jc w:val="both"/>
    </w:pPr>
    <w:rPr>
      <w:rFonts w:ascii="仿宋" w:hAnsi="仿宋" w:eastAsia="仿宋" w:cstheme="minorBidi"/>
      <w:kern w:val="2"/>
      <w:sz w:val="24"/>
      <w:szCs w:val="28"/>
      <w:lang w:val="en-US" w:eastAsia="zh-CN" w:bidi="ar-SA"/>
    </w:rPr>
  </w:style>
  <w:style w:type="paragraph" w:styleId="2">
    <w:name w:val="heading 1"/>
    <w:basedOn w:val="1"/>
    <w:next w:val="1"/>
    <w:link w:val="13"/>
    <w:qFormat/>
    <w:uiPriority w:val="9"/>
    <w:pPr>
      <w:jc w:val="center"/>
      <w:outlineLvl w:val="0"/>
    </w:pPr>
    <w:rPr>
      <w:b/>
      <w:bCs/>
      <w:sz w:val="36"/>
      <w:szCs w:val="40"/>
    </w:rPr>
  </w:style>
  <w:style w:type="paragraph" w:styleId="3">
    <w:name w:val="heading 2"/>
    <w:basedOn w:val="1"/>
    <w:next w:val="1"/>
    <w:link w:val="18"/>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19"/>
    <w:unhideWhenUsed/>
    <w:qFormat/>
    <w:uiPriority w:val="9"/>
    <w:pPr>
      <w:keepNext/>
      <w:keepLines/>
      <w:spacing w:before="260" w:after="260" w:line="416" w:lineRule="auto"/>
      <w:outlineLvl w:val="2"/>
    </w:pPr>
    <w:rPr>
      <w:b/>
      <w:bCs/>
      <w:sz w:val="32"/>
      <w:szCs w:val="32"/>
    </w:rPr>
  </w:style>
  <w:style w:type="character" w:default="1" w:styleId="11">
    <w:name w:val="Default Paragraph Font"/>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Document Map"/>
    <w:basedOn w:val="1"/>
    <w:link w:val="15"/>
    <w:semiHidden/>
    <w:unhideWhenUsed/>
    <w:uiPriority w:val="99"/>
    <w:rPr>
      <w:rFonts w:ascii="宋体" w:eastAsia="宋体"/>
      <w:sz w:val="18"/>
      <w:szCs w:val="18"/>
    </w:rPr>
  </w:style>
  <w:style w:type="paragraph" w:styleId="6">
    <w:name w:val="footer"/>
    <w:basedOn w:val="1"/>
    <w:link w:val="17"/>
    <w:semiHidden/>
    <w:unhideWhenUsed/>
    <w:qFormat/>
    <w:uiPriority w:val="99"/>
    <w:pPr>
      <w:tabs>
        <w:tab w:val="center" w:pos="4153"/>
        <w:tab w:val="right" w:pos="8306"/>
      </w:tabs>
      <w:snapToGrid w:val="0"/>
      <w:spacing w:line="240" w:lineRule="auto"/>
      <w:jc w:val="left"/>
    </w:pPr>
    <w:rPr>
      <w:sz w:val="18"/>
      <w:szCs w:val="18"/>
    </w:rPr>
  </w:style>
  <w:style w:type="paragraph" w:styleId="7">
    <w:name w:val="header"/>
    <w:basedOn w:val="1"/>
    <w:link w:val="16"/>
    <w:semiHidden/>
    <w:unhideWhenUsed/>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8">
    <w:name w:val="Subtitle"/>
    <w:basedOn w:val="1"/>
    <w:next w:val="1"/>
    <w:link w:val="20"/>
    <w:qFormat/>
    <w:uiPriority w:val="11"/>
    <w:pPr>
      <w:spacing w:before="240" w:after="60"/>
      <w:jc w:val="center"/>
      <w:outlineLvl w:val="1"/>
    </w:pPr>
    <w:rPr>
      <w:rFonts w:eastAsia="宋体" w:asciiTheme="majorHAnsi" w:hAnsiTheme="majorHAnsi" w:cstheme="majorBidi"/>
      <w:b/>
      <w:bCs/>
      <w:kern w:val="28"/>
      <w:sz w:val="32"/>
      <w:szCs w:val="32"/>
    </w:rPr>
  </w:style>
  <w:style w:type="paragraph" w:styleId="9">
    <w:name w:val="Normal (Web)"/>
    <w:basedOn w:val="1"/>
    <w:unhideWhenUsed/>
    <w:qFormat/>
    <w:uiPriority w:val="99"/>
    <w:pPr>
      <w:spacing w:line="240" w:lineRule="auto"/>
      <w:jc w:val="left"/>
    </w:pPr>
    <w:rPr>
      <w:rFonts w:ascii="宋体" w:hAnsi="宋体" w:eastAsia="宋体" w:cs="宋体"/>
      <w:kern w:val="0"/>
      <w:szCs w:val="24"/>
    </w:rPr>
  </w:style>
  <w:style w:type="character" w:styleId="12">
    <w:name w:val="Hyperlink"/>
    <w:basedOn w:val="11"/>
    <w:unhideWhenUsed/>
    <w:uiPriority w:val="99"/>
    <w:rPr>
      <w:color w:val="0563C1" w:themeColor="hyperlink"/>
      <w:u w:val="single"/>
    </w:rPr>
  </w:style>
  <w:style w:type="character" w:customStyle="1" w:styleId="13">
    <w:name w:val="标题 1 Char"/>
    <w:basedOn w:val="11"/>
    <w:link w:val="2"/>
    <w:uiPriority w:val="9"/>
    <w:rPr>
      <w:rFonts w:ascii="仿宋" w:hAnsi="仿宋" w:eastAsia="仿宋"/>
      <w:b/>
      <w:bCs/>
      <w:sz w:val="36"/>
      <w:szCs w:val="40"/>
    </w:rPr>
  </w:style>
  <w:style w:type="paragraph" w:styleId="14">
    <w:name w:val="No Spacing"/>
    <w:qFormat/>
    <w:uiPriority w:val="1"/>
    <w:pPr>
      <w:spacing w:before="0" w:beforeAutospacing="0" w:after="0" w:afterAutospacing="0" w:line="240" w:lineRule="auto"/>
    </w:pPr>
    <w:rPr>
      <w:rFonts w:asciiTheme="minorHAnsi" w:hAnsiTheme="minorHAnsi" w:eastAsiaTheme="minorEastAsia" w:cstheme="minorBidi"/>
      <w:kern w:val="2"/>
      <w:sz w:val="21"/>
      <w:szCs w:val="22"/>
      <w:lang w:val="en-US" w:eastAsia="zh-CN" w:bidi="ar-SA"/>
    </w:rPr>
  </w:style>
  <w:style w:type="character" w:customStyle="1" w:styleId="15">
    <w:name w:val="文档结构图 Char"/>
    <w:basedOn w:val="11"/>
    <w:link w:val="5"/>
    <w:semiHidden/>
    <w:qFormat/>
    <w:uiPriority w:val="99"/>
    <w:rPr>
      <w:rFonts w:ascii="宋体" w:hAnsi="仿宋" w:eastAsia="宋体"/>
      <w:sz w:val="18"/>
      <w:szCs w:val="18"/>
    </w:rPr>
  </w:style>
  <w:style w:type="character" w:customStyle="1" w:styleId="16">
    <w:name w:val="页眉 Char"/>
    <w:basedOn w:val="11"/>
    <w:link w:val="7"/>
    <w:semiHidden/>
    <w:uiPriority w:val="99"/>
    <w:rPr>
      <w:rFonts w:ascii="仿宋" w:hAnsi="仿宋" w:eastAsia="仿宋"/>
      <w:sz w:val="18"/>
      <w:szCs w:val="18"/>
    </w:rPr>
  </w:style>
  <w:style w:type="character" w:customStyle="1" w:styleId="17">
    <w:name w:val="页脚 Char"/>
    <w:basedOn w:val="11"/>
    <w:link w:val="6"/>
    <w:semiHidden/>
    <w:qFormat/>
    <w:uiPriority w:val="99"/>
    <w:rPr>
      <w:rFonts w:ascii="仿宋" w:hAnsi="仿宋" w:eastAsia="仿宋"/>
      <w:sz w:val="18"/>
      <w:szCs w:val="18"/>
    </w:rPr>
  </w:style>
  <w:style w:type="character" w:customStyle="1" w:styleId="18">
    <w:name w:val="标题 2 Char"/>
    <w:basedOn w:val="11"/>
    <w:link w:val="3"/>
    <w:qFormat/>
    <w:uiPriority w:val="9"/>
    <w:rPr>
      <w:rFonts w:asciiTheme="majorHAnsi" w:hAnsiTheme="majorHAnsi" w:eastAsiaTheme="majorEastAsia" w:cstheme="majorBidi"/>
      <w:b/>
      <w:bCs/>
      <w:sz w:val="32"/>
      <w:szCs w:val="32"/>
    </w:rPr>
  </w:style>
  <w:style w:type="character" w:customStyle="1" w:styleId="19">
    <w:name w:val="标题 3 Char"/>
    <w:basedOn w:val="11"/>
    <w:link w:val="4"/>
    <w:uiPriority w:val="9"/>
    <w:rPr>
      <w:rFonts w:ascii="仿宋" w:hAnsi="仿宋" w:eastAsia="仿宋"/>
      <w:b/>
      <w:bCs/>
      <w:sz w:val="32"/>
      <w:szCs w:val="32"/>
    </w:rPr>
  </w:style>
  <w:style w:type="character" w:customStyle="1" w:styleId="20">
    <w:name w:val="副标题 Char"/>
    <w:basedOn w:val="11"/>
    <w:link w:val="8"/>
    <w:uiPriority w:val="11"/>
    <w:rPr>
      <w:rFonts w:eastAsia="宋体" w:asciiTheme="majorHAnsi" w:hAnsiTheme="majorHAnsi" w:cstheme="majorBidi"/>
      <w:b/>
      <w:bCs/>
      <w:kern w:val="28"/>
      <w:sz w:val="32"/>
      <w:szCs w:val="32"/>
    </w:rPr>
  </w:style>
  <w:style w:type="character" w:customStyle="1" w:styleId="21">
    <w:name w:val="Unresolved Mention"/>
    <w:basedOn w:val="11"/>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904</Words>
  <Characters>5158</Characters>
  <Lines>42</Lines>
  <Paragraphs>12</Paragraphs>
  <TotalTime>10</TotalTime>
  <ScaleCrop>false</ScaleCrop>
  <LinksUpToDate>false</LinksUpToDate>
  <CharactersWithSpaces>6050</CharactersWithSpaces>
  <Application>WPS Office_11.1.0.9740_F1E327BC-269C-435d-A152-05C5408002CA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2022-01-17T12:34:00Z</dcterms:created>
  <dc:creator>A2949</dc:creator>
  <cp:lastModifiedBy>默默</cp:lastModifiedBy>
  <dcterms:modified xsi:type="dcterms:W3CDTF">2022-02-08T13:21:16Z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