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571" w:line="313" w:lineRule="auto"/>
        <w:ind w:firstLine="0"/>
        <w:jc w:val="center"/>
      </w:pPr>
      <w:r>
        <w:rPr>
          <w:rFonts w:ascii="微软雅黑" w:hAnsi="微软雅黑" w:eastAsia="微软雅黑" w:cs="微软雅黑"/>
          <w:sz w:val="36"/>
        </w:rPr>
        <w:t>上市公司监管指引第8号—— 上市公司资金往来、对外担保的监管要求</w:t>
      </w:r>
    </w:p>
    <w:p>
      <w:pPr>
        <w:pStyle w:val="2"/>
      </w:pPr>
      <w:r>
        <w:t>第一章</w:t>
      </w:r>
      <w:r>
        <w:rPr>
          <w:rFonts w:hint="eastAsia"/>
          <w:lang w:val="en-US" w:eastAsia="zh-CN"/>
        </w:rPr>
        <w:t xml:space="preserve">  </w:t>
      </w:r>
      <w:r>
        <w:t>总则</w:t>
      </w:r>
    </w:p>
    <w:p>
      <w:r>
        <w:rPr>
          <w:rFonts w:ascii="黑体" w:hAnsi="黑体" w:eastAsia="黑体" w:cs="黑体"/>
        </w:rPr>
        <w:t xml:space="preserve">第一条 </w:t>
      </w:r>
      <w:r>
        <w:t>为进一步规范上市公司与控股股东、实际控制人及其他关联方的资金往来，有效控制上市公司对外担保风险，保护投资者合法权益，根据《中华人民共和国民法典》（以下简称《民法典》）、《中华人民共和国公司法》（以下简称《公司法》）、《中华人民共和国证券法》（以下简称《证券法》）、《中华人民共和国银行业监督管理法》《企业国有资产监督管理暂行条例》等法律、行政法规，制定本指引。</w:t>
      </w:r>
    </w:p>
    <w:p>
      <w:r>
        <w:rPr>
          <w:rFonts w:ascii="黑体" w:hAnsi="黑体" w:eastAsia="黑体" w:cs="黑体"/>
        </w:rPr>
        <w:t xml:space="preserve">第二条 </w:t>
      </w:r>
      <w:r>
        <w:t>上市公司应建立有效的内部控制制度，防范控股股东、实际控制人及其他关联方的资金占用，严格控制对外担保产生的债务风险，依法履行关联交易和对外担保的审议程序和信息披露义务。</w:t>
      </w:r>
    </w:p>
    <w:p>
      <w:pPr>
        <w:spacing w:after="558"/>
      </w:pPr>
      <w:r>
        <w:rPr>
          <w:rFonts w:ascii="黑体" w:hAnsi="黑体" w:eastAsia="黑体" w:cs="黑体"/>
        </w:rPr>
        <w:t xml:space="preserve">第三条 </w:t>
      </w:r>
      <w:r>
        <w:t>控股股东、实际控制人及其他关联方不得以任何方式侵占上市公司利益。</w:t>
      </w:r>
    </w:p>
    <w:p>
      <w:pPr>
        <w:pStyle w:val="2"/>
      </w:pPr>
      <w:r>
        <w:t>第二章</w:t>
      </w:r>
      <w:r>
        <w:rPr>
          <w:rFonts w:hint="eastAsia"/>
          <w:lang w:val="en-US" w:eastAsia="zh-CN"/>
        </w:rPr>
        <w:t xml:space="preserve">  </w:t>
      </w:r>
      <w:r>
        <w:t>资金往来</w:t>
      </w:r>
    </w:p>
    <w:p>
      <w:r>
        <w:rPr>
          <w:rFonts w:ascii="黑体" w:hAnsi="黑体" w:eastAsia="黑体" w:cs="黑体"/>
        </w:rPr>
        <w:t xml:space="preserve">第四条 </w:t>
      </w:r>
      <w:r>
        <w:t>控股股东、实际控制人及其他关联方与上市公司发生的经营性资金往来中，不得占用上市公司资金。</w:t>
      </w:r>
    </w:p>
    <w:p>
      <w:r>
        <w:rPr>
          <w:rFonts w:ascii="黑体" w:hAnsi="黑体" w:eastAsia="黑体" w:cs="黑体"/>
        </w:rPr>
        <w:t xml:space="preserve">第五条 </w:t>
      </w:r>
      <w:r>
        <w:t>上市公司不得以下列方式将资金直接或者间接地提供给控股股东、实际控制人及其他关联方使用：</w:t>
      </w:r>
    </w:p>
    <w:p>
      <w:pPr>
        <w:spacing w:after="184" w:line="259" w:lineRule="auto"/>
        <w:ind w:left="10" w:right="141" w:hanging="10"/>
        <w:jc w:val="right"/>
      </w:pPr>
      <w:r>
        <w:t>（一）为控股股东、实际控制人及其他关联方垫支工资、福</w:t>
      </w:r>
    </w:p>
    <w:p>
      <w:pPr>
        <w:ind w:left="91" w:firstLine="0"/>
      </w:pPr>
      <w:r>
        <w:t>利、保险、广告等费用、承担成本和其他支出；（二）有偿或者无偿地拆借公司的资金（含委托贷款）给控股股东、实际控制人及其他关联方使用，但上市公司参股公司的其他股东同比例提供资金的除外。前述所称“参股公司”，不包括由控股股东、实际控制人控制的公司；</w:t>
      </w:r>
    </w:p>
    <w:p>
      <w:pPr>
        <w:numPr>
          <w:ilvl w:val="0"/>
          <w:numId w:val="1"/>
        </w:numPr>
      </w:pPr>
      <w:r>
        <w:t>委托控股股东、实际控制人及其他关联方进行投资活动；</w:t>
      </w:r>
    </w:p>
    <w:p>
      <w:pPr>
        <w:numPr>
          <w:ilvl w:val="0"/>
          <w:numId w:val="1"/>
        </w:numPr>
      </w:pPr>
      <w:r>
        <w:t>为控股股东、实际控制人及其他关联方开具没有真实交易背景的商业承兑汇票，以及在没有商品和劳务对价情况下或者明显有悖商业逻辑情况下以采购款、资产转让款、预付款等方式提供资金；</w:t>
      </w:r>
    </w:p>
    <w:p>
      <w:pPr>
        <w:numPr>
          <w:ilvl w:val="0"/>
          <w:numId w:val="1"/>
        </w:numPr>
        <w:spacing w:after="184" w:line="259" w:lineRule="auto"/>
      </w:pPr>
      <w:r>
        <w:t>代控股股东、实际控制人及其他关联方偿还债务；</w:t>
      </w:r>
    </w:p>
    <w:p>
      <w:pPr>
        <w:numPr>
          <w:ilvl w:val="0"/>
          <w:numId w:val="1"/>
        </w:numPr>
      </w:pPr>
      <w:r>
        <w:t>中国证券监督管理委员会（以下简称中国证监会）认定的其他方式。</w:t>
      </w:r>
    </w:p>
    <w:p>
      <w:pPr>
        <w:spacing w:after="558"/>
        <w:ind w:left="91"/>
      </w:pPr>
      <w:r>
        <w:rPr>
          <w:rFonts w:ascii="黑体" w:hAnsi="黑体" w:eastAsia="黑体" w:cs="黑体"/>
        </w:rPr>
        <w:t xml:space="preserve">第六条 </w:t>
      </w:r>
      <w:r>
        <w:t>注册会计师在为上市公司年度财务会计报告进行审计工作中，应当根据本章规定，对上市公司存在控股股东、实际控制人及其他关联方占用资金的情况出具专项说明，公司应当就专项说明作出公告。</w:t>
      </w:r>
    </w:p>
    <w:p>
      <w:pPr>
        <w:pStyle w:val="2"/>
      </w:pPr>
      <w:r>
        <w:t>第三章</w:t>
      </w:r>
      <w:r>
        <w:rPr>
          <w:rFonts w:hint="eastAsia"/>
          <w:lang w:val="en-US" w:eastAsia="zh-CN"/>
        </w:rPr>
        <w:t xml:space="preserve">  </w:t>
      </w:r>
      <w:r>
        <w:t>对外担保</w:t>
      </w:r>
    </w:p>
    <w:p>
      <w:pPr>
        <w:ind w:left="91"/>
      </w:pPr>
      <w:r>
        <w:rPr>
          <w:rFonts w:ascii="黑体" w:hAnsi="黑体" w:eastAsia="黑体" w:cs="黑体"/>
        </w:rPr>
        <w:t xml:space="preserve">第七条 </w:t>
      </w:r>
      <w:r>
        <w:t>上市公司对外担保必须经董事会或者股东大会审议。</w:t>
      </w:r>
    </w:p>
    <w:p>
      <w:pPr>
        <w:ind w:left="91"/>
      </w:pPr>
      <w:r>
        <w:rPr>
          <w:rFonts w:ascii="黑体" w:hAnsi="黑体" w:eastAsia="黑体" w:cs="黑体"/>
        </w:rPr>
        <w:t xml:space="preserve">第八条 </w:t>
      </w:r>
      <w:r>
        <w:t>上市公司的《公司章程》应当明确股东大会、董事会审批对外担保的权限及违反审批权限、审议程序的责任追究制度。</w:t>
      </w:r>
    </w:p>
    <w:p>
      <w:pPr>
        <w:spacing w:after="184" w:line="259" w:lineRule="auto"/>
        <w:ind w:left="10" w:right="141" w:hanging="10"/>
        <w:jc w:val="right"/>
      </w:pPr>
      <w:r>
        <w:rPr>
          <w:rFonts w:ascii="黑体" w:hAnsi="黑体" w:eastAsia="黑体" w:cs="黑体"/>
        </w:rPr>
        <w:t xml:space="preserve">第九条 </w:t>
      </w:r>
      <w:r>
        <w:t>应由股东大会审批的对外担保，必须经董事会审议</w:t>
      </w:r>
    </w:p>
    <w:p>
      <w:pPr>
        <w:ind w:left="91" w:firstLine="0"/>
      </w:pPr>
      <w:r>
        <w:t>通过后，方可提交股东大会审批。须经股东大会审批的对外担保，包括但不限于下列情形：</w:t>
      </w:r>
    </w:p>
    <w:p>
      <w:pPr>
        <w:numPr>
          <w:ilvl w:val="0"/>
          <w:numId w:val="2"/>
        </w:numPr>
      </w:pPr>
      <w:r>
        <w:t>上市公司及其控股子公司的对外担保总额，超过最近一期经审计净资产百分之五十以后提供的任何担保；</w:t>
      </w:r>
    </w:p>
    <w:p>
      <w:pPr>
        <w:numPr>
          <w:ilvl w:val="0"/>
          <w:numId w:val="2"/>
        </w:numPr>
      </w:pPr>
      <w:r>
        <w:t>为资产负债率超过百分之七十的担保对象提供的担保；</w:t>
      </w:r>
    </w:p>
    <w:p>
      <w:pPr>
        <w:numPr>
          <w:ilvl w:val="0"/>
          <w:numId w:val="2"/>
        </w:numPr>
      </w:pPr>
      <w:r>
        <w:t>单笔担保额超过最近一期经审计净资产百分之十的担保；</w:t>
      </w:r>
    </w:p>
    <w:p>
      <w:pPr>
        <w:numPr>
          <w:ilvl w:val="0"/>
          <w:numId w:val="2"/>
        </w:numPr>
        <w:spacing w:after="204" w:line="259" w:lineRule="auto"/>
      </w:pPr>
      <w:r>
        <w:t>对股东、实际控制人及其关联方提供的担保。</w:t>
      </w:r>
    </w:p>
    <w:p>
      <w:pPr>
        <w:ind w:left="91"/>
      </w:pPr>
      <w:r>
        <w:t>股东大会在审议为股东、实际控制人及其关联方提供的担保议案时，该股东或者受该实际控制人支配的股东，不得参与该项表决，该项表决由出席股东大会的其他股东所持表决权的半数以上通过。</w:t>
      </w:r>
    </w:p>
    <w:p>
      <w:pPr>
        <w:ind w:left="91"/>
      </w:pPr>
      <w:r>
        <w:rPr>
          <w:rFonts w:ascii="黑体" w:hAnsi="黑体" w:eastAsia="黑体" w:cs="黑体"/>
        </w:rPr>
        <w:t xml:space="preserve">第十条 </w:t>
      </w:r>
      <w:r>
        <w:t>应由董事会审批的对外担保，必须经出席董事会的三分之二以上董事审议同意并做出决议。</w:t>
      </w:r>
    </w:p>
    <w:p>
      <w:pPr>
        <w:ind w:firstLine="713"/>
      </w:pPr>
      <w:r>
        <w:rPr>
          <w:rFonts w:ascii="黑体" w:hAnsi="黑体" w:eastAsia="黑体" w:cs="黑体"/>
        </w:rPr>
        <w:t xml:space="preserve">第十一条 </w:t>
      </w:r>
      <w:r>
        <w:t>上市公司为控股股东、实际控制人及其关联方提供担保的，控股股东、实际控制人及其关联方应当提供反担保。</w:t>
      </w:r>
    </w:p>
    <w:p>
      <w:pPr>
        <w:ind w:left="91"/>
      </w:pPr>
      <w:r>
        <w:rPr>
          <w:rFonts w:ascii="黑体" w:hAnsi="黑体" w:eastAsia="黑体" w:cs="黑体"/>
        </w:rPr>
        <w:t xml:space="preserve">第十二条 </w:t>
      </w:r>
      <w:r>
        <w:t>上市公司董事会或者股东大会审议批准的对外担保，必须在证券交易所的网站和符合中国证监会规定条件的媒体及时披露，披露的内容包括董事会或者股东大会决议、截止信息披露日上市公司及其控股子公司对外担保总额、上市公司对控股子公司提供担保的总额。</w:t>
      </w:r>
    </w:p>
    <w:p>
      <w:pPr>
        <w:ind w:left="91"/>
      </w:pPr>
      <w:r>
        <w:rPr>
          <w:rFonts w:ascii="黑体" w:hAnsi="黑体" w:eastAsia="黑体" w:cs="黑体"/>
        </w:rPr>
        <w:t xml:space="preserve">第十三条 </w:t>
      </w:r>
      <w:r>
        <w:t>上市公司在办理贷款担保业务时，应向银行业金融机构提交《公司章程》、有关该担保事项董事会决议或者股东大会决议原件、该担保事项的披露信息等材料。</w:t>
      </w:r>
    </w:p>
    <w:p>
      <w:pPr>
        <w:ind w:left="91"/>
      </w:pPr>
      <w:r>
        <w:rPr>
          <w:rFonts w:ascii="黑体" w:hAnsi="黑体" w:eastAsia="黑体" w:cs="黑体"/>
        </w:rPr>
        <w:t xml:space="preserve">第十四条 </w:t>
      </w:r>
      <w:r>
        <w:t>上市公司独立董事应在年度报告中，对上市公司报告期末尚未履行完毕和当期发生的对外担保情况、执行本章规定情况进行专项说明，并发表独立意见。</w:t>
      </w:r>
    </w:p>
    <w:p>
      <w:pPr>
        <w:spacing w:after="557"/>
        <w:ind w:left="91"/>
      </w:pPr>
      <w:r>
        <w:rPr>
          <w:rFonts w:ascii="黑体" w:hAnsi="黑体" w:eastAsia="黑体" w:cs="黑体"/>
        </w:rPr>
        <w:t xml:space="preserve">第十五条 </w:t>
      </w:r>
      <w:r>
        <w:t>上市公司控股子公司对于向上市公司合并报表范围之外的主体提供担保的，应视同上市公司提供担保，上市公司应按照本章规定执行。</w:t>
      </w:r>
    </w:p>
    <w:p>
      <w:pPr>
        <w:pStyle w:val="2"/>
        <w:ind w:right="158"/>
      </w:pPr>
      <w:r>
        <w:t>第四章</w:t>
      </w:r>
      <w:r>
        <w:rPr>
          <w:rFonts w:hint="eastAsia"/>
          <w:lang w:val="en-US" w:eastAsia="zh-CN"/>
        </w:rPr>
        <w:t xml:space="preserve">  </w:t>
      </w:r>
      <w:r>
        <w:t>上市公司提供担保的贷款审批</w:t>
      </w:r>
    </w:p>
    <w:p>
      <w:pPr>
        <w:ind w:left="91"/>
      </w:pPr>
      <w:r>
        <w:rPr>
          <w:rFonts w:ascii="黑体" w:hAnsi="黑体" w:eastAsia="黑体" w:cs="黑体"/>
        </w:rPr>
        <w:t xml:space="preserve">第十六条 </w:t>
      </w:r>
      <w:r>
        <w:t>各银行业金融机构应当严格依据《民法典》《公司法》《最高人民法院关于适用〈中华人民共和国民法典〉有关担保制度的解释》等法律法规、司法解释，加强对由上市公司提供担保的贷款申请的审查，切实防范相关信贷风险，并及时将贷款、担保信息登录征信管理系统。</w:t>
      </w:r>
    </w:p>
    <w:p>
      <w:pPr>
        <w:spacing w:after="184" w:line="259" w:lineRule="auto"/>
        <w:ind w:left="10" w:right="141" w:hanging="10"/>
        <w:jc w:val="right"/>
      </w:pPr>
      <w:r>
        <w:rPr>
          <w:rFonts w:ascii="黑体" w:hAnsi="黑体" w:eastAsia="黑体" w:cs="黑体"/>
        </w:rPr>
        <w:t xml:space="preserve">第十七条 </w:t>
      </w:r>
      <w:r>
        <w:t>各银行业金融机构必须依据本指引、上市公司</w:t>
      </w:r>
    </w:p>
    <w:p>
      <w:pPr>
        <w:spacing w:after="204" w:line="259" w:lineRule="auto"/>
        <w:ind w:left="91" w:firstLine="0"/>
      </w:pPr>
      <w:r>
        <w:t>《公司章程》及其他有关规定，认真审核以下事项：</w:t>
      </w:r>
    </w:p>
    <w:p>
      <w:pPr>
        <w:numPr>
          <w:ilvl w:val="0"/>
          <w:numId w:val="3"/>
        </w:numPr>
      </w:pPr>
      <w:r>
        <w:t>由上市公司提供担保的贷款申请的材料齐备性及合法合规性；</w:t>
      </w:r>
    </w:p>
    <w:p>
      <w:pPr>
        <w:numPr>
          <w:ilvl w:val="0"/>
          <w:numId w:val="3"/>
        </w:numPr>
      </w:pPr>
      <w:r>
        <w:t>上市公司对外担保履行董事会或者股东大会审批程序的情况；</w:t>
      </w:r>
    </w:p>
    <w:p>
      <w:pPr>
        <w:numPr>
          <w:ilvl w:val="0"/>
          <w:numId w:val="3"/>
        </w:numPr>
        <w:spacing w:after="204" w:line="259" w:lineRule="auto"/>
      </w:pPr>
      <w:r>
        <w:t>上市公司对外担保履行信息披露义务的情况；</w:t>
      </w:r>
    </w:p>
    <w:p>
      <w:pPr>
        <w:numPr>
          <w:ilvl w:val="0"/>
          <w:numId w:val="3"/>
        </w:numPr>
        <w:spacing w:after="204" w:line="259" w:lineRule="auto"/>
      </w:pPr>
      <w:r>
        <w:t>上市公司的担保能力；</w:t>
      </w:r>
    </w:p>
    <w:p>
      <w:pPr>
        <w:numPr>
          <w:ilvl w:val="0"/>
          <w:numId w:val="3"/>
        </w:numPr>
        <w:spacing w:line="259" w:lineRule="auto"/>
      </w:pPr>
      <w:r>
        <w:t>贷款人的资信、偿还能力等其他事项。</w:t>
      </w:r>
    </w:p>
    <w:p>
      <w:pPr>
        <w:ind w:left="91"/>
      </w:pPr>
      <w:r>
        <w:rPr>
          <w:rFonts w:ascii="黑体" w:hAnsi="黑体" w:eastAsia="黑体" w:cs="黑体"/>
        </w:rPr>
        <w:t xml:space="preserve">第十八条 </w:t>
      </w:r>
      <w:r>
        <w:t>各银行业金融机构应根据相关法律法规和监管规定完善内部控制制度，控制贷款风险。</w:t>
      </w:r>
    </w:p>
    <w:p>
      <w:pPr>
        <w:spacing w:after="555"/>
        <w:ind w:left="91"/>
      </w:pPr>
      <w:r>
        <w:rPr>
          <w:rFonts w:ascii="黑体" w:hAnsi="黑体" w:eastAsia="黑体" w:cs="黑体"/>
        </w:rPr>
        <w:t xml:space="preserve">第十九条 </w:t>
      </w:r>
      <w:r>
        <w:t>对由上市公司控股子公司提供担保的贷款申请，比照本章规定执行。</w:t>
      </w:r>
    </w:p>
    <w:p>
      <w:pPr>
        <w:pStyle w:val="2"/>
        <w:ind w:right="158"/>
      </w:pPr>
      <w:r>
        <w:t>第五章</w:t>
      </w:r>
      <w:r>
        <w:rPr>
          <w:rFonts w:hint="eastAsia"/>
          <w:lang w:val="en-US" w:eastAsia="zh-CN"/>
        </w:rPr>
        <w:t xml:space="preserve">  </w:t>
      </w:r>
      <w:r>
        <w:t>资金占用和违规担保的整改</w:t>
      </w:r>
    </w:p>
    <w:p>
      <w:pPr>
        <w:ind w:left="91"/>
      </w:pPr>
      <w:r>
        <w:rPr>
          <w:rFonts w:ascii="黑体" w:hAnsi="黑体" w:eastAsia="黑体" w:cs="黑体"/>
        </w:rPr>
        <w:t xml:space="preserve">第二十条 </w:t>
      </w:r>
      <w:r>
        <w:t>上市公司应对其与控股股东、实际控制人及其他关联方已经发生的资金往来、对外担保情况进行自查。对于存在资金占用、违规担保问题的公司，应及时完成整改，维护上市公司和中小股东的利益。</w:t>
      </w:r>
    </w:p>
    <w:p>
      <w:pPr>
        <w:ind w:left="91"/>
      </w:pPr>
      <w:r>
        <w:rPr>
          <w:rFonts w:ascii="黑体" w:hAnsi="黑体" w:eastAsia="黑体" w:cs="黑体"/>
        </w:rPr>
        <w:t xml:space="preserve">第二十一条 </w:t>
      </w:r>
      <w:r>
        <w:t>上市公司被控股股东、实际控制人及其他关联方占用的资金，原则上应当以现金清偿。严格控制控股股东、实际控制人及其他关联方以非现金资产清偿占用的上市公司资金。控股股东、实际控制人及其他关联方拟用非现金资产清偿占用的上市公司资金，应当遵守以下规定：</w:t>
      </w:r>
    </w:p>
    <w:p>
      <w:pPr>
        <w:numPr>
          <w:ilvl w:val="0"/>
          <w:numId w:val="4"/>
        </w:numPr>
      </w:pPr>
      <w:r>
        <w:t>用于抵偿的资产必须属于上市公司同一业务体系，并有利于增强上市公司独立性和核心竞争力，减少关联交易，不得是尚未投入使用的资产或者没有客观明确账面净值的资产。</w:t>
      </w:r>
    </w:p>
    <w:p>
      <w:pPr>
        <w:numPr>
          <w:ilvl w:val="0"/>
          <w:numId w:val="4"/>
        </w:numPr>
      </w:pPr>
      <w:r>
        <w:t>上市公司应当聘请符合《证券法》规定的中介机构对符合以资抵债条件的资产进行评估，以资产评估值或者经审计的账面净值作为以资抵债的定价基础，但最终定价不得损害上市公司利益，并充分考虑所占用资金的现值予以折扣。审计报告和评估报告应当向社会公告。（三）独立董事应当就上市公司关联方以资抵债方案发表独立意见，或者聘请符合《证券法》规定的中介机构出具独立财务顾问报告。</w:t>
      </w:r>
    </w:p>
    <w:p>
      <w:pPr>
        <w:spacing w:after="559"/>
        <w:ind w:left="91"/>
      </w:pPr>
      <w:r>
        <w:t>（四）上市公司关联方以资抵债方案须经股东大会审议批准，关联方股东应当回避投票。</w:t>
      </w:r>
    </w:p>
    <w:p>
      <w:pPr>
        <w:pStyle w:val="2"/>
        <w:ind w:right="158"/>
      </w:pPr>
      <w:r>
        <w:t>第六章</w:t>
      </w:r>
      <w:r>
        <w:rPr>
          <w:rFonts w:hint="eastAsia"/>
          <w:lang w:val="en-US" w:eastAsia="zh-CN"/>
        </w:rPr>
        <w:t xml:space="preserve">  </w:t>
      </w:r>
      <w:bookmarkStart w:id="0" w:name="_GoBack"/>
      <w:bookmarkEnd w:id="0"/>
      <w:r>
        <w:t>资金占用和违规担保的处置</w:t>
      </w:r>
    </w:p>
    <w:p>
      <w:r>
        <w:rPr>
          <w:rFonts w:ascii="黑体" w:hAnsi="黑体" w:eastAsia="黑体" w:cs="黑体"/>
        </w:rPr>
        <w:t xml:space="preserve">第二十二条 </w:t>
      </w:r>
      <w:r>
        <w:t>中国证监会与公安部、国资委、中国银保监会等部门加强监管合作，实施信息共享，共同建立监管协作机制，严厉查处资金占用、违规担保等违法违规行为，涉嫌犯罪的依法追究刑事责任。</w:t>
      </w:r>
    </w:p>
    <w:p>
      <w:r>
        <w:rPr>
          <w:rFonts w:ascii="黑体" w:hAnsi="黑体" w:eastAsia="黑体" w:cs="黑体"/>
        </w:rPr>
        <w:t xml:space="preserve">第二十三条 </w:t>
      </w:r>
      <w:r>
        <w:t>上市公司及其董事、监事、高级管理人员，控股股东、实际控制人及其他关联方违反本指引的，中国证监会根据违规行为性质、情节轻重依法给予行政处罚或者采取行政监管措施。涉嫌犯罪的移交公安机关查处，依法追究刑事责任。</w:t>
      </w:r>
    </w:p>
    <w:p>
      <w:r>
        <w:rPr>
          <w:rFonts w:ascii="黑体" w:hAnsi="黑体" w:eastAsia="黑体" w:cs="黑体"/>
        </w:rPr>
        <w:t xml:space="preserve">第二十四条 </w:t>
      </w:r>
      <w:r>
        <w:t>国有资产监督管理机构应当指导督促国有控股股东严格落实本指引要求。对违反本指引的，按照管理权限给予相应处理；造成国有资产损失或者其他严重不良后果的，依法依规追究相关人员责任。</w:t>
      </w:r>
    </w:p>
    <w:p>
      <w:r>
        <w:rPr>
          <w:rFonts w:ascii="黑体" w:hAnsi="黑体" w:eastAsia="黑体" w:cs="黑体"/>
        </w:rPr>
        <w:t xml:space="preserve">第二十五条 </w:t>
      </w:r>
      <w:r>
        <w:t>银行保险机构违反本指引的，中国银保监会依法对相关机构及当事人予以处罚；涉嫌犯罪的，移送司法机关追究法律责任。</w:t>
      </w:r>
    </w:p>
    <w:p>
      <w:pPr>
        <w:spacing w:after="151"/>
      </w:pPr>
      <w:r>
        <w:rPr>
          <w:rFonts w:ascii="黑体" w:hAnsi="黑体" w:eastAsia="黑体" w:cs="黑体"/>
        </w:rPr>
        <w:t xml:space="preserve">第二十六条 </w:t>
      </w:r>
      <w:r>
        <w:t>公安机关对中国证监会移交的上市公司资金占用和违规担保涉嫌犯罪案件或者工作中发现的相关线索，要及时按照有关规定进行审查，符合立案条件的，应尽快立案侦查。</w:t>
      </w:r>
      <w:r>
        <w:rPr>
          <w:rFonts w:ascii="黑体" w:hAnsi="黑体" w:eastAsia="黑体" w:cs="黑体"/>
        </w:rPr>
        <w:t>第七章附则</w:t>
      </w:r>
    </w:p>
    <w:p>
      <w:pPr>
        <w:spacing w:after="183" w:line="259" w:lineRule="auto"/>
        <w:ind w:left="617" w:firstLine="0"/>
      </w:pPr>
      <w:r>
        <w:rPr>
          <w:rFonts w:ascii="黑体" w:hAnsi="黑体" w:eastAsia="黑体" w:cs="黑体"/>
        </w:rPr>
        <w:t xml:space="preserve">第二十七条 </w:t>
      </w:r>
      <w:r>
        <w:t>本指引下列用语的含义：</w:t>
      </w:r>
    </w:p>
    <w:p>
      <w:pPr>
        <w:numPr>
          <w:ilvl w:val="0"/>
          <w:numId w:val="5"/>
        </w:numPr>
      </w:pPr>
      <w:r>
        <w:t>本指引所称“对外担保”，是指上市公司为他人提供的担保，包括上市公司对控股子公司的担保。</w:t>
      </w:r>
    </w:p>
    <w:p>
      <w:pPr>
        <w:numPr>
          <w:ilvl w:val="0"/>
          <w:numId w:val="5"/>
        </w:numPr>
      </w:pPr>
      <w:r>
        <w:t>本指引所称“上市公司及其控股子公司的对外担保总额”，是指包括上市公司对控股子公司担保在内的上市公司对外担保总额与上市公司控股子公司对外担保总额之和。</w:t>
      </w:r>
    </w:p>
    <w:p>
      <w:pPr>
        <w:spacing w:after="184" w:line="259" w:lineRule="auto"/>
        <w:ind w:left="10" w:right="141" w:hanging="10"/>
        <w:jc w:val="right"/>
      </w:pPr>
      <w:r>
        <w:rPr>
          <w:rFonts w:ascii="黑体" w:hAnsi="黑体" w:eastAsia="黑体" w:cs="黑体"/>
        </w:rPr>
        <w:t xml:space="preserve">第二十八条 </w:t>
      </w:r>
      <w:r>
        <w:t>金融类上市公司不适用本指引第三章、第四章</w:t>
      </w:r>
    </w:p>
    <w:p>
      <w:pPr>
        <w:ind w:left="91" w:firstLine="0"/>
      </w:pPr>
      <w:r>
        <w:t>的规定。金融监管部门对金融类上市公司资金往来另有规定的，从其规定。</w:t>
      </w:r>
    </w:p>
    <w:p>
      <w:pPr>
        <w:ind w:left="91"/>
      </w:pPr>
      <w:r>
        <w:rPr>
          <w:rFonts w:ascii="黑体" w:hAnsi="黑体" w:eastAsia="黑体" w:cs="黑体"/>
        </w:rPr>
        <w:t xml:space="preserve">第二十九条 </w:t>
      </w:r>
      <w:r>
        <w:t>本指引自公布之日起施行。2017年12月7日施行的《关于规范上市公司与关联方资金往来及上市公司对外担保若干问题的通知》（证监会公告〔2017〕16号）、2005年11月 14日施行的《关于规范上市公司对外担保行为的通知》（证监发〔2005〕120号）、2005年6月6日施行的《关于集中解决上市公司资金被占用和违规担保问题的通知》（证监公司字〔2005〕</w:t>
      </w:r>
    </w:p>
    <w:p>
      <w:pPr>
        <w:spacing w:line="259" w:lineRule="auto"/>
        <w:ind w:left="91" w:firstLine="0"/>
      </w:pPr>
      <w:r>
        <w:t>37号）同步废止。</w:t>
      </w:r>
    </w:p>
    <w:sectPr>
      <w:footerReference r:id="rId5" w:type="first"/>
      <w:footerReference r:id="rId3" w:type="default"/>
      <w:footerReference r:id="rId4" w:type="even"/>
      <w:pgSz w:w="11906" w:h="16838"/>
      <w:pgMar w:top="1233" w:right="1540" w:bottom="1435" w:left="1589"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angSong_GB2312">
    <w:altName w:val="仿宋_GB2312"/>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48" w:firstLine="0"/>
      <w:jc w:val="right"/>
    </w:pPr>
    <w:r>
      <w:rPr>
        <w:rFonts w:ascii="宋体" w:hAnsi="宋体" w:eastAsia="宋体" w:cs="宋体"/>
        <w:sz w:val="24"/>
      </w:rPr>
      <w:t xml:space="preserve">— </w:t>
    </w:r>
    <w:r>
      <w:fldChar w:fldCharType="begin"/>
    </w:r>
    <w:r>
      <w:instrText xml:space="preserve"> PAGE   \* MERGEFORMAT </w:instrText>
    </w:r>
    <w:r>
      <w:fldChar w:fldCharType="separate"/>
    </w:r>
    <w:r>
      <w:rPr>
        <w:rFonts w:ascii="宋体" w:hAnsi="宋体" w:eastAsia="宋体" w:cs="宋体"/>
        <w:sz w:val="24"/>
      </w:rPr>
      <w:t>3</w:t>
    </w:r>
    <w:r>
      <w:rPr>
        <w:rFonts w:ascii="宋体" w:hAnsi="宋体" w:eastAsia="宋体" w:cs="宋体"/>
        <w:sz w:val="24"/>
      </w:rPr>
      <w:fldChar w:fldCharType="end"/>
    </w:r>
    <w:r>
      <w:rPr>
        <w:rFonts w:ascii="宋体" w:hAnsi="宋体" w:eastAsia="宋体" w:cs="宋体"/>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firstLine="0"/>
    </w:pPr>
    <w:r>
      <w:rPr>
        <w:rFonts w:ascii="宋体" w:hAnsi="宋体" w:eastAsia="宋体" w:cs="宋体"/>
        <w:sz w:val="24"/>
      </w:rPr>
      <w:t xml:space="preserve">— </w:t>
    </w:r>
    <w:r>
      <w:fldChar w:fldCharType="begin"/>
    </w:r>
    <w:r>
      <w:instrText xml:space="preserve"> PAGE   \* MERGEFORMAT </w:instrText>
    </w:r>
    <w:r>
      <w:fldChar w:fldCharType="separate"/>
    </w:r>
    <w:r>
      <w:rPr>
        <w:rFonts w:ascii="宋体" w:hAnsi="宋体" w:eastAsia="宋体" w:cs="宋体"/>
        <w:sz w:val="24"/>
      </w:rPr>
      <w:t>2</w:t>
    </w:r>
    <w:r>
      <w:rPr>
        <w:rFonts w:ascii="宋体" w:hAnsi="宋体" w:eastAsia="宋体" w:cs="宋体"/>
        <w:sz w:val="24"/>
      </w:rPr>
      <w:fldChar w:fldCharType="end"/>
    </w:r>
    <w:r>
      <w:rPr>
        <w:rFonts w:ascii="宋体" w:hAnsi="宋体" w:eastAsia="宋体" w:cs="宋体"/>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firstLine="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34D2C"/>
    <w:multiLevelType w:val="multilevel"/>
    <w:tmpl w:val="0E434D2C"/>
    <w:lvl w:ilvl="0" w:tentative="0">
      <w:start w:val="1"/>
      <w:numFmt w:val="ideographDigital"/>
      <w:lvlText w:val="（%1）"/>
      <w:lvlJc w:val="left"/>
      <w:pPr>
        <w:ind w:left="91"/>
      </w:pPr>
      <w:rPr>
        <w:rFonts w:ascii="FangSong_GB2312" w:hAnsi="FangSong_GB2312" w:eastAsia="FangSong_GB2312" w:cs="FangSong_GB2312"/>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802"/>
      </w:pPr>
      <w:rPr>
        <w:rFonts w:ascii="FangSong_GB2312" w:hAnsi="FangSong_GB2312" w:eastAsia="FangSong_GB2312" w:cs="FangSong_GB2312"/>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522"/>
      </w:pPr>
      <w:rPr>
        <w:rFonts w:ascii="FangSong_GB2312" w:hAnsi="FangSong_GB2312" w:eastAsia="FangSong_GB2312" w:cs="FangSong_GB2312"/>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242"/>
      </w:pPr>
      <w:rPr>
        <w:rFonts w:ascii="FangSong_GB2312" w:hAnsi="FangSong_GB2312" w:eastAsia="FangSong_GB2312" w:cs="FangSong_GB2312"/>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962"/>
      </w:pPr>
      <w:rPr>
        <w:rFonts w:ascii="FangSong_GB2312" w:hAnsi="FangSong_GB2312" w:eastAsia="FangSong_GB2312" w:cs="FangSong_GB2312"/>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682"/>
      </w:pPr>
      <w:rPr>
        <w:rFonts w:ascii="FangSong_GB2312" w:hAnsi="FangSong_GB2312" w:eastAsia="FangSong_GB2312" w:cs="FangSong_GB2312"/>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402"/>
      </w:pPr>
      <w:rPr>
        <w:rFonts w:ascii="FangSong_GB2312" w:hAnsi="FangSong_GB2312" w:eastAsia="FangSong_GB2312" w:cs="FangSong_GB2312"/>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122"/>
      </w:pPr>
      <w:rPr>
        <w:rFonts w:ascii="FangSong_GB2312" w:hAnsi="FangSong_GB2312" w:eastAsia="FangSong_GB2312" w:cs="FangSong_GB2312"/>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842"/>
      </w:pPr>
      <w:rPr>
        <w:rFonts w:ascii="FangSong_GB2312" w:hAnsi="FangSong_GB2312" w:eastAsia="FangSong_GB2312" w:cs="FangSong_GB2312"/>
        <w:b w:val="0"/>
        <w:i w:val="0"/>
        <w:strike w:val="0"/>
        <w:dstrike w:val="0"/>
        <w:color w:val="000000"/>
        <w:sz w:val="30"/>
        <w:szCs w:val="30"/>
        <w:u w:val="none" w:color="000000"/>
        <w:shd w:val="clear" w:color="auto" w:fill="auto"/>
        <w:vertAlign w:val="baseline"/>
      </w:rPr>
    </w:lvl>
  </w:abstractNum>
  <w:abstractNum w:abstractNumId="1">
    <w:nsid w:val="14B33963"/>
    <w:multiLevelType w:val="multilevel"/>
    <w:tmpl w:val="14B33963"/>
    <w:lvl w:ilvl="0" w:tentative="0">
      <w:start w:val="1"/>
      <w:numFmt w:val="ideographDigital"/>
      <w:lvlText w:val="（%1）"/>
      <w:lvlJc w:val="left"/>
      <w:pPr>
        <w:ind w:left="722"/>
      </w:pPr>
      <w:rPr>
        <w:rFonts w:ascii="FangSong_GB2312" w:hAnsi="FangSong_GB2312" w:eastAsia="FangSong_GB2312" w:cs="FangSong_GB2312"/>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97"/>
      </w:pPr>
      <w:rPr>
        <w:rFonts w:ascii="FangSong_GB2312" w:hAnsi="FangSong_GB2312" w:eastAsia="FangSong_GB2312" w:cs="FangSong_GB2312"/>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17"/>
      </w:pPr>
      <w:rPr>
        <w:rFonts w:ascii="FangSong_GB2312" w:hAnsi="FangSong_GB2312" w:eastAsia="FangSong_GB2312" w:cs="FangSong_GB2312"/>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37"/>
      </w:pPr>
      <w:rPr>
        <w:rFonts w:ascii="FangSong_GB2312" w:hAnsi="FangSong_GB2312" w:eastAsia="FangSong_GB2312" w:cs="FangSong_GB2312"/>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57"/>
      </w:pPr>
      <w:rPr>
        <w:rFonts w:ascii="FangSong_GB2312" w:hAnsi="FangSong_GB2312" w:eastAsia="FangSong_GB2312" w:cs="FangSong_GB2312"/>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77"/>
      </w:pPr>
      <w:rPr>
        <w:rFonts w:ascii="FangSong_GB2312" w:hAnsi="FangSong_GB2312" w:eastAsia="FangSong_GB2312" w:cs="FangSong_GB2312"/>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97"/>
      </w:pPr>
      <w:rPr>
        <w:rFonts w:ascii="FangSong_GB2312" w:hAnsi="FangSong_GB2312" w:eastAsia="FangSong_GB2312" w:cs="FangSong_GB2312"/>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17"/>
      </w:pPr>
      <w:rPr>
        <w:rFonts w:ascii="FangSong_GB2312" w:hAnsi="FangSong_GB2312" w:eastAsia="FangSong_GB2312" w:cs="FangSong_GB2312"/>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37"/>
      </w:pPr>
      <w:rPr>
        <w:rFonts w:ascii="FangSong_GB2312" w:hAnsi="FangSong_GB2312" w:eastAsia="FangSong_GB2312" w:cs="FangSong_GB2312"/>
        <w:b w:val="0"/>
        <w:i w:val="0"/>
        <w:strike w:val="0"/>
        <w:dstrike w:val="0"/>
        <w:color w:val="000000"/>
        <w:sz w:val="30"/>
        <w:szCs w:val="30"/>
        <w:u w:val="none" w:color="000000"/>
        <w:shd w:val="clear" w:color="auto" w:fill="auto"/>
        <w:vertAlign w:val="baseline"/>
      </w:rPr>
    </w:lvl>
  </w:abstractNum>
  <w:abstractNum w:abstractNumId="2">
    <w:nsid w:val="39122C88"/>
    <w:multiLevelType w:val="multilevel"/>
    <w:tmpl w:val="39122C88"/>
    <w:lvl w:ilvl="0" w:tentative="0">
      <w:start w:val="1"/>
      <w:numFmt w:val="ideographDigital"/>
      <w:lvlText w:val="（%1）"/>
      <w:lvlJc w:val="left"/>
      <w:pPr>
        <w:ind w:left="0"/>
      </w:pPr>
      <w:rPr>
        <w:rFonts w:ascii="FangSong_GB2312" w:hAnsi="FangSong_GB2312" w:eastAsia="FangSong_GB2312" w:cs="FangSong_GB2312"/>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97"/>
      </w:pPr>
      <w:rPr>
        <w:rFonts w:ascii="FangSong_GB2312" w:hAnsi="FangSong_GB2312" w:eastAsia="FangSong_GB2312" w:cs="FangSong_GB2312"/>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17"/>
      </w:pPr>
      <w:rPr>
        <w:rFonts w:ascii="FangSong_GB2312" w:hAnsi="FangSong_GB2312" w:eastAsia="FangSong_GB2312" w:cs="FangSong_GB2312"/>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37"/>
      </w:pPr>
      <w:rPr>
        <w:rFonts w:ascii="FangSong_GB2312" w:hAnsi="FangSong_GB2312" w:eastAsia="FangSong_GB2312" w:cs="FangSong_GB2312"/>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57"/>
      </w:pPr>
      <w:rPr>
        <w:rFonts w:ascii="FangSong_GB2312" w:hAnsi="FangSong_GB2312" w:eastAsia="FangSong_GB2312" w:cs="FangSong_GB2312"/>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77"/>
      </w:pPr>
      <w:rPr>
        <w:rFonts w:ascii="FangSong_GB2312" w:hAnsi="FangSong_GB2312" w:eastAsia="FangSong_GB2312" w:cs="FangSong_GB2312"/>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97"/>
      </w:pPr>
      <w:rPr>
        <w:rFonts w:ascii="FangSong_GB2312" w:hAnsi="FangSong_GB2312" w:eastAsia="FangSong_GB2312" w:cs="FangSong_GB2312"/>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17"/>
      </w:pPr>
      <w:rPr>
        <w:rFonts w:ascii="FangSong_GB2312" w:hAnsi="FangSong_GB2312" w:eastAsia="FangSong_GB2312" w:cs="FangSong_GB2312"/>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37"/>
      </w:pPr>
      <w:rPr>
        <w:rFonts w:ascii="FangSong_GB2312" w:hAnsi="FangSong_GB2312" w:eastAsia="FangSong_GB2312" w:cs="FangSong_GB2312"/>
        <w:b w:val="0"/>
        <w:i w:val="0"/>
        <w:strike w:val="0"/>
        <w:dstrike w:val="0"/>
        <w:color w:val="000000"/>
        <w:sz w:val="30"/>
        <w:szCs w:val="30"/>
        <w:u w:val="none" w:color="000000"/>
        <w:shd w:val="clear" w:color="auto" w:fill="auto"/>
        <w:vertAlign w:val="baseline"/>
      </w:rPr>
    </w:lvl>
  </w:abstractNum>
  <w:abstractNum w:abstractNumId="3">
    <w:nsid w:val="4D742F1F"/>
    <w:multiLevelType w:val="multilevel"/>
    <w:tmpl w:val="4D742F1F"/>
    <w:lvl w:ilvl="0" w:tentative="0">
      <w:start w:val="1"/>
      <w:numFmt w:val="ideographDigital"/>
      <w:lvlText w:val="（%1）"/>
      <w:lvlJc w:val="left"/>
      <w:pPr>
        <w:ind w:left="91"/>
      </w:pPr>
      <w:rPr>
        <w:rFonts w:ascii="FangSong_GB2312" w:hAnsi="FangSong_GB2312" w:eastAsia="FangSong_GB2312" w:cs="FangSong_GB2312"/>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97"/>
      </w:pPr>
      <w:rPr>
        <w:rFonts w:ascii="FangSong_GB2312" w:hAnsi="FangSong_GB2312" w:eastAsia="FangSong_GB2312" w:cs="FangSong_GB2312"/>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17"/>
      </w:pPr>
      <w:rPr>
        <w:rFonts w:ascii="FangSong_GB2312" w:hAnsi="FangSong_GB2312" w:eastAsia="FangSong_GB2312" w:cs="FangSong_GB2312"/>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37"/>
      </w:pPr>
      <w:rPr>
        <w:rFonts w:ascii="FangSong_GB2312" w:hAnsi="FangSong_GB2312" w:eastAsia="FangSong_GB2312" w:cs="FangSong_GB2312"/>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57"/>
      </w:pPr>
      <w:rPr>
        <w:rFonts w:ascii="FangSong_GB2312" w:hAnsi="FangSong_GB2312" w:eastAsia="FangSong_GB2312" w:cs="FangSong_GB2312"/>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77"/>
      </w:pPr>
      <w:rPr>
        <w:rFonts w:ascii="FangSong_GB2312" w:hAnsi="FangSong_GB2312" w:eastAsia="FangSong_GB2312" w:cs="FangSong_GB2312"/>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97"/>
      </w:pPr>
      <w:rPr>
        <w:rFonts w:ascii="FangSong_GB2312" w:hAnsi="FangSong_GB2312" w:eastAsia="FangSong_GB2312" w:cs="FangSong_GB2312"/>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17"/>
      </w:pPr>
      <w:rPr>
        <w:rFonts w:ascii="FangSong_GB2312" w:hAnsi="FangSong_GB2312" w:eastAsia="FangSong_GB2312" w:cs="FangSong_GB2312"/>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37"/>
      </w:pPr>
      <w:rPr>
        <w:rFonts w:ascii="FangSong_GB2312" w:hAnsi="FangSong_GB2312" w:eastAsia="FangSong_GB2312" w:cs="FangSong_GB2312"/>
        <w:b w:val="0"/>
        <w:i w:val="0"/>
        <w:strike w:val="0"/>
        <w:dstrike w:val="0"/>
        <w:color w:val="000000"/>
        <w:sz w:val="30"/>
        <w:szCs w:val="30"/>
        <w:u w:val="none" w:color="000000"/>
        <w:shd w:val="clear" w:color="auto" w:fill="auto"/>
        <w:vertAlign w:val="baseline"/>
      </w:rPr>
    </w:lvl>
  </w:abstractNum>
  <w:abstractNum w:abstractNumId="4">
    <w:nsid w:val="64A14649"/>
    <w:multiLevelType w:val="multilevel"/>
    <w:tmpl w:val="64A14649"/>
    <w:lvl w:ilvl="0" w:tentative="0">
      <w:start w:val="3"/>
      <w:numFmt w:val="ideographDigital"/>
      <w:lvlText w:val="（%1）"/>
      <w:lvlJc w:val="left"/>
      <w:pPr>
        <w:ind w:left="91"/>
      </w:pPr>
      <w:rPr>
        <w:rFonts w:ascii="FangSong_GB2312" w:hAnsi="FangSong_GB2312" w:eastAsia="FangSong_GB2312" w:cs="FangSong_GB2312"/>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97"/>
      </w:pPr>
      <w:rPr>
        <w:rFonts w:ascii="FangSong_GB2312" w:hAnsi="FangSong_GB2312" w:eastAsia="FangSong_GB2312" w:cs="FangSong_GB2312"/>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17"/>
      </w:pPr>
      <w:rPr>
        <w:rFonts w:ascii="FangSong_GB2312" w:hAnsi="FangSong_GB2312" w:eastAsia="FangSong_GB2312" w:cs="FangSong_GB2312"/>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37"/>
      </w:pPr>
      <w:rPr>
        <w:rFonts w:ascii="FangSong_GB2312" w:hAnsi="FangSong_GB2312" w:eastAsia="FangSong_GB2312" w:cs="FangSong_GB2312"/>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57"/>
      </w:pPr>
      <w:rPr>
        <w:rFonts w:ascii="FangSong_GB2312" w:hAnsi="FangSong_GB2312" w:eastAsia="FangSong_GB2312" w:cs="FangSong_GB2312"/>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77"/>
      </w:pPr>
      <w:rPr>
        <w:rFonts w:ascii="FangSong_GB2312" w:hAnsi="FangSong_GB2312" w:eastAsia="FangSong_GB2312" w:cs="FangSong_GB2312"/>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97"/>
      </w:pPr>
      <w:rPr>
        <w:rFonts w:ascii="FangSong_GB2312" w:hAnsi="FangSong_GB2312" w:eastAsia="FangSong_GB2312" w:cs="FangSong_GB2312"/>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17"/>
      </w:pPr>
      <w:rPr>
        <w:rFonts w:ascii="FangSong_GB2312" w:hAnsi="FangSong_GB2312" w:eastAsia="FangSong_GB2312" w:cs="FangSong_GB2312"/>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37"/>
      </w:pPr>
      <w:rPr>
        <w:rFonts w:ascii="FangSong_GB2312" w:hAnsi="FangSong_GB2312" w:eastAsia="FangSong_GB2312" w:cs="FangSong_GB2312"/>
        <w:b w:val="0"/>
        <w:i w:val="0"/>
        <w:strike w:val="0"/>
        <w:dstrike w:val="0"/>
        <w:color w:val="000000"/>
        <w:sz w:val="30"/>
        <w:szCs w:val="30"/>
        <w:u w:val="none" w:color="000000"/>
        <w:shd w:val="clear" w:color="auto" w:fill="auto"/>
        <w:vertAlign w:val="baseline"/>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9B2"/>
    <w:rsid w:val="00217067"/>
    <w:rsid w:val="00B80FD3"/>
    <w:rsid w:val="00DD49B2"/>
    <w:rsid w:val="6AC30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414" w:lineRule="auto"/>
      <w:ind w:firstLine="607"/>
    </w:pPr>
    <w:rPr>
      <w:rFonts w:ascii="FangSong_GB2312" w:hAnsi="FangSong_GB2312" w:eastAsia="FangSong_GB2312" w:cs="FangSong_GB2312"/>
      <w:color w:val="000000"/>
      <w:kern w:val="2"/>
      <w:sz w:val="30"/>
      <w:szCs w:val="22"/>
      <w:lang w:val="en-US" w:eastAsia="zh-CN" w:bidi="ar-SA"/>
    </w:rPr>
  </w:style>
  <w:style w:type="paragraph" w:styleId="2">
    <w:name w:val="heading 1"/>
    <w:next w:val="1"/>
    <w:link w:val="6"/>
    <w:qFormat/>
    <w:uiPriority w:val="9"/>
    <w:pPr>
      <w:keepNext/>
      <w:keepLines/>
      <w:spacing w:after="153" w:line="259" w:lineRule="auto"/>
      <w:ind w:left="10" w:right="163" w:hanging="10"/>
      <w:jc w:val="center"/>
      <w:outlineLvl w:val="0"/>
    </w:pPr>
    <w:rPr>
      <w:rFonts w:ascii="黑体" w:hAnsi="黑体" w:eastAsia="黑体" w:cs="黑体"/>
      <w:color w:val="000000"/>
      <w:kern w:val="2"/>
      <w:sz w:val="30"/>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header"/>
    <w:basedOn w:val="1"/>
    <w:link w:val="7"/>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6">
    <w:name w:val="标题 1 字符"/>
    <w:link w:val="2"/>
    <w:qFormat/>
    <w:uiPriority w:val="0"/>
    <w:rPr>
      <w:rFonts w:ascii="黑体" w:hAnsi="黑体" w:eastAsia="黑体" w:cs="黑体"/>
      <w:color w:val="000000"/>
      <w:sz w:val="30"/>
    </w:rPr>
  </w:style>
  <w:style w:type="character" w:customStyle="1" w:styleId="7">
    <w:name w:val="页眉 字符"/>
    <w:basedOn w:val="5"/>
    <w:link w:val="3"/>
    <w:uiPriority w:val="99"/>
    <w:rPr>
      <w:rFonts w:ascii="FangSong_GB2312" w:hAnsi="FangSong_GB2312" w:eastAsia="FangSong_GB2312" w:cs="FangSong_GB2312"/>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510</Words>
  <Characters>2913</Characters>
  <Lines>24</Lines>
  <Paragraphs>6</Paragraphs>
  <TotalTime>0</TotalTime>
  <ScaleCrop>false</ScaleCrop>
  <LinksUpToDate>false</LinksUpToDate>
  <CharactersWithSpaces>3417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2022-02-12T02:16:00Z</dcterms:created>
  <dc:creator>Administrator</dc:creator>
  <cp:lastModifiedBy>默默</cp:lastModifiedBy>
  <dcterms:modified xsi:type="dcterms:W3CDTF">2022-02-12T14:04:15Z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