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beforeAutospacing="0" w:after="156" w:afterLines="50" w:afterAutospacing="0" w:line="360" w:lineRule="auto"/>
        <w:rPr>
          <w:rFonts w:hint="eastAsia" w:ascii="宋体" w:hAnsi="宋体" w:eastAsia="宋体"/>
          <w:kern w:val="0"/>
        </w:rPr>
      </w:pPr>
      <w:r>
        <w:rPr>
          <w:rFonts w:hint="eastAsia" w:ascii="宋体" w:hAnsi="宋体" w:eastAsia="宋体"/>
          <w:kern w:val="0"/>
        </w:rPr>
        <w:t>2020税务稽查典型案例评析之四十四</w:t>
      </w:r>
    </w:p>
    <w:p>
      <w:pPr>
        <w:spacing w:beforeLines="50" w:beforeAutospacing="0" w:afterLines="50" w:afterAutospacing="0" w:line="360" w:lineRule="auto"/>
        <w:rPr>
          <w:rFonts w:ascii="宋体" w:hAnsi="宋体" w:eastAsia="宋体"/>
          <w:kern w:val="0"/>
        </w:rPr>
      </w:pPr>
    </w:p>
    <w:p>
      <w:pPr>
        <w:pStyle w:val="2"/>
        <w:spacing w:beforeLines="50" w:beforeAutospacing="0" w:afterLines="50" w:afterAutospacing="0" w:line="360" w:lineRule="auto"/>
        <w:rPr>
          <w:rFonts w:ascii="宋体" w:hAnsi="宋体" w:eastAsia="宋体"/>
          <w:sz w:val="24"/>
          <w:szCs w:val="24"/>
        </w:rPr>
      </w:pPr>
      <w:r>
        <w:rPr>
          <w:rFonts w:hint="eastAsia" w:ascii="宋体" w:hAnsi="宋体" w:eastAsia="宋体"/>
          <w:sz w:val="24"/>
          <w:szCs w:val="24"/>
        </w:rPr>
        <w:t>摘要</w:t>
      </w:r>
    </w:p>
    <w:p>
      <w:pPr>
        <w:pStyle w:val="4"/>
        <w:spacing w:beforeLines="50" w:beforeAutospacing="0" w:afterLines="50" w:afterAutospacing="0" w:line="360" w:lineRule="auto"/>
        <w:ind w:firstLine="386"/>
        <w:rPr>
          <w:rFonts w:ascii="楷体" w:hAnsi="楷体" w:eastAsia="楷体" w:cs="楷体"/>
          <w:color w:val="0070C0"/>
          <w:kern w:val="2"/>
          <w:szCs w:val="28"/>
        </w:rPr>
      </w:pPr>
    </w:p>
    <w:p>
      <w:pPr>
        <w:spacing w:before="156" w:beforeLines="50" w:beforeAutospacing="0" w:after="156" w:afterLines="50" w:afterAutospacing="0" w:line="360" w:lineRule="auto"/>
        <w:ind w:firstLine="480" w:firstLineChars="200"/>
        <w:rPr>
          <w:rFonts w:hint="eastAsia" w:ascii="楷体" w:hAnsi="楷体" w:eastAsia="楷体" w:cs="楷体"/>
          <w:color w:val="0000FF"/>
          <w:szCs w:val="24"/>
        </w:rPr>
      </w:pPr>
      <w:r>
        <w:rPr>
          <w:rFonts w:hint="eastAsia" w:ascii="楷体" w:hAnsi="楷体" w:eastAsia="楷体" w:cs="楷体"/>
          <w:color w:val="0000FF"/>
          <w:szCs w:val="24"/>
        </w:rPr>
        <w:t>一、《</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"http://ssfb86.com/index/News/detail/newsid/8483.html" </w:instrText>
      </w:r>
      <w:r>
        <w:rPr>
          <w:rFonts w:hint="eastAsia" w:ascii="楷体" w:hAnsi="楷体" w:eastAsia="楷体" w:cs="楷体"/>
          <w:color w:val="0000FF"/>
        </w:rPr>
        <w:fldChar w:fldCharType="separate"/>
      </w:r>
      <w:r>
        <w:rPr>
          <w:rStyle w:val="8"/>
          <w:rFonts w:hint="eastAsia" w:ascii="楷体" w:hAnsi="楷体" w:eastAsia="楷体" w:cs="楷体"/>
          <w:color w:val="0000FF"/>
          <w:szCs w:val="24"/>
        </w:rPr>
        <w:t>中华人民共和国行政处罚法</w:t>
      </w:r>
      <w:r>
        <w:rPr>
          <w:rStyle w:val="8"/>
          <w:rFonts w:hint="eastAsia" w:ascii="楷体" w:hAnsi="楷体" w:eastAsia="楷体" w:cs="楷体"/>
          <w:color w:val="0000FF"/>
          <w:szCs w:val="24"/>
        </w:rPr>
        <w:fldChar w:fldCharType="end"/>
      </w:r>
      <w:r>
        <w:rPr>
          <w:rFonts w:hint="eastAsia" w:ascii="楷体" w:hAnsi="楷体" w:eastAsia="楷体" w:cs="楷体"/>
          <w:color w:val="0000FF"/>
          <w:szCs w:val="24"/>
        </w:rPr>
        <w:t>》第四十二条第一款虽然没有明确将“停止出口退（免）税资格”列入应当告知听证权利的范围，但该条中的“等”系不完全列举，应当包括与明文列举的“责令停产停业、吊销许可征或者执照、较大数额罚款”类似的其他对行政相对人权益产生较大影响的行政处罚。本案中，对于ZC公司这样的外贸企业来说，停止出口退（免）税权两年无疑会对公司的经营能力产生重大影响，从维护行政相对人合法权益、保障行政处罚合法性和合理性的角度出发，应当赋子ZC公司申请听证的权利。</w:t>
      </w:r>
    </w:p>
    <w:p>
      <w:pPr>
        <w:spacing w:before="156" w:beforeLines="50" w:beforeAutospacing="0" w:after="156" w:afterLines="50" w:afterAutospacing="0" w:line="360" w:lineRule="auto"/>
        <w:ind w:firstLine="480" w:firstLineChars="200"/>
        <w:rPr>
          <w:rFonts w:hint="eastAsia" w:ascii="楷体" w:hAnsi="楷体" w:eastAsia="楷体" w:cs="楷体"/>
          <w:color w:val="0000FF"/>
          <w:szCs w:val="24"/>
        </w:rPr>
      </w:pPr>
      <w:r>
        <w:rPr>
          <w:rFonts w:hint="eastAsia" w:ascii="楷体" w:hAnsi="楷体" w:eastAsia="楷体" w:cs="楷体"/>
          <w:color w:val="0000FF"/>
          <w:szCs w:val="24"/>
          <w:lang w:eastAsia="zh-CN"/>
        </w:rPr>
        <w:t>二、</w:t>
      </w:r>
      <w:bookmarkStart w:id="2" w:name="_GoBack"/>
      <w:bookmarkEnd w:id="2"/>
      <w:r>
        <w:rPr>
          <w:rFonts w:hint="eastAsia" w:ascii="楷体" w:hAnsi="楷体" w:eastAsia="楷体" w:cs="楷体"/>
          <w:color w:val="0000FF"/>
          <w:szCs w:val="24"/>
        </w:rPr>
        <w:t>（重大税务案件审理办法》（</w:t>
      </w:r>
      <w:r>
        <w:rPr>
          <w:rFonts w:hint="eastAsia" w:ascii="楷体" w:hAnsi="楷体" w:eastAsia="楷体" w:cs="楷体"/>
          <w:color w:val="0000FF"/>
        </w:rPr>
        <w:fldChar w:fldCharType="begin"/>
      </w:r>
      <w:r>
        <w:rPr>
          <w:rFonts w:hint="eastAsia" w:ascii="楷体" w:hAnsi="楷体" w:eastAsia="楷体" w:cs="楷体"/>
          <w:color w:val="0000FF"/>
        </w:rPr>
        <w:instrText xml:space="preserve"> HYPERLINK "http://ssfb86.com/index/News/detail/newsid/9018.html" </w:instrText>
      </w:r>
      <w:r>
        <w:rPr>
          <w:rFonts w:hint="eastAsia" w:ascii="楷体" w:hAnsi="楷体" w:eastAsia="楷体" w:cs="楷体"/>
          <w:color w:val="0000FF"/>
        </w:rPr>
        <w:fldChar w:fldCharType="separate"/>
      </w:r>
      <w:r>
        <w:rPr>
          <w:rStyle w:val="8"/>
          <w:rFonts w:hint="eastAsia" w:ascii="楷体" w:hAnsi="楷体" w:eastAsia="楷体" w:cs="楷体"/>
          <w:color w:val="0000FF"/>
          <w:szCs w:val="24"/>
        </w:rPr>
        <w:t>国家税务总局令第34号</w:t>
      </w:r>
      <w:r>
        <w:rPr>
          <w:rStyle w:val="8"/>
          <w:rFonts w:hint="eastAsia" w:ascii="楷体" w:hAnsi="楷体" w:eastAsia="楷体" w:cs="楷体"/>
          <w:color w:val="0000FF"/>
          <w:szCs w:val="24"/>
        </w:rPr>
        <w:fldChar w:fldCharType="end"/>
      </w:r>
      <w:r>
        <w:rPr>
          <w:rFonts w:hint="eastAsia" w:ascii="楷体" w:hAnsi="楷体" w:eastAsia="楷体" w:cs="楷体"/>
          <w:color w:val="0000FF"/>
          <w:szCs w:val="24"/>
        </w:rPr>
        <w:t>）第十四条第二款规定，当事人要求听证的，由稽查局组织听证。第十五条第一款规定，稽查局提请审理委员会审理案件，应当提交税务稽查报告、听证材料等案件材料。由此可知在重大税务案件提请审理委员会审理之前，税务稽查部门应当告知相对人享有申请听证的权利，并将听证材料一并向审理委员会提交。本案中，被诉行政处罚决定是经过重大税务案件审理委员会集体讨论作出，稽查局理应告知ZC公司有要求听证的权利，在未告知听证权利的情况下即提请审理委员会审理并作出处罚决定，违反法定程序。</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Lines="50" w:beforeAutospacing="0" w:afterLines="50" w:afterAutospacing="0" w:line="360" w:lineRule="auto"/>
        <w:rPr>
          <w:rFonts w:ascii="宋体" w:hAnsi="宋体" w:eastAsia="宋体"/>
          <w:sz w:val="24"/>
          <w:szCs w:val="24"/>
        </w:rPr>
      </w:pPr>
      <w:r>
        <w:rPr>
          <w:rFonts w:hint="eastAsia" w:ascii="宋体" w:hAnsi="宋体" w:eastAsia="宋体"/>
          <w:sz w:val="24"/>
          <w:szCs w:val="24"/>
        </w:rPr>
        <w:t>思考</w:t>
      </w:r>
    </w:p>
    <w:p>
      <w:pPr>
        <w:spacing w:beforeLines="50" w:beforeAutospacing="0" w:afterLines="50" w:afterAutospacing="0" w:line="360" w:lineRule="auto"/>
        <w:ind w:firstLine="480" w:firstLineChars="200"/>
        <w:rPr>
          <w:rFonts w:ascii="楷体" w:hAnsi="楷体" w:eastAsia="楷体" w:cs="楷体"/>
          <w:color w:val="0070C0"/>
          <w:szCs w:val="24"/>
        </w:rPr>
      </w:pPr>
    </w:p>
    <w:p>
      <w:pPr>
        <w:spacing w:before="156" w:beforeLines="50" w:beforeAutospacing="0" w:after="156" w:afterLines="50" w:afterAutospacing="0" w:line="360" w:lineRule="auto"/>
        <w:ind w:firstLine="480" w:firstLineChars="200"/>
        <w:rPr>
          <w:rFonts w:hint="eastAsia" w:ascii="楷体" w:hAnsi="楷体" w:eastAsia="楷体"/>
          <w:color w:val="0000FF"/>
          <w:szCs w:val="24"/>
          <w:lang w:eastAsia="zh-CN"/>
        </w:rPr>
      </w:pPr>
      <w:r>
        <w:rPr>
          <w:rFonts w:hint="eastAsia" w:ascii="楷体" w:hAnsi="楷体" w:eastAsia="楷体"/>
          <w:color w:val="0000FF"/>
          <w:szCs w:val="24"/>
        </w:rPr>
        <w:t>一、</w:t>
      </w:r>
      <w:r>
        <w:rPr>
          <w:rFonts w:hint="eastAsia" w:ascii="楷体" w:hAnsi="楷体" w:eastAsia="楷体"/>
          <w:color w:val="0070C0"/>
          <w:szCs w:val="24"/>
          <w:lang w:eastAsia="zh-CN"/>
        </w:rPr>
        <w:t>法院判处税务机关程序违法后，是否撤销税务机关的处罚决定，并责令重新作出具体行政行为</w:t>
      </w:r>
      <w:r>
        <w:rPr>
          <w:rFonts w:hint="eastAsia" w:ascii="楷体" w:hAnsi="楷体" w:eastAsia="楷体"/>
          <w:color w:val="0070C0"/>
          <w:szCs w:val="24"/>
        </w:rPr>
        <w:t>？</w:t>
      </w:r>
    </w:p>
    <w:p>
      <w:pPr>
        <w:spacing w:before="156" w:beforeLines="50" w:beforeAutospacing="0" w:after="156" w:afterLines="50" w:afterAutospacing="0" w:line="360" w:lineRule="auto"/>
        <w:rPr>
          <w:rFonts w:hint="eastAsia" w:ascii="宋体" w:hAnsi="宋体" w:eastAsia="宋体"/>
          <w:kern w:val="0"/>
        </w:rPr>
      </w:pPr>
    </w:p>
    <w:p>
      <w:pPr>
        <w:spacing w:before="156" w:beforeLines="50" w:beforeAutospacing="0" w:after="156" w:afterLines="50" w:afterAutospacing="0" w:line="360" w:lineRule="auto"/>
        <w:jc w:val="center"/>
        <w:rPr>
          <w:rFonts w:ascii="宋体" w:hAnsi="宋体" w:eastAsia="宋体"/>
          <w:b/>
          <w:bCs/>
          <w:color w:val="C55A11" w:themeColor="accent2" w:themeShade="BF"/>
          <w:sz w:val="44"/>
          <w:szCs w:val="44"/>
        </w:rPr>
      </w:pPr>
      <w:r>
        <w:rPr>
          <w:rFonts w:hint="eastAsia" w:ascii="宋体" w:hAnsi="宋体" w:eastAsia="宋体"/>
          <w:b/>
          <w:bCs/>
          <w:color w:val="C55A11" w:themeColor="accent2" w:themeShade="BF"/>
          <w:sz w:val="44"/>
          <w:szCs w:val="44"/>
        </w:rPr>
        <w:t>苏州</w:t>
      </w:r>
      <w:r>
        <w:rPr>
          <w:rFonts w:ascii="宋体" w:hAnsi="宋体" w:eastAsia="宋体"/>
          <w:b/>
          <w:bCs/>
          <w:color w:val="C55A11" w:themeColor="accent2" w:themeShade="BF"/>
          <w:sz w:val="44"/>
          <w:szCs w:val="44"/>
        </w:rPr>
        <w:t>ZC进出口有限公司骗取出口退税案</w:t>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0" w:firstLineChars="200"/>
        <w:jc w:val="center"/>
        <w:rPr>
          <w:rFonts w:ascii="宋体" w:hAnsi="宋体" w:eastAsia="宋体"/>
          <w:szCs w:val="24"/>
        </w:rPr>
      </w:pPr>
      <w:r>
        <w:rPr>
          <w:rFonts w:hint="eastAsia" w:ascii="宋体" w:hAnsi="宋体" w:eastAsia="宋体"/>
          <w:szCs w:val="24"/>
        </w:rPr>
        <w:t>——</w:t>
      </w:r>
      <w:r>
        <w:fldChar w:fldCharType="begin"/>
      </w:r>
      <w:r>
        <w:instrText xml:space="preserve"> HYPERLINK "http://ssfb86.com/index/News/detail/newsid/10064.html" </w:instrText>
      </w:r>
      <w:r>
        <w:fldChar w:fldCharType="separate"/>
      </w:r>
      <w:r>
        <w:rPr>
          <w:rStyle w:val="8"/>
          <w:rFonts w:hint="eastAsia" w:ascii="宋体" w:hAnsi="宋体" w:eastAsia="宋体"/>
          <w:szCs w:val="24"/>
        </w:rPr>
        <w:t>停止出口退税权应履行听证权利告知程序</w:t>
      </w:r>
      <w:r>
        <w:rPr>
          <w:rStyle w:val="8"/>
          <w:rFonts w:hint="eastAsia" w:ascii="宋体" w:hAnsi="宋体" w:eastAsia="宋体"/>
          <w:szCs w:val="24"/>
        </w:rPr>
        <w:fldChar w:fldCharType="end"/>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 xml:space="preserve">〔关键词〕停止退税 </w:t>
      </w:r>
      <w:r>
        <w:rPr>
          <w:rFonts w:ascii="宋体" w:hAnsi="宋体" w:eastAsia="宋体"/>
          <w:szCs w:val="24"/>
        </w:rPr>
        <w:t>听证告知</w:t>
      </w:r>
      <w:r>
        <w:rPr>
          <w:rFonts w:hint="eastAsia" w:ascii="宋体" w:hAnsi="宋体" w:eastAsia="宋体"/>
          <w:szCs w:val="24"/>
        </w:rPr>
        <w:t xml:space="preserve"> </w:t>
      </w:r>
      <w:r>
        <w:rPr>
          <w:rFonts w:ascii="宋体" w:hAnsi="宋体" w:eastAsia="宋体"/>
          <w:szCs w:val="24"/>
        </w:rPr>
        <w:t>程序违法</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基本案情</w:t>
      </w:r>
    </w:p>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2016年，苏州工业园区税务局稽查局（以下简称稽查局）检查发现，苏ZC进出口有限公司（以下简称ZC公司）从无锡Y公司进货并出口的9笔业务虚假；合计出口额1265</w:t>
      </w:r>
      <w:r>
        <w:rPr>
          <w:rFonts w:hint="eastAsia" w:ascii="宋体" w:hAnsi="宋体" w:eastAsia="宋体"/>
          <w:szCs w:val="24"/>
        </w:rPr>
        <w:t>.</w:t>
      </w:r>
      <w:r>
        <w:rPr>
          <w:rFonts w:ascii="宋体" w:hAnsi="宋体" w:eastAsia="宋体"/>
          <w:szCs w:val="24"/>
        </w:rPr>
        <w:t>83万美元，其中，73笔业务已经办理退税申报并已退税，退税额1074.67万元人民币；2笔业务已办理退税申报但尚未退税，申报退税额36.65万元人民币；16笔业务因未收齐退税申报资科暂未申报退税，涉及退税额230.18万元人民币。</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根据《</w:t>
      </w:r>
      <w:r>
        <w:fldChar w:fldCharType="begin"/>
      </w:r>
      <w:r>
        <w:instrText xml:space="preserve"> HYPERLINK "http://ssfb86.com/index/News/detail/newsid/1036.html" </w:instrText>
      </w:r>
      <w:r>
        <w:fldChar w:fldCharType="separate"/>
      </w:r>
      <w:r>
        <w:rPr>
          <w:rStyle w:val="8"/>
          <w:rFonts w:hint="eastAsia" w:ascii="宋体" w:hAnsi="宋体" w:eastAsia="宋体"/>
          <w:szCs w:val="24"/>
        </w:rPr>
        <w:t>中华人民共和国税收征收管理法</w:t>
      </w:r>
      <w:r>
        <w:rPr>
          <w:rStyle w:val="8"/>
          <w:rFonts w:hint="eastAsia" w:ascii="宋体" w:hAnsi="宋体" w:eastAsia="宋体"/>
          <w:szCs w:val="24"/>
        </w:rPr>
        <w:fldChar w:fldCharType="end"/>
      </w:r>
      <w:r>
        <w:rPr>
          <w:rFonts w:hint="eastAsia" w:ascii="宋体" w:hAnsi="宋体" w:eastAsia="宋体"/>
          <w:szCs w:val="24"/>
        </w:rPr>
        <w:t>》第六十六条、《财政部</w:t>
      </w:r>
      <w:r>
        <w:rPr>
          <w:rFonts w:ascii="宋体" w:hAnsi="宋体" w:eastAsia="宋体"/>
          <w:szCs w:val="24"/>
        </w:rPr>
        <w:t>国家税务总局关于出口货物劳务增值税和消费税政策的通知》（</w:t>
      </w:r>
      <w:r>
        <w:fldChar w:fldCharType="begin"/>
      </w:r>
      <w:r>
        <w:instrText xml:space="preserve"> HYPERLINK "http://ssfb86.com/index/News/detail/newsid/1559.html" </w:instrText>
      </w:r>
      <w:r>
        <w:fldChar w:fldCharType="separate"/>
      </w:r>
      <w:r>
        <w:rPr>
          <w:rStyle w:val="8"/>
          <w:rFonts w:ascii="宋体" w:hAnsi="宋体" w:eastAsia="宋体"/>
          <w:szCs w:val="24"/>
        </w:rPr>
        <w:t>财税（2012）39号</w:t>
      </w:r>
      <w:r>
        <w:rPr>
          <w:rStyle w:val="8"/>
          <w:rFonts w:ascii="宋体" w:hAnsi="宋体" w:eastAsia="宋体"/>
          <w:szCs w:val="24"/>
        </w:rPr>
        <w:fldChar w:fldCharType="end"/>
      </w:r>
      <w:r>
        <w:rPr>
          <w:rFonts w:ascii="宋体" w:hAnsi="宋体" w:eastAsia="宋体"/>
          <w:szCs w:val="24"/>
        </w:rPr>
        <w:t>）第九条第（一）款第3页、《国家税务总局关于发布《出口货物劳务增值税和消费税管理办法）的公告》（</w:t>
      </w:r>
      <w:r>
        <w:fldChar w:fldCharType="begin"/>
      </w:r>
      <w:r>
        <w:instrText xml:space="preserve"> HYPERLINK "http://ssfb86.com/index/News/detail/newsid/1546.html" </w:instrText>
      </w:r>
      <w:r>
        <w:fldChar w:fldCharType="separate"/>
      </w:r>
      <w:r>
        <w:rPr>
          <w:rStyle w:val="8"/>
          <w:rFonts w:ascii="宋体" w:hAnsi="宋体" w:eastAsia="宋体"/>
          <w:szCs w:val="24"/>
        </w:rPr>
        <w:t>国家税务总局公告2012年第24号</w:t>
      </w:r>
      <w:r>
        <w:rPr>
          <w:rStyle w:val="8"/>
          <w:rFonts w:ascii="宋体" w:hAnsi="宋体" w:eastAsia="宋体"/>
          <w:szCs w:val="24"/>
        </w:rPr>
        <w:fldChar w:fldCharType="end"/>
      </w:r>
      <w:r>
        <w:rPr>
          <w:rFonts w:ascii="宋体" w:hAnsi="宋体" w:eastAsia="宋体"/>
          <w:szCs w:val="24"/>
        </w:rPr>
        <w:t>）第十三条第（六）款的规定，2017年2月14日，稽查局作出税务处理决定，向ZC公司追缴退税款1074.67万元人民币，不予退税3665万元；同时，作出税务行政处罚决定，认定ZC公司的违法行为属于骗税，自2017年2月14日起停止该公司</w:t>
      </w:r>
      <w:r>
        <w:rPr>
          <w:rFonts w:hint="eastAsia" w:ascii="宋体" w:hAnsi="宋体" w:eastAsia="宋体"/>
          <w:szCs w:val="24"/>
        </w:rPr>
        <w:t>出口退（免）税资格两年。</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ZC公司不服稽查局作出的税务处理决定，向江苏省国家税务局申请行政复议，复议决定维持原处理决定。ZC公司遂将稽查局和江苏省国家税务局诉至南京铁路运输法院。法院一审认为被诉税务处理决定及行政复议决定均认定事实清楚、适用法律正确、符合法定程序，判决驳回ZC公司的诉讼请求。ZC公司不服一审判决，上诉至南京市中级入民法院，南京市中级人民法院维持一</w:t>
      </w:r>
      <w:r>
        <w:rPr>
          <w:rFonts w:hint="eastAsia" w:ascii="宋体" w:hAnsi="宋体" w:eastAsia="宋体"/>
          <w:szCs w:val="24"/>
        </w:rPr>
        <w:t>审判决。</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ZC公司不服稽查局的税务行政处罚决定，向苏州市姑苏区人民法院提起诉讼。法院一审认为行政处罚决定认定事实清楚、证据充分，适用法律正确，实体处理亦无不当，但稽查局未告知ZC公司有听证的权利构成程序违法。ZC公司与稽查局均不服一审判决，上诉至苏州市中级人民法院。苏州市中级人民法院维持一审判决。</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在诉讼过程中，</w:t>
      </w:r>
      <w:r>
        <w:rPr>
          <w:rFonts w:ascii="宋体" w:hAnsi="宋体" w:eastAsia="宋体"/>
          <w:szCs w:val="24"/>
        </w:rPr>
        <w:t>ZC公司对于骗税事实认定、证据证明效力、骗税主观故意、程序合法性等方面提出异议，但四份判决对骗税事实、证据、定性、适用法律等实体处理均予以维持。</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争议</w:t>
      </w:r>
      <w:r>
        <w:rPr>
          <w:rFonts w:ascii="宋体" w:hAnsi="宋体" w:eastAsia="宋体"/>
          <w:sz w:val="24"/>
          <w:szCs w:val="24"/>
        </w:rPr>
        <w:t>焦点</w:t>
      </w:r>
    </w:p>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本案的争议焦点在于税务机关停止企业出口退税资格是否需要履行听证权利告知程序。</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ZC公司认为，稽查局送达《税务行政处罚事项告知书》，未告知ZC公司有要求听证的权利，属于程序违法，侵犯了ZC公司的合法权益。</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稽查局认为，停止出口退税权不属于行政处罚法规定的应当告知听证权</w:t>
      </w:r>
      <w:r>
        <w:rPr>
          <w:rFonts w:ascii="宋体" w:hAnsi="宋体" w:eastAsia="宋体"/>
          <w:szCs w:val="24"/>
        </w:rPr>
        <w:t>利的范围。另外，根据税务总局印发《税务行政处罚听证程序实施办法（试行）》（</w:t>
      </w:r>
      <w:r>
        <w:fldChar w:fldCharType="begin"/>
      </w:r>
      <w:r>
        <w:instrText xml:space="preserve"> HYPERLINK "http://ssfb86.com/index/News/detail/newsid/5104.html" </w:instrText>
      </w:r>
      <w:r>
        <w:fldChar w:fldCharType="separate"/>
      </w:r>
      <w:r>
        <w:rPr>
          <w:rStyle w:val="8"/>
          <w:rFonts w:ascii="宋体" w:hAnsi="宋体" w:eastAsia="宋体"/>
          <w:szCs w:val="24"/>
        </w:rPr>
        <w:t>国税发（1996）190号</w:t>
      </w:r>
      <w:r>
        <w:rPr>
          <w:rStyle w:val="8"/>
          <w:rFonts w:ascii="宋体" w:hAnsi="宋体" w:eastAsia="宋体"/>
          <w:szCs w:val="24"/>
        </w:rPr>
        <w:fldChar w:fldCharType="end"/>
      </w:r>
      <w:r>
        <w:rPr>
          <w:rFonts w:ascii="宋体" w:hAnsi="宋体" w:eastAsia="宋体"/>
          <w:szCs w:val="24"/>
        </w:rPr>
        <w:t>）第三条规定，应当告知听证权利的情形仅限手作出罚款的税务行</w:t>
      </w:r>
      <w:r>
        <w:rPr>
          <w:rFonts w:hint="eastAsia" w:ascii="宋体" w:hAnsi="宋体" w:eastAsia="宋体"/>
          <w:szCs w:val="24"/>
        </w:rPr>
        <w:t>政</w:t>
      </w:r>
      <w:r>
        <w:rPr>
          <w:rFonts w:ascii="宋体" w:hAnsi="宋体" w:eastAsia="宋体"/>
          <w:szCs w:val="24"/>
        </w:rPr>
        <w:t>处罚，而没有规定“停止出口退（免）税资格”应当听症。在作出处罚决定前，稽查局向ZC公司送达了《税务行政处罚事项告知书</w:t>
      </w:r>
      <w:r>
        <w:rPr>
          <w:rFonts w:hint="eastAsia" w:ascii="宋体" w:hAnsi="宋体" w:eastAsia="宋体"/>
          <w:szCs w:val="24"/>
        </w:rPr>
        <w:t>》</w:t>
      </w:r>
      <w:r>
        <w:rPr>
          <w:rFonts w:ascii="宋体" w:hAnsi="宋体" w:eastAsia="宋体"/>
          <w:szCs w:val="24"/>
        </w:rPr>
        <w:t>，告知其有陈述、申辩的权利，并对ZC公司的陈述申辩意见进行认真审</w:t>
      </w:r>
      <w:r>
        <w:rPr>
          <w:rFonts w:hint="eastAsia" w:ascii="宋体" w:hAnsi="宋体" w:eastAsia="宋体"/>
          <w:szCs w:val="24"/>
        </w:rPr>
        <w:t>核</w:t>
      </w:r>
      <w:r>
        <w:rPr>
          <w:rFonts w:ascii="宋体" w:hAnsi="宋体" w:eastAsia="宋体"/>
          <w:szCs w:val="24"/>
        </w:rPr>
        <w:t>后，才作出处罚决定。因此，稽查局在既有程序中已充分听取了ZC公司的意见，行政相对人的程</w:t>
      </w:r>
      <w:r>
        <w:rPr>
          <w:rFonts w:hint="eastAsia" w:ascii="宋体" w:hAnsi="宋体" w:eastAsia="宋体"/>
          <w:szCs w:val="24"/>
        </w:rPr>
        <w:t>序权利已得到了应有的尊重和保障。</w:t>
      </w:r>
    </w:p>
    <w:p>
      <w:pPr>
        <w:spacing w:before="156" w:beforeLines="50" w:beforeAutospacing="0" w:after="156" w:afterLines="50" w:afterAutospacing="0" w:line="360" w:lineRule="auto"/>
        <w:ind w:firstLine="480" w:firstLineChars="200"/>
        <w:rPr>
          <w:rFonts w:ascii="宋体" w:hAnsi="宋体" w:eastAsia="宋体"/>
          <w:szCs w:val="24"/>
        </w:rPr>
      </w:pPr>
    </w:p>
    <w:p>
      <w:pPr>
        <w:pStyle w:val="2"/>
        <w:spacing w:before="50" w:beforeAutospacing="0" w:after="50" w:afterAutospacing="0" w:line="360" w:lineRule="auto"/>
        <w:ind w:firstLine="482" w:firstLineChars="200"/>
        <w:rPr>
          <w:rFonts w:ascii="宋体" w:hAnsi="宋体" w:eastAsia="宋体"/>
          <w:sz w:val="24"/>
          <w:szCs w:val="24"/>
        </w:rPr>
      </w:pPr>
      <w:r>
        <w:rPr>
          <w:rFonts w:ascii="宋体" w:hAnsi="宋体" w:eastAsia="宋体"/>
          <w:sz w:val="24"/>
          <w:szCs w:val="24"/>
        </w:rPr>
        <w:t>法院裁判要旨</w:t>
      </w:r>
    </w:p>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一、苏州市姑苏区人民法院裁判要旨</w:t>
      </w:r>
    </w:p>
    <w:p>
      <w:pPr>
        <w:spacing w:before="156" w:beforeLines="50" w:beforeAutospacing="0" w:after="156" w:afterLines="50" w:afterAutospacing="0" w:line="360" w:lineRule="auto"/>
        <w:ind w:firstLine="480" w:firstLineChars="200"/>
        <w:rPr>
          <w:rFonts w:ascii="宋体" w:hAnsi="宋体" w:eastAsia="宋体"/>
          <w:szCs w:val="24"/>
        </w:rPr>
      </w:pPr>
      <w:r>
        <w:rPr>
          <w:rFonts w:hint="eastAsia" w:ascii="宋体" w:hAnsi="宋体" w:eastAsia="宋体"/>
          <w:szCs w:val="24"/>
        </w:rPr>
        <w:t>苏州市姑苏区人民法院认为，稽查局未告知</w:t>
      </w:r>
      <w:r>
        <w:rPr>
          <w:rFonts w:ascii="宋体" w:hAnsi="宋体" w:eastAsia="宋体"/>
          <w:szCs w:val="24"/>
        </w:rPr>
        <w:t>ZC公司有要求听证的权利，属于程序违法。理由是，《</w:t>
      </w:r>
      <w:bookmarkStart w:id="0" w:name="_Hlk94288787"/>
      <w:r>
        <w:rPr>
          <w:rFonts w:ascii="宋体" w:hAnsi="宋体" w:eastAsia="宋体"/>
          <w:szCs w:val="24"/>
        </w:rPr>
        <w:fldChar w:fldCharType="begin"/>
      </w:r>
      <w:r>
        <w:rPr>
          <w:rFonts w:ascii="宋体" w:hAnsi="宋体" w:eastAsia="宋体"/>
          <w:szCs w:val="24"/>
        </w:rPr>
        <w:instrText xml:space="preserve"> HYPERLINK "http://ssfb86.com/index/News/detail/newsid/8483.html" </w:instrText>
      </w:r>
      <w:r>
        <w:rPr>
          <w:rFonts w:ascii="宋体" w:hAnsi="宋体" w:eastAsia="宋体"/>
          <w:szCs w:val="24"/>
        </w:rPr>
        <w:fldChar w:fldCharType="separate"/>
      </w:r>
      <w:r>
        <w:rPr>
          <w:rStyle w:val="8"/>
          <w:rFonts w:ascii="宋体" w:hAnsi="宋体" w:eastAsia="宋体"/>
          <w:szCs w:val="24"/>
        </w:rPr>
        <w:t>中华人民共和国行政处罚法</w:t>
      </w:r>
      <w:r>
        <w:rPr>
          <w:rFonts w:ascii="宋体" w:hAnsi="宋体" w:eastAsia="宋体"/>
          <w:szCs w:val="24"/>
        </w:rPr>
        <w:fldChar w:fldCharType="end"/>
      </w:r>
      <w:bookmarkEnd w:id="0"/>
      <w:r>
        <w:rPr>
          <w:rFonts w:ascii="宋体" w:hAnsi="宋体" w:eastAsia="宋体"/>
          <w:szCs w:val="24"/>
        </w:rPr>
        <w:t>》第四十二条第一款以</w:t>
      </w:r>
      <w:r>
        <w:rPr>
          <w:rFonts w:hint="eastAsia" w:ascii="宋体" w:hAnsi="宋体" w:eastAsia="宋体"/>
          <w:szCs w:val="24"/>
        </w:rPr>
        <w:t>列举方式对行政处罚中听证程序的适用范围作出了规定。听证是较为正规的听取行政相对人意见的程序，如果行政机关的决定可能对相对人的权利义务产生重大影响，行政机关则应当告知当事人有申请听证的权利，进一步听取相对人的陈述、申辩和质证意见，然后作出行政决定。本案中，</w:t>
      </w:r>
      <w:r>
        <w:rPr>
          <w:rFonts w:ascii="宋体" w:hAnsi="宋体" w:eastAsia="宋体"/>
          <w:szCs w:val="24"/>
        </w:rPr>
        <w:t>"停止出口退（免）税资格两年”是对ZC公司出口退（免）税资质的暂时取消，显然将对该企业正常的出口经营造成严重影响，在作出处罚决定前应当告知ZC公司有要求听证的权利。</w:t>
      </w:r>
      <w:r>
        <w:rPr>
          <w:rFonts w:ascii="宋体" w:hAnsi="宋体" w:eastAsia="宋体"/>
          <w:color w:val="C55A11" w:themeColor="accent2" w:themeShade="BF"/>
          <w:szCs w:val="24"/>
        </w:rPr>
        <w:t>虽然《税务行政处罚事项告知书》中载明ZC公司有陈述、申辩的权利，但未告知听证权，有违正当程序</w:t>
      </w:r>
      <w:r>
        <w:rPr>
          <w:rFonts w:hint="eastAsia" w:ascii="宋体" w:hAnsi="宋体" w:eastAsia="宋体"/>
          <w:color w:val="C55A11" w:themeColor="accent2" w:themeShade="BF"/>
          <w:szCs w:val="24"/>
        </w:rPr>
        <w:t>原则，构成程序违法</w:t>
      </w:r>
      <w:r>
        <w:rPr>
          <w:rFonts w:hint="eastAsia" w:ascii="宋体" w:hAnsi="宋体" w:eastAsia="宋体"/>
          <w:szCs w:val="24"/>
        </w:rPr>
        <w:t>。故判决确认稽查局作出的行政处罚决定违法。</w:t>
      </w:r>
    </w:p>
    <w:p>
      <w:pPr>
        <w:pStyle w:val="3"/>
        <w:spacing w:before="50" w:beforeAutospacing="0" w:after="50" w:afterAutospacing="0" w:line="360" w:lineRule="auto"/>
        <w:ind w:firstLine="482" w:firstLineChars="200"/>
        <w:rPr>
          <w:rFonts w:ascii="宋体" w:hAnsi="宋体" w:eastAsia="宋体"/>
          <w:sz w:val="24"/>
          <w:szCs w:val="24"/>
        </w:rPr>
      </w:pPr>
      <w:r>
        <w:rPr>
          <w:rFonts w:hint="eastAsia" w:ascii="宋体" w:hAnsi="宋体" w:eastAsia="宋体"/>
          <w:sz w:val="24"/>
          <w:szCs w:val="24"/>
        </w:rPr>
        <w:t>二、苏州市中级人民法院裁判要旨</w:t>
      </w:r>
    </w:p>
    <w:p>
      <w:pPr>
        <w:spacing w:before="156" w:beforeLines="50" w:beforeAutospacing="0" w:after="156" w:afterLines="50" w:afterAutospacing="0" w:line="360" w:lineRule="auto"/>
        <w:ind w:firstLine="480" w:firstLineChars="200"/>
        <w:rPr>
          <w:rFonts w:ascii="宋体" w:hAnsi="宋体" w:eastAsia="宋体"/>
          <w:szCs w:val="24"/>
        </w:rPr>
      </w:pPr>
      <w:r>
        <w:rPr>
          <w:rFonts w:ascii="宋体" w:hAnsi="宋体" w:eastAsia="宋体"/>
          <w:szCs w:val="24"/>
        </w:rPr>
        <w:t>苏州市中级人民法院维持苏州市姑苏区人民法院一审判决。该法院认为，</w:t>
      </w:r>
      <w:r>
        <w:rPr>
          <w:rFonts w:ascii="宋体" w:hAnsi="宋体" w:eastAsia="宋体"/>
          <w:color w:val="C55A11" w:themeColor="accent2" w:themeShade="BF"/>
          <w:szCs w:val="24"/>
        </w:rPr>
        <w:t>《</w:t>
      </w:r>
      <w:r>
        <w:fldChar w:fldCharType="begin"/>
      </w:r>
      <w:r>
        <w:instrText xml:space="preserve"> HYPERLINK "http://ssfb86.com/index/News/detail/newsid/8483.html" </w:instrText>
      </w:r>
      <w:r>
        <w:fldChar w:fldCharType="separate"/>
      </w:r>
      <w:r>
        <w:rPr>
          <w:rStyle w:val="8"/>
          <w:rFonts w:ascii="宋体" w:hAnsi="宋体" w:eastAsia="宋体"/>
          <w:color w:val="C55A11" w:themeColor="accent2" w:themeShade="BF"/>
          <w:szCs w:val="24"/>
        </w:rPr>
        <w:t>中华人民共和国行政处罚法</w:t>
      </w:r>
      <w:r>
        <w:rPr>
          <w:rStyle w:val="8"/>
          <w:rFonts w:ascii="宋体" w:hAnsi="宋体" w:eastAsia="宋体"/>
          <w:color w:val="C55A11" w:themeColor="accent2" w:themeShade="BF"/>
          <w:szCs w:val="24"/>
        </w:rPr>
        <w:fldChar w:fldCharType="end"/>
      </w:r>
      <w:r>
        <w:rPr>
          <w:rFonts w:ascii="宋体" w:hAnsi="宋体" w:eastAsia="宋体"/>
          <w:color w:val="C55A11" w:themeColor="accent2" w:themeShade="BF"/>
          <w:szCs w:val="24"/>
        </w:rPr>
        <w:t>》第四十二条第一款虽然没有明确将“停止出口退（免）税资格”列入应当告知听证权利的范围</w:t>
      </w:r>
      <w:r>
        <w:rPr>
          <w:rFonts w:hint="eastAsia" w:ascii="宋体" w:hAnsi="宋体" w:eastAsia="宋体"/>
          <w:color w:val="C55A11" w:themeColor="accent2" w:themeShade="BF"/>
          <w:szCs w:val="24"/>
        </w:rPr>
        <w:t>，</w:t>
      </w:r>
      <w:r>
        <w:rPr>
          <w:rFonts w:ascii="宋体" w:hAnsi="宋体" w:eastAsia="宋体"/>
          <w:color w:val="C55A11" w:themeColor="accent2" w:themeShade="BF"/>
          <w:szCs w:val="24"/>
        </w:rPr>
        <w:t>但该条中的“等”系不完全列举，应当包括与明文列举的“责令停产停业、吊销许可征或者执照、较大数额罚款”类似的其他对行政相对人权益产生较大影响的行政处罚</w:t>
      </w:r>
      <w:r>
        <w:rPr>
          <w:rFonts w:ascii="宋体" w:hAnsi="宋体" w:eastAsia="宋体"/>
          <w:szCs w:val="24"/>
        </w:rPr>
        <w:t>。本案中，对于ZC公司这样的外贸企业来说，停止出口退（免）税权两年无疑会对公司的经营能力产生重大影响，从维护行政相对人合法权益、保障行政处罚合法性和合理性的角度出发，应当赋子ZC公司</w:t>
      </w:r>
      <w:r>
        <w:rPr>
          <w:rFonts w:hint="eastAsia" w:ascii="宋体" w:hAnsi="宋体" w:eastAsia="宋体"/>
          <w:szCs w:val="24"/>
        </w:rPr>
        <w:t>申请听证的权利。其次；（重大税务案件审理办法》</w:t>
      </w:r>
      <w:r>
        <w:rPr>
          <w:rFonts w:ascii="宋体" w:hAnsi="宋体" w:eastAsia="宋体"/>
          <w:szCs w:val="24"/>
        </w:rPr>
        <w:t>（</w:t>
      </w:r>
      <w:r>
        <w:fldChar w:fldCharType="begin"/>
      </w:r>
      <w:r>
        <w:instrText xml:space="preserve"> HYPERLINK "http://ssfb86.com/index/News/detail/newsid/9018.html" </w:instrText>
      </w:r>
      <w:r>
        <w:fldChar w:fldCharType="separate"/>
      </w:r>
      <w:r>
        <w:rPr>
          <w:rStyle w:val="8"/>
          <w:rFonts w:ascii="宋体" w:hAnsi="宋体" w:eastAsia="宋体"/>
          <w:szCs w:val="24"/>
        </w:rPr>
        <w:t>国家税务总局令第34号</w:t>
      </w:r>
      <w:r>
        <w:rPr>
          <w:rStyle w:val="8"/>
          <w:rFonts w:ascii="宋体" w:hAnsi="宋体" w:eastAsia="宋体"/>
          <w:szCs w:val="24"/>
        </w:rPr>
        <w:fldChar w:fldCharType="end"/>
      </w:r>
      <w:r>
        <w:rPr>
          <w:rFonts w:ascii="宋体" w:hAnsi="宋体" w:eastAsia="宋体"/>
          <w:szCs w:val="24"/>
        </w:rPr>
        <w:t>）第十四条第二款规定，当事人要求听证的，由稽查局组织听证。第十五条第一款规定，稽查局提请审理委员会审理案件，应当提交税务稽查报告、听证材料等案件材料。</w:t>
      </w:r>
      <w:r>
        <w:rPr>
          <w:rFonts w:ascii="宋体" w:hAnsi="宋体" w:eastAsia="宋体"/>
          <w:color w:val="C55A11" w:themeColor="accent2" w:themeShade="BF"/>
          <w:szCs w:val="24"/>
        </w:rPr>
        <w:t>由此可知在重大税务案件提请审理委员会审理之前，税务稽查部门应当告知相对人享有申请听证的权利，并将听证材料一并向审理委员会提交</w:t>
      </w:r>
      <w:r>
        <w:rPr>
          <w:rFonts w:ascii="宋体" w:hAnsi="宋体" w:eastAsia="宋体"/>
          <w:szCs w:val="24"/>
        </w:rPr>
        <w:t>。本案中，被诉行政处罚决定是经过重大税务案件审理委员会集体讨论作出，稽查局理应</w:t>
      </w:r>
      <w:r>
        <w:rPr>
          <w:rFonts w:hint="eastAsia" w:ascii="宋体" w:hAnsi="宋体" w:eastAsia="宋体"/>
          <w:szCs w:val="24"/>
        </w:rPr>
        <w:t>告</w:t>
      </w:r>
      <w:r>
        <w:rPr>
          <w:rFonts w:ascii="宋体" w:hAnsi="宋体" w:eastAsia="宋体"/>
          <w:szCs w:val="24"/>
        </w:rPr>
        <w:t>知ZC公司有要求听证的权利，在未告知听证权利的情况下即提请审理委员会审理并作出处罚决定</w:t>
      </w:r>
      <w:r>
        <w:rPr>
          <w:rFonts w:hint="eastAsia" w:ascii="宋体" w:hAnsi="宋体" w:eastAsia="宋体"/>
          <w:szCs w:val="24"/>
        </w:rPr>
        <w:t>，违反法定程序。</w:t>
      </w:r>
    </w:p>
    <w:p>
      <w:pPr>
        <w:spacing w:before="156" w:beforeLines="50" w:beforeAutospacing="0" w:after="156" w:afterLines="50" w:afterAutospacing="0" w:line="360" w:lineRule="auto"/>
        <w:ind w:firstLine="480" w:firstLineChars="200"/>
        <w:rPr>
          <w:rFonts w:ascii="宋体" w:hAnsi="宋体" w:eastAsia="宋体"/>
          <w:szCs w:val="24"/>
        </w:rPr>
      </w:pPr>
    </w:p>
    <w:p>
      <w:pPr>
        <w:spacing w:before="156" w:beforeLines="50" w:beforeAutospacing="0" w:after="156" w:afterLines="50" w:afterAutospacing="0" w:line="360" w:lineRule="auto"/>
        <w:ind w:firstLine="480" w:firstLineChars="200"/>
        <w:rPr>
          <w:rFonts w:ascii="楷体" w:hAnsi="楷体" w:eastAsia="楷体"/>
          <w:szCs w:val="24"/>
        </w:rPr>
      </w:pPr>
      <w:bookmarkStart w:id="1" w:name="_Hlk94812305"/>
      <w:r>
        <w:rPr>
          <w:rFonts w:hint="eastAsia" w:ascii="楷体" w:hAnsi="楷体" w:eastAsia="楷体"/>
          <w:szCs w:val="24"/>
        </w:rPr>
        <w:t>【</w:t>
      </w:r>
      <w:r>
        <w:rPr>
          <w:rFonts w:hint="eastAsia" w:ascii="楷体" w:hAnsi="楷体" w:eastAsia="楷体"/>
          <w:color w:val="0070C0"/>
          <w:szCs w:val="24"/>
        </w:rPr>
        <w:t>提示：税务行政执法，被法院判决程序违法后，税务机关仍可重新作出具体行政行为</w:t>
      </w:r>
      <w:r>
        <w:rPr>
          <w:rFonts w:hint="eastAsia" w:ascii="楷体" w:hAnsi="楷体" w:eastAsia="楷体"/>
          <w:szCs w:val="24"/>
        </w:rPr>
        <w:t>！】</w:t>
      </w:r>
    </w:p>
    <w:bookmarkEnd w:id="1"/>
    <w:p>
      <w:pPr>
        <w:spacing w:before="156" w:beforeLines="50" w:beforeAutospacing="0" w:after="156" w:afterLines="50" w:afterAutospacing="0" w:line="360" w:lineRule="auto"/>
        <w:ind w:firstLine="480" w:firstLineChars="200"/>
        <w:rPr>
          <w:rFonts w:hint="eastAsia" w:ascii="楷体" w:hAnsi="楷体" w:eastAsia="楷体"/>
          <w:szCs w:val="24"/>
        </w:rPr>
      </w:pPr>
    </w:p>
    <w:p>
      <w:pPr>
        <w:spacing w:before="156" w:beforeLines="50" w:beforeAutospacing="0" w:after="156" w:afterLines="50" w:afterAutospacing="0" w:line="360" w:lineRule="auto"/>
        <w:ind w:firstLine="480" w:firstLineChars="200"/>
        <w:rPr>
          <w:rFonts w:ascii="楷体" w:hAnsi="楷体" w:eastAsia="楷体"/>
          <w:szCs w:val="24"/>
        </w:rPr>
      </w:pPr>
    </w:p>
    <w:p>
      <w:pPr>
        <w:spacing w:before="156" w:beforeLines="50" w:beforeAutospacing="0" w:after="156" w:afterLines="50" w:afterAutospacing="0" w:line="360" w:lineRule="auto"/>
        <w:ind w:firstLine="480" w:firstLineChars="200"/>
        <w:rPr>
          <w:rFonts w:hint="eastAsia" w:ascii="楷体" w:hAnsi="楷体" w:eastAsia="楷体"/>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47B"/>
    <w:rsid w:val="00016CCE"/>
    <w:rsid w:val="00022D55"/>
    <w:rsid w:val="00032E3D"/>
    <w:rsid w:val="00040270"/>
    <w:rsid w:val="00043834"/>
    <w:rsid w:val="00050B5C"/>
    <w:rsid w:val="00050E62"/>
    <w:rsid w:val="000568DE"/>
    <w:rsid w:val="00065BA9"/>
    <w:rsid w:val="000731B6"/>
    <w:rsid w:val="000828D5"/>
    <w:rsid w:val="00093ACC"/>
    <w:rsid w:val="00100939"/>
    <w:rsid w:val="0010174F"/>
    <w:rsid w:val="00120194"/>
    <w:rsid w:val="0012421B"/>
    <w:rsid w:val="00126C60"/>
    <w:rsid w:val="00167234"/>
    <w:rsid w:val="0018253C"/>
    <w:rsid w:val="00183FED"/>
    <w:rsid w:val="00186ECF"/>
    <w:rsid w:val="001D0127"/>
    <w:rsid w:val="001D3F4D"/>
    <w:rsid w:val="001F7041"/>
    <w:rsid w:val="00221EDC"/>
    <w:rsid w:val="0022440A"/>
    <w:rsid w:val="002479E5"/>
    <w:rsid w:val="00255106"/>
    <w:rsid w:val="002A2733"/>
    <w:rsid w:val="002B299C"/>
    <w:rsid w:val="002B4073"/>
    <w:rsid w:val="002D373B"/>
    <w:rsid w:val="002E29FC"/>
    <w:rsid w:val="002F419C"/>
    <w:rsid w:val="00306CDF"/>
    <w:rsid w:val="00307CB1"/>
    <w:rsid w:val="003450B5"/>
    <w:rsid w:val="00364430"/>
    <w:rsid w:val="00383A87"/>
    <w:rsid w:val="003B300E"/>
    <w:rsid w:val="003D6DAF"/>
    <w:rsid w:val="003F714A"/>
    <w:rsid w:val="0040239C"/>
    <w:rsid w:val="004062A4"/>
    <w:rsid w:val="00412A5E"/>
    <w:rsid w:val="00427EEE"/>
    <w:rsid w:val="004326F7"/>
    <w:rsid w:val="004569F4"/>
    <w:rsid w:val="004679BB"/>
    <w:rsid w:val="004740C5"/>
    <w:rsid w:val="004748DC"/>
    <w:rsid w:val="00493D98"/>
    <w:rsid w:val="004A5E3E"/>
    <w:rsid w:val="004A6C2B"/>
    <w:rsid w:val="004C171E"/>
    <w:rsid w:val="004D0CC9"/>
    <w:rsid w:val="004D2FA3"/>
    <w:rsid w:val="004D4EF8"/>
    <w:rsid w:val="004E32FA"/>
    <w:rsid w:val="004E76FD"/>
    <w:rsid w:val="00525169"/>
    <w:rsid w:val="005313D8"/>
    <w:rsid w:val="00541787"/>
    <w:rsid w:val="00545DF8"/>
    <w:rsid w:val="00550878"/>
    <w:rsid w:val="005A11B0"/>
    <w:rsid w:val="005B1EC2"/>
    <w:rsid w:val="005C5071"/>
    <w:rsid w:val="0060104E"/>
    <w:rsid w:val="00624DCA"/>
    <w:rsid w:val="00625239"/>
    <w:rsid w:val="00625311"/>
    <w:rsid w:val="00635D1C"/>
    <w:rsid w:val="00652C01"/>
    <w:rsid w:val="00660828"/>
    <w:rsid w:val="00663E5B"/>
    <w:rsid w:val="00676A40"/>
    <w:rsid w:val="00682742"/>
    <w:rsid w:val="00687828"/>
    <w:rsid w:val="006917CA"/>
    <w:rsid w:val="006A1A52"/>
    <w:rsid w:val="006C209F"/>
    <w:rsid w:val="006D16C6"/>
    <w:rsid w:val="006E357B"/>
    <w:rsid w:val="006E3E26"/>
    <w:rsid w:val="006E49CF"/>
    <w:rsid w:val="006E76EE"/>
    <w:rsid w:val="006F0380"/>
    <w:rsid w:val="0070349D"/>
    <w:rsid w:val="00720F29"/>
    <w:rsid w:val="00721B5A"/>
    <w:rsid w:val="007440D2"/>
    <w:rsid w:val="00752CF1"/>
    <w:rsid w:val="0077120C"/>
    <w:rsid w:val="00783C34"/>
    <w:rsid w:val="007941D7"/>
    <w:rsid w:val="007969AE"/>
    <w:rsid w:val="007A4003"/>
    <w:rsid w:val="007A6F96"/>
    <w:rsid w:val="007B1337"/>
    <w:rsid w:val="007C0D6A"/>
    <w:rsid w:val="007E479C"/>
    <w:rsid w:val="007F10A1"/>
    <w:rsid w:val="00824111"/>
    <w:rsid w:val="00833504"/>
    <w:rsid w:val="00840B39"/>
    <w:rsid w:val="008444D3"/>
    <w:rsid w:val="0085176F"/>
    <w:rsid w:val="00851D05"/>
    <w:rsid w:val="00870D2E"/>
    <w:rsid w:val="00870EEF"/>
    <w:rsid w:val="00893040"/>
    <w:rsid w:val="008C45BD"/>
    <w:rsid w:val="008F65F4"/>
    <w:rsid w:val="008F765D"/>
    <w:rsid w:val="00920A9C"/>
    <w:rsid w:val="00922D28"/>
    <w:rsid w:val="00935BF3"/>
    <w:rsid w:val="009433C9"/>
    <w:rsid w:val="00945251"/>
    <w:rsid w:val="00947280"/>
    <w:rsid w:val="00962DAE"/>
    <w:rsid w:val="00974FFF"/>
    <w:rsid w:val="00986FCA"/>
    <w:rsid w:val="009A47F3"/>
    <w:rsid w:val="009C660E"/>
    <w:rsid w:val="009D3757"/>
    <w:rsid w:val="009E03FC"/>
    <w:rsid w:val="009E5431"/>
    <w:rsid w:val="009E7A4A"/>
    <w:rsid w:val="00A2160E"/>
    <w:rsid w:val="00A2487D"/>
    <w:rsid w:val="00A24AE0"/>
    <w:rsid w:val="00A45E2B"/>
    <w:rsid w:val="00A5447B"/>
    <w:rsid w:val="00A62E79"/>
    <w:rsid w:val="00AB4705"/>
    <w:rsid w:val="00AE3ECF"/>
    <w:rsid w:val="00AF0236"/>
    <w:rsid w:val="00B00B6D"/>
    <w:rsid w:val="00B02133"/>
    <w:rsid w:val="00B0506B"/>
    <w:rsid w:val="00B123D6"/>
    <w:rsid w:val="00B34591"/>
    <w:rsid w:val="00B46459"/>
    <w:rsid w:val="00B47B0C"/>
    <w:rsid w:val="00B514B3"/>
    <w:rsid w:val="00B5677A"/>
    <w:rsid w:val="00B938E8"/>
    <w:rsid w:val="00B93FD3"/>
    <w:rsid w:val="00B954BC"/>
    <w:rsid w:val="00BA3407"/>
    <w:rsid w:val="00BA66BD"/>
    <w:rsid w:val="00BB5115"/>
    <w:rsid w:val="00BB63A7"/>
    <w:rsid w:val="00BB7B96"/>
    <w:rsid w:val="00BF4F96"/>
    <w:rsid w:val="00C01FBF"/>
    <w:rsid w:val="00C02733"/>
    <w:rsid w:val="00C148C3"/>
    <w:rsid w:val="00C22DA0"/>
    <w:rsid w:val="00C358D7"/>
    <w:rsid w:val="00C52768"/>
    <w:rsid w:val="00C556F9"/>
    <w:rsid w:val="00C64F1F"/>
    <w:rsid w:val="00C87654"/>
    <w:rsid w:val="00C96C5C"/>
    <w:rsid w:val="00CA7FCD"/>
    <w:rsid w:val="00CB153A"/>
    <w:rsid w:val="00CB4754"/>
    <w:rsid w:val="00CE2EB7"/>
    <w:rsid w:val="00CF4530"/>
    <w:rsid w:val="00D04BB0"/>
    <w:rsid w:val="00D25BAC"/>
    <w:rsid w:val="00D34820"/>
    <w:rsid w:val="00D3501C"/>
    <w:rsid w:val="00D431CD"/>
    <w:rsid w:val="00D45446"/>
    <w:rsid w:val="00D5327B"/>
    <w:rsid w:val="00D5377F"/>
    <w:rsid w:val="00D5630C"/>
    <w:rsid w:val="00D629EB"/>
    <w:rsid w:val="00D666A9"/>
    <w:rsid w:val="00D721FC"/>
    <w:rsid w:val="00D96D98"/>
    <w:rsid w:val="00DA07EF"/>
    <w:rsid w:val="00DA4151"/>
    <w:rsid w:val="00DB404D"/>
    <w:rsid w:val="00DB6F35"/>
    <w:rsid w:val="00DC2D92"/>
    <w:rsid w:val="00DE7549"/>
    <w:rsid w:val="00E043EE"/>
    <w:rsid w:val="00E059F6"/>
    <w:rsid w:val="00E4707A"/>
    <w:rsid w:val="00E51C11"/>
    <w:rsid w:val="00E6119F"/>
    <w:rsid w:val="00E621B3"/>
    <w:rsid w:val="00E86883"/>
    <w:rsid w:val="00E95299"/>
    <w:rsid w:val="00E96E31"/>
    <w:rsid w:val="00EA1047"/>
    <w:rsid w:val="00EA1817"/>
    <w:rsid w:val="00EB4965"/>
    <w:rsid w:val="00ED3216"/>
    <w:rsid w:val="00EF4245"/>
    <w:rsid w:val="00F3495D"/>
    <w:rsid w:val="00F41CB9"/>
    <w:rsid w:val="00F5520A"/>
    <w:rsid w:val="00F6190D"/>
    <w:rsid w:val="00F61988"/>
    <w:rsid w:val="00F77827"/>
    <w:rsid w:val="00F854DA"/>
    <w:rsid w:val="00FA38A9"/>
    <w:rsid w:val="00FB7617"/>
    <w:rsid w:val="00FF1924"/>
    <w:rsid w:val="40C56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312" w:lineRule="auto"/>
      <w:jc w:val="both"/>
    </w:pPr>
    <w:rPr>
      <w:rFonts w:ascii="仿宋" w:hAnsi="仿宋" w:eastAsia="仿宋" w:cstheme="minorBidi"/>
      <w:kern w:val="2"/>
      <w:sz w:val="24"/>
      <w:szCs w:val="28"/>
      <w:lang w:val="en-US" w:eastAsia="zh-CN" w:bidi="ar-SA"/>
    </w:rPr>
  </w:style>
  <w:style w:type="paragraph" w:styleId="2">
    <w:name w:val="heading 1"/>
    <w:basedOn w:val="1"/>
    <w:next w:val="1"/>
    <w:link w:val="9"/>
    <w:qFormat/>
    <w:uiPriority w:val="9"/>
    <w:pPr>
      <w:jc w:val="center"/>
      <w:outlineLvl w:val="0"/>
    </w:pPr>
    <w:rPr>
      <w:b/>
      <w:bCs/>
      <w:sz w:val="36"/>
      <w:szCs w:val="40"/>
    </w:rPr>
  </w:style>
  <w:style w:type="paragraph" w:styleId="3">
    <w:name w:val="heading 2"/>
    <w:basedOn w:val="1"/>
    <w:next w:val="1"/>
    <w:link w:val="1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line="240" w:lineRule="auto"/>
      <w:jc w:val="left"/>
    </w:pPr>
    <w:rPr>
      <w:rFonts w:ascii="宋体" w:hAnsi="宋体" w:eastAsia="宋体" w:cs="宋体"/>
      <w:kern w:val="0"/>
      <w:szCs w:val="24"/>
    </w:rPr>
  </w:style>
  <w:style w:type="character" w:styleId="7">
    <w:name w:val="FollowedHyperlink"/>
    <w:basedOn w:val="6"/>
    <w:semiHidden/>
    <w:unhideWhenUsed/>
    <w:uiPriority w:val="99"/>
    <w:rPr>
      <w:color w:val="954F72" w:themeColor="followedHyperlink"/>
      <w:u w:val="single"/>
      <w14:textFill>
        <w14:solidFill>
          <w14:schemeClr w14:val="folHlink"/>
        </w14:solidFill>
      </w14:textFill>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9">
    <w:name w:val="标题 1 字符"/>
    <w:basedOn w:val="6"/>
    <w:link w:val="2"/>
    <w:qFormat/>
    <w:uiPriority w:val="9"/>
    <w:rPr>
      <w:rFonts w:ascii="仿宋" w:hAnsi="仿宋" w:eastAsia="仿宋"/>
      <w:b/>
      <w:bCs/>
      <w:sz w:val="36"/>
      <w:szCs w:val="40"/>
    </w:rPr>
  </w:style>
  <w:style w:type="paragraph" w:styleId="10">
    <w:name w:val="No Spacing"/>
    <w:qFormat/>
    <w:uiPriority w:val="1"/>
    <w:pPr>
      <w:spacing w:before="0" w:beforeAutospacing="0" w:after="0" w:afterAutospacing="0" w:line="240" w:lineRule="auto"/>
    </w:pPr>
    <w:rPr>
      <w:rFonts w:asciiTheme="minorHAnsi" w:hAnsiTheme="minorHAnsi" w:eastAsiaTheme="minorEastAsia" w:cstheme="minorBidi"/>
      <w:kern w:val="2"/>
      <w:sz w:val="21"/>
      <w:szCs w:val="22"/>
      <w:lang w:val="en-US" w:eastAsia="zh-CN" w:bidi="ar-SA"/>
    </w:rPr>
  </w:style>
  <w:style w:type="character" w:customStyle="1" w:styleId="11">
    <w:name w:val="标题 2 字符"/>
    <w:basedOn w:val="6"/>
    <w:link w:val="3"/>
    <w:qFormat/>
    <w:uiPriority w:val="9"/>
    <w:rPr>
      <w:rFonts w:asciiTheme="majorHAnsi" w:hAnsiTheme="majorHAnsi" w:eastAsiaTheme="majorEastAsia" w:cstheme="majorBidi"/>
      <w:b/>
      <w:bCs/>
      <w:sz w:val="32"/>
      <w:szCs w:val="32"/>
    </w:rPr>
  </w:style>
  <w:style w:type="character" w:customStyle="1" w:styleId="12">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422</Words>
  <Characters>2407</Characters>
  <Lines>20</Lines>
  <Paragraphs>5</Paragraphs>
  <TotalTime>2</TotalTime>
  <ScaleCrop>false</ScaleCrop>
  <LinksUpToDate>false</LinksUpToDate>
  <CharactersWithSpaces>2824</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2022-01-17T12:45:00Z</dcterms:created>
  <dc:creator>A2949</dc:creator>
  <cp:lastModifiedBy>默默</cp:lastModifiedBy>
  <dcterms:modified xsi:type="dcterms:W3CDTF">2022-02-14T22:34:19Z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