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9183C" w:rsidRDefault="00911777" w:rsidP="0099183C">
      <w:pPr>
        <w:spacing w:beforeLines="50" w:afterLines="50" w:line="360" w:lineRule="auto"/>
        <w:rPr>
          <w:rFonts w:asciiTheme="minorEastAsia" w:hAnsiTheme="minorEastAsia" w:hint="eastAsia"/>
          <w:sz w:val="24"/>
          <w:szCs w:val="24"/>
        </w:rPr>
      </w:pPr>
    </w:p>
    <w:p w:rsidR="0099183C" w:rsidRPr="0099183C" w:rsidRDefault="0099183C" w:rsidP="0099183C">
      <w:pPr>
        <w:spacing w:beforeLines="50" w:afterLines="50" w:line="360" w:lineRule="auto"/>
        <w:jc w:val="center"/>
        <w:rPr>
          <w:rFonts w:asciiTheme="minorEastAsia" w:hAnsiTheme="minorEastAsia"/>
          <w:b/>
          <w:color w:val="E36C0A" w:themeColor="accent6" w:themeShade="BF"/>
          <w:sz w:val="44"/>
          <w:szCs w:val="44"/>
        </w:rPr>
      </w:pPr>
      <w:r w:rsidRPr="0099183C">
        <w:rPr>
          <w:rFonts w:asciiTheme="minorEastAsia" w:hAnsiTheme="minorEastAsia"/>
          <w:b/>
          <w:color w:val="E36C0A" w:themeColor="accent6" w:themeShade="BF"/>
          <w:sz w:val="44"/>
          <w:szCs w:val="44"/>
        </w:rPr>
        <w:t>关于维护新就业形态劳动者劳动保障权益的指导意见</w:t>
      </w:r>
    </w:p>
    <w:p w:rsidR="0099183C" w:rsidRPr="0099183C" w:rsidRDefault="0099183C" w:rsidP="0099183C">
      <w:pPr>
        <w:spacing w:beforeLines="50" w:afterLines="50" w:line="360" w:lineRule="auto"/>
        <w:rPr>
          <w:rFonts w:asciiTheme="minorEastAsia" w:hAnsiTheme="minorEastAsia" w:hint="eastAsia"/>
          <w:sz w:val="24"/>
          <w:szCs w:val="24"/>
        </w:rPr>
      </w:pPr>
    </w:p>
    <w:p w:rsidR="0099183C" w:rsidRPr="0099183C" w:rsidRDefault="0000689F" w:rsidP="0099183C">
      <w:pPr>
        <w:pStyle w:val="p0"/>
        <w:spacing w:beforeLines="50" w:beforeAutospacing="0" w:afterLines="50" w:afterAutospacing="0" w:line="360" w:lineRule="auto"/>
        <w:jc w:val="center"/>
        <w:rPr>
          <w:rFonts w:asciiTheme="minorEastAsia" w:eastAsiaTheme="minorEastAsia" w:hAnsiTheme="minorEastAsia" w:hint="eastAsia"/>
        </w:rPr>
      </w:pPr>
      <w:hyperlink r:id="rId6" w:history="1">
        <w:r w:rsidR="0099183C" w:rsidRPr="0000689F">
          <w:rPr>
            <w:rStyle w:val="a6"/>
            <w:rFonts w:asciiTheme="minorEastAsia" w:eastAsiaTheme="minorEastAsia" w:hAnsiTheme="minorEastAsia"/>
          </w:rPr>
          <w:t>人社部发〔2021〕56号</w:t>
        </w:r>
      </w:hyperlink>
    </w:p>
    <w:p w:rsidR="0099183C" w:rsidRPr="0099183C" w:rsidRDefault="0099183C" w:rsidP="0099183C">
      <w:pPr>
        <w:spacing w:beforeLines="50" w:afterLines="50" w:line="360" w:lineRule="auto"/>
        <w:rPr>
          <w:rFonts w:asciiTheme="minorEastAsia" w:hAnsiTheme="minorEastAsia" w:hint="eastAsia"/>
          <w:sz w:val="24"/>
          <w:szCs w:val="24"/>
        </w:rPr>
      </w:pPr>
    </w:p>
    <w:p w:rsidR="0099183C" w:rsidRPr="00EE26AE" w:rsidRDefault="0099183C" w:rsidP="0000689F">
      <w:pPr>
        <w:pStyle w:val="p0"/>
        <w:spacing w:beforeLines="50" w:beforeAutospacing="0" w:afterLines="50" w:afterAutospacing="0" w:line="360" w:lineRule="auto"/>
        <w:jc w:val="both"/>
        <w:rPr>
          <w:rFonts w:asciiTheme="minorEastAsia" w:eastAsiaTheme="minorEastAsia" w:hAnsiTheme="minorEastAsia"/>
        </w:rPr>
      </w:pPr>
      <w:r w:rsidRPr="00EE26AE">
        <w:rPr>
          <w:rFonts w:asciiTheme="minorEastAsia" w:eastAsiaTheme="minorEastAsia" w:hAnsiTheme="minorEastAsia" w:hint="eastAsia"/>
        </w:rPr>
        <w:t>各省、自治区、直辖市人民政府、高级人民法院、总工会，新疆生产建设兵团，新疆维吾尔自治区高级人民法院生产建设兵团分院，新疆生产建设兵团总工会：</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近年来，平台经济迅速发展，创造了大量就业机会，依托互联网平台就业的网约配送员、网约车驾驶员、货车司机、互联网营销师等新就业形态劳动者数量大幅增加，维护劳动者劳动保障权益面临新情况新问题。为深入贯彻落实党中央、国务院决策部署，支持和规范发展新就业形态，切实维护新就业形态劳动者劳动保障权益，促进平台经济规范健康持续发展，经国务院同意，现提出以下意见：</w:t>
      </w:r>
    </w:p>
    <w:p w:rsidR="0099183C" w:rsidRPr="00EE26AE" w:rsidRDefault="0099183C" w:rsidP="0000689F">
      <w:pPr>
        <w:pStyle w:val="1"/>
        <w:spacing w:before="50" w:beforeAutospacing="0" w:after="50" w:afterAutospacing="0" w:line="360" w:lineRule="auto"/>
        <w:ind w:firstLineChars="196" w:firstLine="472"/>
        <w:rPr>
          <w:sz w:val="24"/>
          <w:szCs w:val="24"/>
        </w:rPr>
      </w:pPr>
      <w:r w:rsidRPr="00EE26AE">
        <w:rPr>
          <w:rFonts w:hint="eastAsia"/>
          <w:sz w:val="24"/>
          <w:szCs w:val="24"/>
        </w:rPr>
        <w:t>一、规范用工，明确劳动者权益保障责任</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一）指导和督促企业依法合规用工，积极履行用工责任，稳定劳动者队伍。主动关心关爱劳动者，努力改善劳动条件，拓展职业发展空间，逐步提高劳动者权益保障水平。培育健康向上的企业文化，推动劳动者共享企业发展成果。</w:t>
      </w:r>
    </w:p>
    <w:p w:rsidR="0099183C" w:rsidRDefault="0099183C" w:rsidP="0000689F">
      <w:pPr>
        <w:pStyle w:val="p0"/>
        <w:spacing w:beforeLines="50" w:beforeAutospacing="0" w:afterLines="50" w:afterAutospacing="0" w:line="360" w:lineRule="auto"/>
        <w:ind w:firstLine="480"/>
        <w:rPr>
          <w:rFonts w:asciiTheme="minorEastAsia" w:eastAsiaTheme="minorEastAsia" w:hAnsiTheme="minorEastAsia" w:hint="eastAsia"/>
        </w:rPr>
      </w:pPr>
      <w:r w:rsidRPr="00EE26AE">
        <w:rPr>
          <w:rFonts w:asciiTheme="minorEastAsia" w:eastAsiaTheme="minorEastAsia" w:hAnsiTheme="minorEastAsia" w:hint="eastAsia"/>
        </w:rPr>
        <w:t>（二）</w:t>
      </w:r>
      <w:r w:rsidRPr="00EA6DA3">
        <w:rPr>
          <w:rFonts w:asciiTheme="minorEastAsia" w:eastAsiaTheme="minorEastAsia" w:hAnsiTheme="minorEastAsia" w:hint="eastAsia"/>
        </w:rPr>
        <w:t>符合确立劳动关系情形的，企业应当依法与劳动者订立劳动合同。</w:t>
      </w:r>
      <w:r w:rsidRPr="0098047C">
        <w:rPr>
          <w:rFonts w:asciiTheme="minorEastAsia" w:eastAsiaTheme="minorEastAsia" w:hAnsiTheme="minorEastAsia" w:hint="eastAsia"/>
          <w:color w:val="E36C0A" w:themeColor="accent6" w:themeShade="BF"/>
        </w:rPr>
        <w:t>不完全符合确立劳动关系情形但企业对劳动者进行劳动管理（以下简称不完全符合确立劳动关系情形）的，指导企业与劳动者订立书面协议，合理确定企业与劳动者的权利义务</w:t>
      </w:r>
      <w:r w:rsidRPr="00EE26AE">
        <w:rPr>
          <w:rFonts w:asciiTheme="minorEastAsia" w:eastAsiaTheme="minorEastAsia" w:hAnsiTheme="minorEastAsia" w:hint="eastAsia"/>
        </w:rPr>
        <w:t>。个人</w:t>
      </w:r>
      <w:r w:rsidRPr="00EA6DA3">
        <w:rPr>
          <w:rFonts w:asciiTheme="minorEastAsia" w:eastAsiaTheme="minorEastAsia" w:hAnsiTheme="minorEastAsia" w:hint="eastAsia"/>
          <w:color w:val="E36C0A" w:themeColor="accent6" w:themeShade="BF"/>
        </w:rPr>
        <w:t>依托平台自主开展经营活动、从事自由职业等，按照民事法律调整双方的权利义务</w:t>
      </w:r>
      <w:r w:rsidRPr="00EE26AE">
        <w:rPr>
          <w:rFonts w:asciiTheme="minorEastAsia" w:eastAsiaTheme="minorEastAsia" w:hAnsiTheme="minorEastAsia" w:hint="eastAsia"/>
        </w:rPr>
        <w:t>。</w:t>
      </w:r>
    </w:p>
    <w:p w:rsidR="0098047C" w:rsidRPr="00EA6DA3" w:rsidRDefault="0098047C" w:rsidP="00EA6DA3">
      <w:pPr>
        <w:pStyle w:val="a7"/>
        <w:shd w:val="clear" w:color="auto" w:fill="FFFFFF"/>
        <w:spacing w:beforeLines="50" w:beforeAutospacing="0" w:afterLines="50" w:afterAutospacing="0" w:line="360" w:lineRule="auto"/>
        <w:ind w:firstLine="480"/>
        <w:rPr>
          <w:rFonts w:ascii="楷体" w:eastAsia="楷体" w:hAnsi="楷体" w:hint="eastAsia"/>
          <w:color w:val="0070C0"/>
        </w:rPr>
      </w:pPr>
      <w:r w:rsidRPr="00EA6DA3">
        <w:rPr>
          <w:rFonts w:ascii="楷体" w:eastAsia="楷体" w:hAnsi="楷体" w:hint="eastAsia"/>
          <w:color w:val="0070C0"/>
        </w:rPr>
        <w:t>【思考：哪些属于符合确立劳动关系的情形？——参见</w:t>
      </w:r>
      <w:r w:rsidR="00A863E9" w:rsidRPr="00EA6DA3">
        <w:rPr>
          <w:rFonts w:ascii="楷体" w:eastAsia="楷体" w:hAnsi="楷体" w:hint="eastAsia"/>
          <w:color w:val="0070C0"/>
        </w:rPr>
        <w:t>：</w:t>
      </w:r>
      <w:hyperlink r:id="rId7" w:history="1">
        <w:r w:rsidR="00A863E9" w:rsidRPr="00EA6DA3">
          <w:rPr>
            <w:rStyle w:val="a6"/>
            <w:rFonts w:ascii="楷体" w:eastAsia="楷体" w:hAnsi="楷体"/>
            <w:color w:val="0070C0"/>
          </w:rPr>
          <w:t>关于确立劳动关系有关事项的通知</w:t>
        </w:r>
      </w:hyperlink>
      <w:r w:rsidRPr="00EA6DA3">
        <w:rPr>
          <w:rFonts w:ascii="楷体" w:eastAsia="楷体" w:hAnsi="楷体" w:hint="eastAsia"/>
          <w:color w:val="0070C0"/>
        </w:rPr>
        <w:t>】</w:t>
      </w:r>
    </w:p>
    <w:p w:rsidR="00EA6DA3" w:rsidRPr="00EA6DA3" w:rsidRDefault="00EA6DA3" w:rsidP="00EA6DA3">
      <w:pPr>
        <w:pStyle w:val="a7"/>
        <w:shd w:val="clear" w:color="auto" w:fill="FFFFFF"/>
        <w:spacing w:beforeLines="50" w:beforeAutospacing="0" w:afterLines="50" w:afterAutospacing="0" w:line="360" w:lineRule="auto"/>
        <w:ind w:firstLine="480"/>
        <w:rPr>
          <w:rFonts w:ascii="楷体" w:eastAsia="楷体" w:hAnsi="楷体" w:hint="eastAsia"/>
        </w:rPr>
      </w:pPr>
      <w:r w:rsidRPr="00EA6DA3">
        <w:rPr>
          <w:rFonts w:ascii="楷体" w:eastAsia="楷体" w:hAnsi="楷体" w:hint="eastAsia"/>
          <w:color w:val="0070C0"/>
        </w:rPr>
        <w:lastRenderedPageBreak/>
        <w:t>【思考：不完全符合确立劳动关系情形，企业与劳动者签订什么形式的书面协议？】</w:t>
      </w:r>
    </w:p>
    <w:p w:rsidR="0098047C" w:rsidRPr="0098047C" w:rsidRDefault="0098047C" w:rsidP="0000689F">
      <w:pPr>
        <w:pStyle w:val="p0"/>
        <w:spacing w:beforeLines="50" w:beforeAutospacing="0" w:afterLines="50" w:afterAutospacing="0" w:line="360" w:lineRule="auto"/>
        <w:ind w:firstLine="480"/>
        <w:rPr>
          <w:rFonts w:ascii="楷体" w:eastAsia="楷体" w:hAnsi="楷体"/>
        </w:rPr>
      </w:pPr>
    </w:p>
    <w:p w:rsidR="0099183C" w:rsidRDefault="0099183C" w:rsidP="0000689F">
      <w:pPr>
        <w:pStyle w:val="p0"/>
        <w:spacing w:beforeLines="50" w:beforeAutospacing="0" w:afterLines="50" w:afterAutospacing="0" w:line="360" w:lineRule="auto"/>
        <w:ind w:firstLine="480"/>
        <w:rPr>
          <w:rFonts w:asciiTheme="minorEastAsia" w:eastAsiaTheme="minorEastAsia" w:hAnsiTheme="minorEastAsia" w:hint="eastAsia"/>
        </w:rPr>
      </w:pPr>
      <w:r w:rsidRPr="00EE26AE">
        <w:rPr>
          <w:rFonts w:asciiTheme="minorEastAsia" w:eastAsiaTheme="minorEastAsia" w:hAnsiTheme="minorEastAsia" w:hint="eastAsia"/>
        </w:rPr>
        <w:t>（三）平台企业采取劳务派遣等合作用工方式组织劳动者完成平台工作的，应选择具备合法经营资质的企业，并对其保障劳动者权益情况进行监督。</w:t>
      </w:r>
      <w:r w:rsidRPr="003A436E">
        <w:rPr>
          <w:rFonts w:asciiTheme="minorEastAsia" w:eastAsiaTheme="minorEastAsia" w:hAnsiTheme="minorEastAsia" w:hint="eastAsia"/>
          <w:b/>
          <w:color w:val="E36C0A" w:themeColor="accent6" w:themeShade="BF"/>
        </w:rPr>
        <w:t>平台企业采用劳务派遣方式用工的，依法履行劳务派遣用工单位责任</w:t>
      </w:r>
      <w:r w:rsidRPr="00EA6DA3">
        <w:rPr>
          <w:rFonts w:asciiTheme="minorEastAsia" w:eastAsiaTheme="minorEastAsia" w:hAnsiTheme="minorEastAsia" w:hint="eastAsia"/>
          <w:color w:val="E36C0A" w:themeColor="accent6" w:themeShade="BF"/>
        </w:rPr>
        <w:t>。对采取外包等其他合作用工方式，劳动者权益受到损害的，</w:t>
      </w:r>
      <w:r w:rsidRPr="003A436E">
        <w:rPr>
          <w:rFonts w:asciiTheme="minorEastAsia" w:eastAsiaTheme="minorEastAsia" w:hAnsiTheme="minorEastAsia" w:hint="eastAsia"/>
          <w:b/>
          <w:color w:val="E36C0A" w:themeColor="accent6" w:themeShade="BF"/>
        </w:rPr>
        <w:t>平台企业依法承担相应责任</w:t>
      </w:r>
      <w:r w:rsidRPr="00EE26AE">
        <w:rPr>
          <w:rFonts w:asciiTheme="minorEastAsia" w:eastAsiaTheme="minorEastAsia" w:hAnsiTheme="minorEastAsia" w:hint="eastAsia"/>
        </w:rPr>
        <w:t>。</w:t>
      </w:r>
    </w:p>
    <w:p w:rsidR="00EA6DA3" w:rsidRPr="00EE26AE" w:rsidRDefault="00EA6DA3" w:rsidP="0000689F">
      <w:pPr>
        <w:pStyle w:val="p0"/>
        <w:spacing w:beforeLines="50" w:beforeAutospacing="0" w:afterLines="50" w:afterAutospacing="0" w:line="360" w:lineRule="auto"/>
        <w:ind w:firstLine="480"/>
        <w:rPr>
          <w:rFonts w:asciiTheme="minorEastAsia" w:eastAsiaTheme="minorEastAsia" w:hAnsiTheme="minorEastAsia"/>
        </w:rPr>
      </w:pPr>
    </w:p>
    <w:p w:rsidR="0099183C" w:rsidRPr="00EE26AE" w:rsidRDefault="0099183C" w:rsidP="0000689F">
      <w:pPr>
        <w:pStyle w:val="1"/>
        <w:spacing w:before="50" w:beforeAutospacing="0" w:after="50" w:afterAutospacing="0" w:line="360" w:lineRule="auto"/>
        <w:ind w:firstLineChars="196" w:firstLine="472"/>
        <w:rPr>
          <w:sz w:val="24"/>
          <w:szCs w:val="24"/>
        </w:rPr>
      </w:pPr>
      <w:r w:rsidRPr="00EE26AE">
        <w:rPr>
          <w:rFonts w:hint="eastAsia"/>
          <w:sz w:val="24"/>
          <w:szCs w:val="24"/>
        </w:rPr>
        <w:t>二、健全制度，补齐劳动者权益保障短板</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（四）落实公平就业制度，消除就业歧视。</w:t>
      </w:r>
      <w:r w:rsidRPr="00EA6DA3">
        <w:rPr>
          <w:rFonts w:asciiTheme="minorEastAsia" w:eastAsiaTheme="minorEastAsia" w:hAnsiTheme="minorEastAsia" w:hint="eastAsia"/>
          <w:color w:val="E36C0A" w:themeColor="accent6" w:themeShade="BF"/>
        </w:rPr>
        <w:t>企业招用劳动者</w:t>
      </w:r>
      <w:r w:rsidRPr="00EE26AE">
        <w:rPr>
          <w:rFonts w:asciiTheme="minorEastAsia" w:eastAsiaTheme="minorEastAsia" w:hAnsiTheme="minorEastAsia" w:hint="eastAsia"/>
        </w:rPr>
        <w:t>不得违法设置性别、民族、年龄等歧视性条件，</w:t>
      </w:r>
      <w:r w:rsidRPr="00EA6DA3">
        <w:rPr>
          <w:rFonts w:asciiTheme="minorEastAsia" w:eastAsiaTheme="minorEastAsia" w:hAnsiTheme="minorEastAsia" w:hint="eastAsia"/>
          <w:color w:val="E36C0A" w:themeColor="accent6" w:themeShade="BF"/>
        </w:rPr>
        <w:t>不得以缴纳保证金、押金或者其他名义向劳动者收取财物，不得违法限制劳动者在多平台就业</w:t>
      </w:r>
      <w:r w:rsidRPr="00EE26AE">
        <w:rPr>
          <w:rFonts w:asciiTheme="minorEastAsia" w:eastAsiaTheme="minorEastAsia" w:hAnsiTheme="minorEastAsia" w:hint="eastAsia"/>
        </w:rPr>
        <w:t>。</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五）健全最低工资和支付保障制度，推动将不完全符合确立劳动关系情形的新就业形态劳动者纳入制度保障范围。督促企业向提供正常劳动的劳动者支付不低于当地最低工资标准的劳动报酬，按时足额支付，不得克扣或者无故拖欠。引导企业建立劳动报酬合理增长机制，逐步提高劳动报酬水平。</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（六）完善休息制度，推动行业明确劳动定员定额标准，科学确定劳动者工作量和劳动强度。督促企业按规定合理确定休息办法，在法定节假日支付高于正常工作时间劳动报酬的合理报酬。</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七）健全并落实劳动安全卫生责任制，严格执行国家劳动安全卫生保护标准。企业要牢固树立安全“红线”意识，不得制定损害劳动者安全健康的考核指标。要严格遵守安全生产相关法律法规，落实全员安全生产责任制，建立健全安全生产规章制度和操作规程，配备必要的劳动安全卫生设施和劳动防护用品，及时对劳动工具的安全和合规状态进行检查，加强安全生产和职业卫生教育培训，重视劳动者身心健康，及时开展心理疏导。强化恶劣天气等特殊情形下的劳动保护，最大限度减少安全生产事故和职业病危害。</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lastRenderedPageBreak/>
        <w:t>（八）完善基本养老保险、医疗保险相关政策，各地要放开灵活就业人员在就业地参加基本养老、基本医疗保险的户籍限制，个别超大型城市难以一步实现的，要结合本地实际，积极创造条件逐步放开。组织未参加职工基本养老、职工基本医疗保险的灵活就业人员，按规定参加城乡居民基本养老、城乡居民基本医疗保险，做到应保尽保。督促企业依法参加社会保险。企业要引导和支持不完全符合确立劳动关系情形的新就业形态劳动者根据自身情况参加相应的社会保险。</w:t>
      </w:r>
    </w:p>
    <w:p w:rsidR="0099183C" w:rsidRPr="00EE26AE" w:rsidRDefault="0099183C" w:rsidP="0000689F">
      <w:pPr>
        <w:pStyle w:val="p0"/>
        <w:spacing w:beforeLines="50" w:beforeAutospacing="0" w:afterLines="50" w:afterAutospacing="0" w:line="360" w:lineRule="auto"/>
        <w:ind w:firstLineChars="200" w:firstLine="480"/>
        <w:rPr>
          <w:rFonts w:asciiTheme="minorEastAsia" w:eastAsiaTheme="minorEastAsia" w:hAnsiTheme="minorEastAsia"/>
        </w:rPr>
      </w:pPr>
      <w:r w:rsidRPr="00EE26AE">
        <w:rPr>
          <w:rFonts w:asciiTheme="minorEastAsia" w:eastAsiaTheme="minorEastAsia" w:hAnsiTheme="minorEastAsia" w:hint="eastAsia"/>
        </w:rPr>
        <w:t>（九）强化职业伤害保障，以出行、外卖、即时配送、同城货运等行业的平台企业为重点，组织开展平台灵活就业人员职业伤害保障试点，平台企业应当按规定参加。采取政府主导、信息化引领和社会力量承办相结合的方式，建立健全职业伤害保障管理服务规范和运行机制。鼓励平台企业通过购买人身意外、雇主责任等商业保险，提升平台灵活就业人员保障水平。</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督促企业制定修订平台进入退出、订单分配、计件单价、抽成比例、报酬构成及支付、工作时间、奖惩等直接涉及劳动者权益的制度规则和平台算法，充分听取工会或劳动者代表的意见建议，将结果公示并告知劳动者。工会或劳动者代表提出协商要求的，企业应当积极响应，并提供必要的信息和资料。指导企业建立健全劳动者申诉机制，保障劳动者的申诉得到及时回应和客观公正处理。</w:t>
      </w:r>
    </w:p>
    <w:p w:rsidR="0099183C" w:rsidRPr="00EE26AE" w:rsidRDefault="0099183C" w:rsidP="0000689F">
      <w:pPr>
        <w:pStyle w:val="1"/>
        <w:spacing w:before="50" w:beforeAutospacing="0" w:after="50" w:afterAutospacing="0" w:line="360" w:lineRule="auto"/>
        <w:ind w:firstLineChars="196" w:firstLine="472"/>
        <w:rPr>
          <w:sz w:val="24"/>
          <w:szCs w:val="24"/>
        </w:rPr>
      </w:pPr>
      <w:r w:rsidRPr="00EE26AE">
        <w:rPr>
          <w:rFonts w:hint="eastAsia"/>
          <w:sz w:val="24"/>
          <w:szCs w:val="24"/>
        </w:rPr>
        <w:t>三、提升效能，优化劳动者权益保障服务</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一）创新方式方法，积极为各类新就业形态劳动者提供个性化职业介绍、职业指导、创业培训等服务，及时发布职业薪酬和行业人工成本信息等，为企业和劳动者提供便捷化的劳动保障、税收、市场监管等政策咨询服务，便利劳动者求职就业和企业招工用工。</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二）优化社会保险经办，探索适合新就业形态的社会保险经办服务模式，在参保缴费、权益查询、待遇领取和结算等方面提供更加便捷的服务，做好社会保险关系转移接续工作，提高社会保险经办服务水平，更好保障参保人员公平享受各项社会保险待遇。</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（十三）建立适合新就业形态劳动者的职业技能培训模式，保障其平等享有培训的权利。对各类新就业形态劳动者在就业地参加职业技能培训的，优化职业</w:t>
      </w:r>
      <w:r w:rsidRPr="00EE26AE">
        <w:rPr>
          <w:rFonts w:asciiTheme="minorEastAsia" w:eastAsiaTheme="minorEastAsia" w:hAnsiTheme="minorEastAsia" w:hint="eastAsia"/>
        </w:rPr>
        <w:lastRenderedPageBreak/>
        <w:t>技能培训补贴申领、发放流程，加大培训补贴资金直补企业工作力度，符合条件的按规定给予职业技能培训补贴。健全职业技能等级制度，支持符合条件的企业按规定开展职业技能等级认定。完善职称评审政策，畅通新就业形态劳动者职称申报评价渠道。</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（十四）加快城市综合服务网点建设，推动在新就业形态劳动者集中居住区、商业区设置临时休息场所，解决停车、充电、饮水、如厕等难题，为新就业形态劳动者提供工作生活便利。</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（十五）保障符合条件的新就业形态劳动者子女在常住地平等接受义务教育的权利。推动公共文体设施向劳动者免费或低收费开放，丰富公共文化产品和服务供给。</w:t>
      </w:r>
    </w:p>
    <w:p w:rsidR="0099183C" w:rsidRPr="00EE26AE" w:rsidRDefault="0099183C" w:rsidP="0000689F">
      <w:pPr>
        <w:pStyle w:val="1"/>
        <w:spacing w:before="50" w:beforeAutospacing="0" w:after="50" w:afterAutospacing="0" w:line="360" w:lineRule="auto"/>
        <w:ind w:firstLineChars="196" w:firstLine="472"/>
        <w:rPr>
          <w:sz w:val="24"/>
          <w:szCs w:val="24"/>
        </w:rPr>
      </w:pPr>
      <w:r w:rsidRPr="00EE26AE">
        <w:rPr>
          <w:rFonts w:hint="eastAsia"/>
          <w:sz w:val="24"/>
          <w:szCs w:val="24"/>
        </w:rPr>
        <w:t>四、齐抓共管，完善劳动者权益保障工作机制</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六）保障新就业形态劳动者权益是稳定就业、改善民生、加强社会治理的重要内容。各地区要加强组织领导，强化责任落实，切实做好新就业形态劳动者权益保障各项工作。人力资源社会保障部、国家发展改革委、交通运输部、应急部、市场监管总局、国家医保局、最高人民法院、全国总工会等部门和单位要认真履行职责，强化工作协同，将保障劳动者权益纳入数字经济协同治理体系，建立平台企业用工情况报告制度，健全劳动者权益保障联合激励惩戒机制，完善相关政策措施和司法解释。    </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七）各级工会组织要加强组织和工作有效覆盖，拓宽维权和服务范围，积极吸纳新就业形态劳动者加入工会。加强对劳动者的思想政治引领，引导劳动者理性合法维权。监督企业履行用工责任，维护好劳动者权益。积极与行业协会、头部企业或企业代表组织开展协商，签订行业集体合同或协议，推动制定行业劳动标准。</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八）各级法院和劳动争议调解仲裁机构要加强劳动争议办案指导，畅通裁审衔接，根据用工事实认定企业和劳动者的关系，依法依规处理新就业形态劳动者劳动保障权益案件。各类调解组织、法律援助机构及其他专业化社会组织要</w:t>
      </w:r>
      <w:r w:rsidRPr="00EE26AE">
        <w:rPr>
          <w:rFonts w:asciiTheme="minorEastAsia" w:eastAsiaTheme="minorEastAsia" w:hAnsiTheme="minorEastAsia" w:hint="eastAsia"/>
        </w:rPr>
        <w:lastRenderedPageBreak/>
        <w:t>依法为新就业形态劳动者提供更加便捷、优质高效的纠纷调解、法律咨询、法律援助等服务。</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十九）各级人力资源社会保障行政部门要加大劳动保障监察力度，督促企业落实新就业形态劳动者权益保障责任，加强治理拖欠劳动报酬、违法超时加班等突出问题，依法维护劳动者权益。各级交通运输、应急、市场监管等职能部门和行业主管部门要规范企业经营行为，加大监管力度，及时约谈、警示、查处侵害劳动者权益的企业。</w:t>
      </w:r>
    </w:p>
    <w:p w:rsidR="0099183C" w:rsidRPr="00EE26AE" w:rsidRDefault="0099183C" w:rsidP="0000689F">
      <w:pPr>
        <w:pStyle w:val="p0"/>
        <w:spacing w:beforeLines="50" w:beforeAutospacing="0" w:afterLines="50" w:afterAutospacing="0" w:line="360" w:lineRule="auto"/>
        <w:ind w:firstLine="480"/>
        <w:rPr>
          <w:rFonts w:asciiTheme="minorEastAsia" w:eastAsiaTheme="minorEastAsia" w:hAnsiTheme="minorEastAsia"/>
        </w:rPr>
      </w:pPr>
      <w:r w:rsidRPr="00EE26AE">
        <w:rPr>
          <w:rFonts w:asciiTheme="minorEastAsia" w:eastAsiaTheme="minorEastAsia" w:hAnsiTheme="minorEastAsia" w:hint="eastAsia"/>
        </w:rPr>
        <w:t>各地区各有关部门要认真落实本意见要求，出台具体实施办法，加强政策宣传，积极引导社会舆论，增强新就业形态劳动者职业荣誉感，努力营造良好环境，确保各项劳动保障权益落到实处。</w:t>
      </w:r>
    </w:p>
    <w:p w:rsidR="0099183C" w:rsidRPr="00EE26AE" w:rsidRDefault="0099183C" w:rsidP="0000689F">
      <w:pPr>
        <w:pStyle w:val="p17"/>
        <w:spacing w:beforeLines="50" w:beforeAutospacing="0" w:afterLines="50" w:afterAutospacing="0" w:line="360" w:lineRule="auto"/>
        <w:rPr>
          <w:rFonts w:asciiTheme="minorEastAsia" w:eastAsiaTheme="minorEastAsia" w:hAnsiTheme="minorEastAsia"/>
        </w:rPr>
      </w:pPr>
      <w:r w:rsidRPr="00EE26AE">
        <w:rPr>
          <w:rFonts w:asciiTheme="minorEastAsia" w:eastAsiaTheme="minorEastAsia" w:hAnsiTheme="minorEastAsia"/>
        </w:rPr>
        <w:t> </w:t>
      </w:r>
    </w:p>
    <w:p w:rsidR="0099183C" w:rsidRPr="00EE26AE" w:rsidRDefault="0099183C" w:rsidP="0000689F">
      <w:pPr>
        <w:pStyle w:val="p0"/>
        <w:spacing w:beforeLines="50" w:beforeAutospacing="0" w:afterLines="50" w:afterAutospacing="0" w:line="360" w:lineRule="auto"/>
        <w:jc w:val="right"/>
        <w:rPr>
          <w:rFonts w:asciiTheme="minorEastAsia" w:eastAsiaTheme="minorEastAsia" w:hAnsiTheme="minorEastAsia"/>
        </w:rPr>
      </w:pPr>
      <w:r w:rsidRPr="00EE26AE">
        <w:rPr>
          <w:rFonts w:asciiTheme="minorEastAsia" w:eastAsiaTheme="minorEastAsia" w:hAnsiTheme="minorEastAsia" w:hint="eastAsia"/>
        </w:rPr>
        <w:t>人力资源社会保障部  国家发展改革委</w:t>
      </w:r>
    </w:p>
    <w:p w:rsidR="0099183C" w:rsidRPr="00EE26AE" w:rsidRDefault="0099183C" w:rsidP="0000689F">
      <w:pPr>
        <w:pStyle w:val="p0"/>
        <w:spacing w:beforeLines="50" w:beforeAutospacing="0" w:afterLines="50" w:afterAutospacing="0" w:line="360" w:lineRule="auto"/>
        <w:jc w:val="right"/>
        <w:rPr>
          <w:rFonts w:asciiTheme="minorEastAsia" w:eastAsiaTheme="minorEastAsia" w:hAnsiTheme="minorEastAsia"/>
        </w:rPr>
      </w:pPr>
      <w:r w:rsidRPr="00EE26AE">
        <w:rPr>
          <w:rFonts w:asciiTheme="minorEastAsia" w:eastAsiaTheme="minorEastAsia" w:hAnsiTheme="minorEastAsia" w:hint="eastAsia"/>
        </w:rPr>
        <w:t>交通运输部  应急部  市场监管总局</w:t>
      </w:r>
    </w:p>
    <w:p w:rsidR="0099183C" w:rsidRPr="00EE26AE" w:rsidRDefault="0099183C" w:rsidP="0000689F">
      <w:pPr>
        <w:pStyle w:val="p0"/>
        <w:spacing w:beforeLines="50" w:beforeAutospacing="0" w:afterLines="50" w:afterAutospacing="0" w:line="360" w:lineRule="auto"/>
        <w:jc w:val="right"/>
        <w:rPr>
          <w:rFonts w:asciiTheme="minorEastAsia" w:eastAsiaTheme="minorEastAsia" w:hAnsiTheme="minorEastAsia"/>
        </w:rPr>
      </w:pPr>
      <w:r w:rsidRPr="00EE26AE">
        <w:rPr>
          <w:rFonts w:asciiTheme="minorEastAsia" w:eastAsiaTheme="minorEastAsia" w:hAnsiTheme="minorEastAsia" w:hint="eastAsia"/>
        </w:rPr>
        <w:t>国家医保局  最高人民法院  全国总工会</w:t>
      </w:r>
    </w:p>
    <w:p w:rsidR="0099183C" w:rsidRPr="00EE26AE" w:rsidRDefault="0099183C" w:rsidP="0000689F">
      <w:pPr>
        <w:pStyle w:val="p16"/>
        <w:spacing w:beforeLines="50" w:beforeAutospacing="0" w:afterLines="50" w:afterAutospacing="0" w:line="360" w:lineRule="auto"/>
        <w:jc w:val="right"/>
        <w:rPr>
          <w:rFonts w:asciiTheme="minorEastAsia" w:eastAsiaTheme="minorEastAsia" w:hAnsiTheme="minorEastAsia"/>
        </w:rPr>
      </w:pPr>
      <w:r w:rsidRPr="00EE26AE">
        <w:rPr>
          <w:rFonts w:asciiTheme="minorEastAsia" w:eastAsiaTheme="minorEastAsia" w:hAnsiTheme="minorEastAsia" w:hint="eastAsia"/>
        </w:rPr>
        <w:t>2021年7月16日</w:t>
      </w:r>
    </w:p>
    <w:p w:rsidR="0099183C" w:rsidRPr="00EE26AE" w:rsidRDefault="0099183C" w:rsidP="0099183C">
      <w:pPr>
        <w:pStyle w:val="p0"/>
        <w:spacing w:beforeLines="50" w:beforeAutospacing="0" w:afterLines="50" w:afterAutospacing="0" w:line="360" w:lineRule="auto"/>
        <w:ind w:firstLine="480"/>
        <w:jc w:val="both"/>
        <w:rPr>
          <w:rFonts w:asciiTheme="minorEastAsia" w:eastAsiaTheme="minorEastAsia" w:hAnsiTheme="minorEastAsia"/>
        </w:rPr>
      </w:pPr>
      <w:r w:rsidRPr="00EE26AE">
        <w:rPr>
          <w:rFonts w:asciiTheme="minorEastAsia" w:eastAsiaTheme="minorEastAsia" w:hAnsiTheme="minorEastAsia" w:hint="eastAsia"/>
        </w:rPr>
        <w:t>（此件主动公开）</w:t>
      </w:r>
    </w:p>
    <w:p w:rsidR="0099183C" w:rsidRPr="0099183C" w:rsidRDefault="0099183C" w:rsidP="0099183C">
      <w:pPr>
        <w:spacing w:beforeLines="50" w:afterLines="50" w:line="360" w:lineRule="auto"/>
        <w:rPr>
          <w:rFonts w:asciiTheme="minorEastAsia" w:hAnsiTheme="minorEastAsia" w:hint="eastAsia"/>
          <w:sz w:val="24"/>
          <w:szCs w:val="24"/>
        </w:rPr>
      </w:pPr>
    </w:p>
    <w:p w:rsidR="0099183C" w:rsidRPr="0099183C" w:rsidRDefault="0099183C" w:rsidP="0099183C">
      <w:pPr>
        <w:spacing w:beforeLines="50" w:afterLines="50" w:line="360" w:lineRule="auto"/>
        <w:rPr>
          <w:rFonts w:asciiTheme="minorEastAsia" w:hAnsiTheme="minorEastAsia"/>
          <w:sz w:val="24"/>
          <w:szCs w:val="24"/>
        </w:rPr>
      </w:pPr>
    </w:p>
    <w:p w:rsidR="0099183C" w:rsidRPr="0099183C" w:rsidRDefault="0099183C">
      <w:pPr>
        <w:spacing w:beforeLines="50" w:afterLines="50" w:line="360" w:lineRule="auto"/>
        <w:rPr>
          <w:rFonts w:asciiTheme="minorEastAsia" w:hAnsiTheme="minorEastAsia"/>
          <w:sz w:val="24"/>
          <w:szCs w:val="24"/>
        </w:rPr>
      </w:pPr>
    </w:p>
    <w:sectPr w:rsidR="0099183C" w:rsidRPr="00991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777" w:rsidRDefault="00911777" w:rsidP="0099183C">
      <w:r>
        <w:separator/>
      </w:r>
    </w:p>
  </w:endnote>
  <w:endnote w:type="continuationSeparator" w:id="1">
    <w:p w:rsidR="00911777" w:rsidRDefault="00911777" w:rsidP="009918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777" w:rsidRDefault="00911777" w:rsidP="0099183C">
      <w:r>
        <w:separator/>
      </w:r>
    </w:p>
  </w:footnote>
  <w:footnote w:type="continuationSeparator" w:id="1">
    <w:p w:rsidR="00911777" w:rsidRDefault="00911777" w:rsidP="009918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83C"/>
    <w:rsid w:val="0000689F"/>
    <w:rsid w:val="003A436E"/>
    <w:rsid w:val="00911777"/>
    <w:rsid w:val="0098047C"/>
    <w:rsid w:val="0099183C"/>
    <w:rsid w:val="00A863E9"/>
    <w:rsid w:val="00EA6DA3"/>
    <w:rsid w:val="00EE2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18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8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83C"/>
    <w:rPr>
      <w:sz w:val="18"/>
      <w:szCs w:val="18"/>
    </w:rPr>
  </w:style>
  <w:style w:type="paragraph" w:styleId="a4">
    <w:name w:val="footer"/>
    <w:basedOn w:val="a"/>
    <w:link w:val="Char0"/>
    <w:uiPriority w:val="99"/>
    <w:semiHidden/>
    <w:unhideWhenUsed/>
    <w:rsid w:val="009918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83C"/>
    <w:rPr>
      <w:sz w:val="18"/>
      <w:szCs w:val="18"/>
    </w:rPr>
  </w:style>
  <w:style w:type="character" w:customStyle="1" w:styleId="1Char">
    <w:name w:val="标题 1 Char"/>
    <w:basedOn w:val="a0"/>
    <w:link w:val="1"/>
    <w:uiPriority w:val="9"/>
    <w:rsid w:val="0099183C"/>
    <w:rPr>
      <w:rFonts w:ascii="宋体" w:eastAsia="宋体" w:hAnsi="宋体" w:cs="宋体"/>
      <w:b/>
      <w:bCs/>
      <w:kern w:val="36"/>
      <w:sz w:val="48"/>
      <w:szCs w:val="48"/>
    </w:rPr>
  </w:style>
  <w:style w:type="paragraph" w:styleId="a5">
    <w:name w:val="Document Map"/>
    <w:basedOn w:val="a"/>
    <w:link w:val="Char1"/>
    <w:uiPriority w:val="99"/>
    <w:semiHidden/>
    <w:unhideWhenUsed/>
    <w:rsid w:val="0099183C"/>
    <w:rPr>
      <w:rFonts w:ascii="宋体" w:eastAsia="宋体"/>
      <w:sz w:val="18"/>
      <w:szCs w:val="18"/>
    </w:rPr>
  </w:style>
  <w:style w:type="character" w:customStyle="1" w:styleId="Char1">
    <w:name w:val="文档结构图 Char"/>
    <w:basedOn w:val="a0"/>
    <w:link w:val="a5"/>
    <w:uiPriority w:val="99"/>
    <w:semiHidden/>
    <w:rsid w:val="0099183C"/>
    <w:rPr>
      <w:rFonts w:ascii="宋体" w:eastAsia="宋体"/>
      <w:sz w:val="18"/>
      <w:szCs w:val="18"/>
    </w:rPr>
  </w:style>
  <w:style w:type="paragraph" w:customStyle="1" w:styleId="p0">
    <w:name w:val="p0"/>
    <w:basedOn w:val="a"/>
    <w:rsid w:val="0099183C"/>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99183C"/>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99183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00689F"/>
    <w:rPr>
      <w:color w:val="0000FF" w:themeColor="hyperlink"/>
      <w:u w:val="single"/>
    </w:rPr>
  </w:style>
  <w:style w:type="paragraph" w:styleId="a7">
    <w:name w:val="Normal (Web)"/>
    <w:basedOn w:val="a"/>
    <w:uiPriority w:val="99"/>
    <w:unhideWhenUsed/>
    <w:rsid w:val="00A863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0247535">
      <w:bodyDiv w:val="1"/>
      <w:marLeft w:val="0"/>
      <w:marRight w:val="0"/>
      <w:marTop w:val="0"/>
      <w:marBottom w:val="0"/>
      <w:divBdr>
        <w:top w:val="none" w:sz="0" w:space="0" w:color="auto"/>
        <w:left w:val="none" w:sz="0" w:space="0" w:color="auto"/>
        <w:bottom w:val="none" w:sz="0" w:space="0" w:color="auto"/>
        <w:right w:val="none" w:sz="0" w:space="0" w:color="auto"/>
      </w:divBdr>
    </w:div>
    <w:div w:id="20180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fb86.com/index/News/detail/newsid/1013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1013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tsuser</dc:creator>
  <cp:keywords/>
  <dc:description/>
  <cp:lastModifiedBy>tsuser</cp:lastModifiedBy>
  <cp:revision>5</cp:revision>
  <dcterms:created xsi:type="dcterms:W3CDTF">2022-02-15T02:38:00Z</dcterms:created>
  <dcterms:modified xsi:type="dcterms:W3CDTF">2022-02-15T09:14:00Z</dcterms:modified>
</cp:coreProperties>
</file>