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76" w:line="259" w:lineRule="auto"/>
        <w:ind w:left="149" w:firstLine="0"/>
      </w:pPr>
      <w:r>
        <w:rPr>
          <w:rFonts w:ascii="黑体" w:hAnsi="黑体" w:eastAsia="黑体" w:cs="黑体"/>
          <w:sz w:val="32"/>
        </w:rPr>
        <w:t>附件2</w:t>
      </w:r>
    </w:p>
    <w:p>
      <w:pPr>
        <w:pStyle w:val="2"/>
      </w:pPr>
      <w:r>
        <w:t>财产和行为税税源明细表</w:t>
      </w:r>
    </w:p>
    <w:p/>
    <w:p>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"http://ssfb86.com/index/News/detail/newsid/8838.html" </w:instrText>
      </w:r>
      <w:r>
        <w:rPr>
          <w:rFonts w:hint="eastAsia" w:ascii="宋体" w:hAnsi="宋体" w:eastAsia="宋体" w:cs="宋体"/>
          <w:i w:val="0"/>
          <w:caps w:val="0"/>
          <w:color w:val="6E6E6E"/>
          <w:spacing w:val="0"/>
          <w:sz w:val="24"/>
          <w:szCs w:val="24"/>
          <w:u w:val="single"/>
          <w:shd w:val="clear" w:fill="FFFFFF"/>
        </w:rPr>
        <w:fldChar w:fldCharType="separate"/>
      </w:r>
      <w:r>
        <w:rPr>
          <w:rStyle w:val="14"/>
          <w:rFonts w:hint="eastAsia" w:ascii="宋体" w:hAnsi="宋体" w:eastAsia="宋体" w:cs="宋体"/>
          <w:i w:val="0"/>
          <w:caps w:val="0"/>
          <w:color w:val="6E6E6E"/>
          <w:spacing w:val="0"/>
          <w:sz w:val="24"/>
          <w:szCs w:val="24"/>
          <w:u w:val="single"/>
          <w:shd w:val="clear" w:fill="FFFFFF"/>
        </w:rPr>
        <w:t>国家税务总局公告2021年第9号</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附件2</w:t>
      </w:r>
    </w:p>
    <w:p/>
    <w:p>
      <w:pPr>
        <w:pStyle w:val="3"/>
        <w:spacing w:after="51"/>
        <w:ind w:left="857" w:right="1056"/>
      </w:pPr>
      <w:r>
        <w:t>城镇土地使用税房产税税源明细表</w:t>
      </w:r>
    </w:p>
    <w:p>
      <w:r>
        <w:t>纳税人识别号（统一社会信用代码）：□□□□□□□□□□□□□□□□□□</w:t>
      </w:r>
    </w:p>
    <w:p>
      <w:pPr>
        <w:tabs>
          <w:tab w:val="right" w:pos="14220"/>
        </w:tabs>
        <w:ind w:left="0" w:firstLine="0"/>
      </w:pPr>
      <w:r>
        <w:t>纳税人名称：</w:t>
      </w:r>
      <w:r>
        <w:tab/>
      </w:r>
      <w:r>
        <w:t>金额单位：人民币元（列至角分）；面积单位：平方米</w:t>
      </w:r>
    </w:p>
    <w:tbl>
      <w:tblPr>
        <w:tblStyle w:val="18"/>
        <w:tblW w:w="14148" w:type="dxa"/>
        <w:tblInd w:w="41" w:type="dxa"/>
        <w:tblLayout w:type="autofit"/>
        <w:tblCellMar>
          <w:top w:w="42" w:type="dxa"/>
          <w:left w:w="107" w:type="dxa"/>
          <w:bottom w:w="0" w:type="dxa"/>
          <w:right w:w="80" w:type="dxa"/>
        </w:tblCellMar>
      </w:tblPr>
      <w:tblGrid>
        <w:gridCol w:w="837"/>
        <w:gridCol w:w="1251"/>
        <w:gridCol w:w="2520"/>
        <w:gridCol w:w="1004"/>
        <w:gridCol w:w="262"/>
        <w:gridCol w:w="213"/>
        <w:gridCol w:w="1041"/>
        <w:gridCol w:w="951"/>
        <w:gridCol w:w="129"/>
        <w:gridCol w:w="1440"/>
        <w:gridCol w:w="864"/>
        <w:gridCol w:w="819"/>
        <w:gridCol w:w="861"/>
        <w:gridCol w:w="516"/>
        <w:gridCol w:w="1440"/>
      </w:tblGrid>
      <w:tr>
        <w:tblPrEx>
          <w:tblCellMar>
            <w:top w:w="42" w:type="dxa"/>
            <w:left w:w="107" w:type="dxa"/>
            <w:bottom w:w="0" w:type="dxa"/>
            <w:right w:w="80" w:type="dxa"/>
          </w:tblCellMar>
        </w:tblPrEx>
        <w:trPr>
          <w:trHeight w:val="408" w:hRule="atLeast"/>
        </w:trPr>
        <w:tc>
          <w:tcPr>
            <w:tcW w:w="208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12060" w:type="dxa"/>
            <w:gridSpan w:val="13"/>
            <w:tcBorders>
              <w:top w:val="single" w:color="000000" w:sz="4" w:space="0"/>
              <w:left w:val="nil"/>
              <w:bottom w:val="single" w:color="000000" w:sz="4" w:space="0"/>
              <w:right w:val="single" w:color="000000" w:sz="4" w:space="0"/>
            </w:tcBorders>
          </w:tcPr>
          <w:p>
            <w:pPr>
              <w:spacing w:after="0" w:line="259" w:lineRule="auto"/>
              <w:ind w:left="3514" w:firstLine="0"/>
            </w:pPr>
            <w:r>
              <w:t>一、城镇土地使用税税源明细</w:t>
            </w:r>
          </w:p>
        </w:tc>
      </w:tr>
      <w:tr>
        <w:tblPrEx>
          <w:tblCellMar>
            <w:top w:w="42" w:type="dxa"/>
            <w:left w:w="107" w:type="dxa"/>
            <w:bottom w:w="0" w:type="dxa"/>
            <w:right w:w="80" w:type="dxa"/>
          </w:tblCellMar>
        </w:tblPrEx>
        <w:trPr>
          <w:trHeight w:val="730" w:hRule="atLeast"/>
        </w:trPr>
        <w:tc>
          <w:tcPr>
            <w:tcW w:w="2088"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7" w:firstLine="0"/>
              <w:jc w:val="center"/>
            </w:pPr>
            <w:r>
              <w:rPr>
                <w:rFonts w:ascii="Times New Roman" w:hAnsi="Times New Roman" w:eastAsia="Times New Roman" w:cs="Times New Roman"/>
                <w:sz w:val="18"/>
              </w:rPr>
              <w:t>*</w:t>
            </w:r>
            <w:r>
              <w:rPr>
                <w:sz w:val="18"/>
              </w:rPr>
              <w:t>纳税人类型</w:t>
            </w:r>
          </w:p>
        </w:tc>
        <w:tc>
          <w:tcPr>
            <w:tcW w:w="3786" w:type="dxa"/>
            <w:gridSpan w:val="3"/>
            <w:tcBorders>
              <w:top w:val="single" w:color="000000" w:sz="4" w:space="0"/>
              <w:left w:val="single" w:color="000000" w:sz="4" w:space="0"/>
              <w:bottom w:val="single" w:color="000000" w:sz="4" w:space="0"/>
              <w:right w:val="single" w:color="000000" w:sz="4" w:space="0"/>
            </w:tcBorders>
          </w:tcPr>
          <w:p>
            <w:pPr>
              <w:spacing w:after="9" w:line="259" w:lineRule="auto"/>
              <w:ind w:left="0" w:right="28" w:firstLine="0"/>
              <w:jc w:val="center"/>
            </w:pPr>
            <w:r>
              <w:rPr>
                <w:sz w:val="18"/>
              </w:rPr>
              <w:t>土地使用权人</w:t>
            </w:r>
            <w:r>
              <w:rPr>
                <w:rFonts w:ascii="Times New Roman" w:hAnsi="Times New Roman" w:eastAsia="Times New Roman" w:cs="Times New Roman"/>
                <w:sz w:val="18"/>
              </w:rPr>
              <w:t xml:space="preserve">□ </w:t>
            </w:r>
            <w:r>
              <w:rPr>
                <w:sz w:val="18"/>
              </w:rPr>
              <w:t>集体土地使用人</w:t>
            </w:r>
            <w:r>
              <w:rPr>
                <w:rFonts w:ascii="Times New Roman" w:hAnsi="Times New Roman" w:eastAsia="Times New Roman" w:cs="Times New Roman"/>
                <w:sz w:val="18"/>
              </w:rPr>
              <w:t>□</w:t>
            </w:r>
          </w:p>
          <w:p>
            <w:pPr>
              <w:spacing w:after="3" w:line="259" w:lineRule="auto"/>
              <w:ind w:left="0" w:right="25" w:firstLine="0"/>
              <w:jc w:val="center"/>
            </w:pPr>
            <w:r>
              <w:rPr>
                <w:sz w:val="18"/>
              </w:rPr>
              <w:t>无偿使用人</w:t>
            </w:r>
            <w:r>
              <w:rPr>
                <w:rFonts w:ascii="Times New Roman" w:hAnsi="Times New Roman" w:eastAsia="Times New Roman" w:cs="Times New Roman"/>
                <w:sz w:val="18"/>
              </w:rPr>
              <w:t xml:space="preserve">□ </w:t>
            </w:r>
            <w:r>
              <w:rPr>
                <w:sz w:val="18"/>
              </w:rPr>
              <w:t>代管人</w:t>
            </w:r>
            <w:r>
              <w:rPr>
                <w:rFonts w:ascii="Times New Roman" w:hAnsi="Times New Roman" w:eastAsia="Times New Roman" w:cs="Times New Roman"/>
                <w:sz w:val="18"/>
              </w:rPr>
              <w:t xml:space="preserve">□ </w:t>
            </w:r>
            <w:r>
              <w:rPr>
                <w:sz w:val="18"/>
              </w:rPr>
              <w:t>实际使用人</w:t>
            </w:r>
            <w:r>
              <w:rPr>
                <w:rFonts w:ascii="Times New Roman" w:hAnsi="Times New Roman" w:eastAsia="Times New Roman" w:cs="Times New Roman"/>
                <w:sz w:val="18"/>
              </w:rPr>
              <w:t>□</w:t>
            </w:r>
          </w:p>
          <w:p>
            <w:pPr>
              <w:spacing w:after="0" w:line="259" w:lineRule="auto"/>
              <w:ind w:left="0" w:right="26" w:firstLine="0"/>
              <w:jc w:val="center"/>
            </w:pPr>
            <w:r>
              <w:rPr>
                <w:sz w:val="18"/>
              </w:rPr>
              <w:t>（必选）</w:t>
            </w:r>
          </w:p>
        </w:tc>
        <w:tc>
          <w:tcPr>
            <w:tcW w:w="2205"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rPr>
                <w:sz w:val="18"/>
              </w:rPr>
              <w:t>土地使用权人纳税人识别号（统一社会信用代码）</w:t>
            </w:r>
          </w:p>
        </w:tc>
        <w:tc>
          <w:tcPr>
            <w:tcW w:w="2433"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 w:firstLine="0"/>
              <w:jc w:val="both"/>
            </w:pPr>
            <w:r>
              <w:rPr>
                <w:sz w:val="18"/>
              </w:rPr>
              <w:t>土地使用权人名称</w:t>
            </w:r>
          </w:p>
        </w:tc>
        <w:tc>
          <w:tcPr>
            <w:tcW w:w="195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107" w:type="dxa"/>
            <w:bottom w:w="0" w:type="dxa"/>
            <w:right w:w="80" w:type="dxa"/>
          </w:tblCellMar>
        </w:tblPrEx>
        <w:trPr>
          <w:trHeight w:val="32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7" w:firstLine="0"/>
              <w:jc w:val="center"/>
            </w:pPr>
            <w:r>
              <w:rPr>
                <w:rFonts w:ascii="Times New Roman" w:hAnsi="Times New Roman" w:eastAsia="Times New Roman" w:cs="Times New Roman"/>
                <w:sz w:val="18"/>
              </w:rPr>
              <w:t>*</w:t>
            </w:r>
            <w:r>
              <w:rPr>
                <w:sz w:val="18"/>
              </w:rPr>
              <w:t>土地编号</w:t>
            </w:r>
          </w:p>
        </w:tc>
        <w:tc>
          <w:tcPr>
            <w:tcW w:w="378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05"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7" w:firstLine="0"/>
              <w:jc w:val="center"/>
            </w:pPr>
            <w:r>
              <w:rPr>
                <w:sz w:val="18"/>
              </w:rPr>
              <w:t>土地名称</w:t>
            </w:r>
          </w:p>
        </w:tc>
        <w:tc>
          <w:tcPr>
            <w:tcW w:w="2433"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8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93" w:firstLine="0"/>
            </w:pPr>
            <w:r>
              <w:rPr>
                <w:sz w:val="18"/>
              </w:rPr>
              <w:t>不动产权证号</w:t>
            </w:r>
          </w:p>
        </w:tc>
        <w:tc>
          <w:tcPr>
            <w:tcW w:w="195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107" w:type="dxa"/>
            <w:bottom w:w="0" w:type="dxa"/>
            <w:right w:w="80" w:type="dxa"/>
          </w:tblCellMar>
        </w:tblPrEx>
        <w:trPr>
          <w:trHeight w:val="32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30" w:firstLine="0"/>
              <w:jc w:val="center"/>
            </w:pPr>
            <w:r>
              <w:rPr>
                <w:sz w:val="18"/>
              </w:rPr>
              <w:t>不动产单元代码</w:t>
            </w:r>
          </w:p>
        </w:tc>
        <w:tc>
          <w:tcPr>
            <w:tcW w:w="378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05"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4" w:firstLine="0"/>
              <w:jc w:val="center"/>
            </w:pPr>
            <w:r>
              <w:rPr>
                <w:sz w:val="18"/>
              </w:rPr>
              <w:t>宗地号</w:t>
            </w:r>
          </w:p>
        </w:tc>
        <w:tc>
          <w:tcPr>
            <w:tcW w:w="2433"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8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7" w:firstLine="0"/>
              <w:jc w:val="center"/>
            </w:pPr>
            <w:r>
              <w:rPr>
                <w:rFonts w:ascii="Times New Roman" w:hAnsi="Times New Roman" w:eastAsia="Times New Roman" w:cs="Times New Roman"/>
                <w:sz w:val="18"/>
              </w:rPr>
              <w:t>*</w:t>
            </w:r>
            <w:r>
              <w:rPr>
                <w:sz w:val="18"/>
              </w:rPr>
              <w:t>土地性质</w:t>
            </w:r>
          </w:p>
        </w:tc>
        <w:tc>
          <w:tcPr>
            <w:tcW w:w="195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both"/>
            </w:pPr>
            <w:r>
              <w:rPr>
                <w:sz w:val="18"/>
              </w:rPr>
              <w:t>国有</w:t>
            </w:r>
            <w:r>
              <w:rPr>
                <w:rFonts w:ascii="Times New Roman" w:hAnsi="Times New Roman" w:eastAsia="Times New Roman" w:cs="Times New Roman"/>
                <w:sz w:val="18"/>
              </w:rPr>
              <w:t xml:space="preserve">□ </w:t>
            </w:r>
            <w:r>
              <w:rPr>
                <w:sz w:val="18"/>
              </w:rPr>
              <w:t>集体</w:t>
            </w:r>
            <w:r>
              <w:rPr>
                <w:rFonts w:ascii="Times New Roman" w:hAnsi="Times New Roman" w:eastAsia="Times New Roman" w:cs="Times New Roman"/>
                <w:sz w:val="18"/>
              </w:rPr>
              <w:t>□</w:t>
            </w:r>
            <w:r>
              <w:rPr>
                <w:sz w:val="18"/>
              </w:rPr>
              <w:t>（必选）</w:t>
            </w:r>
          </w:p>
        </w:tc>
      </w:tr>
      <w:tr>
        <w:tblPrEx>
          <w:tblCellMar>
            <w:top w:w="42" w:type="dxa"/>
            <w:left w:w="107" w:type="dxa"/>
            <w:bottom w:w="0" w:type="dxa"/>
            <w:right w:w="80" w:type="dxa"/>
          </w:tblCellMar>
        </w:tblPrEx>
        <w:trPr>
          <w:trHeight w:val="490" w:hRule="atLeast"/>
        </w:trPr>
        <w:tc>
          <w:tcPr>
            <w:tcW w:w="2088"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7" w:firstLine="0"/>
              <w:jc w:val="center"/>
            </w:pPr>
            <w:r>
              <w:rPr>
                <w:rFonts w:ascii="Times New Roman" w:hAnsi="Times New Roman" w:eastAsia="Times New Roman" w:cs="Times New Roman"/>
                <w:sz w:val="18"/>
              </w:rPr>
              <w:t>*</w:t>
            </w:r>
            <w:r>
              <w:rPr>
                <w:sz w:val="18"/>
              </w:rPr>
              <w:t>土地取得方式</w:t>
            </w:r>
          </w:p>
        </w:tc>
        <w:tc>
          <w:tcPr>
            <w:tcW w:w="3786" w:type="dxa"/>
            <w:gridSpan w:val="3"/>
            <w:tcBorders>
              <w:top w:val="single" w:color="000000" w:sz="4" w:space="0"/>
              <w:left w:val="single" w:color="000000" w:sz="4" w:space="0"/>
              <w:bottom w:val="single" w:color="000000" w:sz="4" w:space="0"/>
              <w:right w:val="single" w:color="000000" w:sz="4" w:space="0"/>
            </w:tcBorders>
          </w:tcPr>
          <w:p>
            <w:pPr>
              <w:spacing w:after="2" w:line="259" w:lineRule="auto"/>
              <w:ind w:left="0" w:right="25" w:firstLine="0"/>
              <w:jc w:val="center"/>
            </w:pPr>
            <w:r>
              <w:rPr>
                <w:sz w:val="18"/>
              </w:rPr>
              <w:t>划拨</w:t>
            </w:r>
            <w:r>
              <w:rPr>
                <w:rFonts w:ascii="Times New Roman" w:hAnsi="Times New Roman" w:eastAsia="Times New Roman" w:cs="Times New Roman"/>
                <w:sz w:val="18"/>
              </w:rPr>
              <w:t xml:space="preserve">□ </w:t>
            </w:r>
            <w:r>
              <w:rPr>
                <w:sz w:val="18"/>
              </w:rPr>
              <w:t>出让</w:t>
            </w:r>
            <w:r>
              <w:rPr>
                <w:rFonts w:ascii="Times New Roman" w:hAnsi="Times New Roman" w:eastAsia="Times New Roman" w:cs="Times New Roman"/>
                <w:sz w:val="18"/>
              </w:rPr>
              <w:t xml:space="preserve">□ </w:t>
            </w:r>
            <w:r>
              <w:rPr>
                <w:sz w:val="18"/>
              </w:rPr>
              <w:t>转让</w:t>
            </w:r>
            <w:r>
              <w:rPr>
                <w:rFonts w:ascii="Times New Roman" w:hAnsi="Times New Roman" w:eastAsia="Times New Roman" w:cs="Times New Roman"/>
                <w:sz w:val="18"/>
              </w:rPr>
              <w:t xml:space="preserve">□ </w:t>
            </w:r>
            <w:r>
              <w:rPr>
                <w:sz w:val="18"/>
              </w:rPr>
              <w:t>租赁</w:t>
            </w:r>
            <w:r>
              <w:rPr>
                <w:rFonts w:ascii="Times New Roman" w:hAnsi="Times New Roman" w:eastAsia="Times New Roman" w:cs="Times New Roman"/>
                <w:sz w:val="18"/>
              </w:rPr>
              <w:t xml:space="preserve">□ </w:t>
            </w:r>
            <w:r>
              <w:rPr>
                <w:sz w:val="18"/>
              </w:rPr>
              <w:t>其他</w:t>
            </w:r>
            <w:r>
              <w:rPr>
                <w:rFonts w:ascii="Times New Roman" w:hAnsi="Times New Roman" w:eastAsia="Times New Roman" w:cs="Times New Roman"/>
                <w:sz w:val="18"/>
              </w:rPr>
              <w:t>□</w:t>
            </w:r>
          </w:p>
          <w:p>
            <w:pPr>
              <w:spacing w:after="0" w:line="259" w:lineRule="auto"/>
              <w:ind w:left="60" w:firstLine="0"/>
              <w:jc w:val="center"/>
            </w:pPr>
            <w:r>
              <w:rPr>
                <w:sz w:val="18"/>
              </w:rPr>
              <w:t>（必选）</w:t>
            </w:r>
          </w:p>
        </w:tc>
        <w:tc>
          <w:tcPr>
            <w:tcW w:w="2205"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4" w:firstLine="0"/>
              <w:jc w:val="center"/>
            </w:pPr>
            <w:r>
              <w:rPr>
                <w:rFonts w:ascii="Times New Roman" w:hAnsi="Times New Roman" w:eastAsia="Times New Roman" w:cs="Times New Roman"/>
                <w:sz w:val="18"/>
              </w:rPr>
              <w:t>*</w:t>
            </w:r>
            <w:r>
              <w:rPr>
                <w:sz w:val="18"/>
              </w:rPr>
              <w:t>土地用途</w:t>
            </w:r>
          </w:p>
        </w:tc>
        <w:tc>
          <w:tcPr>
            <w:tcW w:w="6069" w:type="dxa"/>
            <w:gridSpan w:val="7"/>
            <w:tcBorders>
              <w:top w:val="single" w:color="000000" w:sz="4" w:space="0"/>
              <w:left w:val="single" w:color="000000" w:sz="4" w:space="0"/>
              <w:bottom w:val="single" w:color="000000" w:sz="4" w:space="0"/>
              <w:right w:val="single" w:color="000000" w:sz="4" w:space="0"/>
            </w:tcBorders>
          </w:tcPr>
          <w:p>
            <w:pPr>
              <w:spacing w:after="3" w:line="259" w:lineRule="auto"/>
              <w:ind w:left="9" w:firstLine="0"/>
              <w:jc w:val="center"/>
            </w:pPr>
            <w:r>
              <w:rPr>
                <w:sz w:val="18"/>
              </w:rPr>
              <w:t>工业</w:t>
            </w:r>
            <w:r>
              <w:rPr>
                <w:rFonts w:ascii="Times New Roman" w:hAnsi="Times New Roman" w:eastAsia="Times New Roman" w:cs="Times New Roman"/>
                <w:sz w:val="18"/>
              </w:rPr>
              <w:t xml:space="preserve">□ </w:t>
            </w:r>
            <w:r>
              <w:rPr>
                <w:sz w:val="18"/>
              </w:rPr>
              <w:t>商业</w:t>
            </w:r>
            <w:r>
              <w:rPr>
                <w:rFonts w:ascii="Times New Roman" w:hAnsi="Times New Roman" w:eastAsia="Times New Roman" w:cs="Times New Roman"/>
                <w:sz w:val="18"/>
              </w:rPr>
              <w:t xml:space="preserve">□ </w:t>
            </w:r>
            <w:r>
              <w:rPr>
                <w:sz w:val="18"/>
              </w:rPr>
              <w:t>居住</w:t>
            </w:r>
            <w:r>
              <w:rPr>
                <w:rFonts w:ascii="Times New Roman" w:hAnsi="Times New Roman" w:eastAsia="Times New Roman" w:cs="Times New Roman"/>
                <w:sz w:val="18"/>
              </w:rPr>
              <w:t xml:space="preserve">□ </w:t>
            </w:r>
            <w:r>
              <w:rPr>
                <w:sz w:val="18"/>
              </w:rPr>
              <w:t>综合</w:t>
            </w:r>
            <w:r>
              <w:rPr>
                <w:rFonts w:ascii="Times New Roman" w:hAnsi="Times New Roman" w:eastAsia="Times New Roman" w:cs="Times New Roman"/>
                <w:sz w:val="18"/>
              </w:rPr>
              <w:t xml:space="preserve">□ </w:t>
            </w:r>
            <w:r>
              <w:rPr>
                <w:sz w:val="18"/>
              </w:rPr>
              <w:t>房地产开发企业的开发用地</w:t>
            </w:r>
            <w:r>
              <w:rPr>
                <w:rFonts w:ascii="Times New Roman" w:hAnsi="Times New Roman" w:eastAsia="Times New Roman" w:cs="Times New Roman"/>
                <w:sz w:val="18"/>
              </w:rPr>
              <w:t xml:space="preserve">□ </w:t>
            </w:r>
            <w:r>
              <w:rPr>
                <w:sz w:val="18"/>
              </w:rPr>
              <w:t>其他</w:t>
            </w:r>
            <w:r>
              <w:rPr>
                <w:rFonts w:ascii="Times New Roman" w:hAnsi="Times New Roman" w:eastAsia="Times New Roman" w:cs="Times New Roman"/>
                <w:sz w:val="18"/>
              </w:rPr>
              <w:t>□</w:t>
            </w:r>
          </w:p>
          <w:p>
            <w:pPr>
              <w:spacing w:after="0" w:line="259" w:lineRule="auto"/>
              <w:ind w:left="3" w:firstLine="0"/>
              <w:jc w:val="center"/>
            </w:pPr>
            <w:r>
              <w:rPr>
                <w:sz w:val="18"/>
              </w:rPr>
              <w:t>（必选）</w:t>
            </w:r>
          </w:p>
        </w:tc>
      </w:tr>
      <w:tr>
        <w:tblPrEx>
          <w:tblCellMar>
            <w:top w:w="42" w:type="dxa"/>
            <w:left w:w="107" w:type="dxa"/>
            <w:bottom w:w="0" w:type="dxa"/>
            <w:right w:w="80" w:type="dxa"/>
          </w:tblCellMar>
        </w:tblPrEx>
        <w:trPr>
          <w:trHeight w:val="50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rFonts w:ascii="Times New Roman" w:hAnsi="Times New Roman" w:eastAsia="Times New Roman" w:cs="Times New Roman"/>
                <w:sz w:val="18"/>
              </w:rPr>
              <w:t>*</w:t>
            </w:r>
            <w:r>
              <w:rPr>
                <w:sz w:val="18"/>
              </w:rPr>
              <w:t>土地坐落地址（详细地址）</w:t>
            </w:r>
          </w:p>
        </w:tc>
        <w:tc>
          <w:tcPr>
            <w:tcW w:w="12060" w:type="dxa"/>
            <w:gridSpan w:val="13"/>
            <w:tcBorders>
              <w:top w:val="single" w:color="000000" w:sz="4" w:space="0"/>
              <w:left w:val="single" w:color="000000" w:sz="4" w:space="0"/>
              <w:bottom w:val="single" w:color="000000" w:sz="4" w:space="0"/>
              <w:right w:val="single" w:color="000000" w:sz="4" w:space="0"/>
            </w:tcBorders>
            <w:vAlign w:val="center"/>
          </w:tcPr>
          <w:p>
            <w:pPr>
              <w:tabs>
                <w:tab w:val="center" w:pos="2701"/>
                <w:tab w:val="center" w:pos="4590"/>
                <w:tab w:val="center" w:pos="6030"/>
                <w:tab w:val="center" w:pos="8190"/>
                <w:tab w:val="center" w:pos="10801"/>
              </w:tabs>
              <w:spacing w:after="0" w:line="259" w:lineRule="auto"/>
              <w:ind w:left="0" w:firstLine="0"/>
            </w:pPr>
            <w:r>
              <w:rPr>
                <w:rFonts w:ascii="Calibri" w:hAnsi="Calibri" w:eastAsia="Calibri" w:cs="Calibri"/>
                <w:sz w:val="22"/>
              </w:rPr>
              <w:tab/>
            </w:r>
            <w:r>
              <w:rPr>
                <w:sz w:val="18"/>
              </w:rPr>
              <w:t>省（自治区、直辖市）</w:t>
            </w:r>
            <w:r>
              <w:rPr>
                <w:sz w:val="18"/>
              </w:rPr>
              <w:tab/>
            </w:r>
            <w:r>
              <w:rPr>
                <w:sz w:val="18"/>
              </w:rPr>
              <w:t>市（区）</w:t>
            </w:r>
            <w:r>
              <w:rPr>
                <w:sz w:val="18"/>
              </w:rPr>
              <w:tab/>
            </w:r>
            <w:r>
              <w:rPr>
                <w:sz w:val="18"/>
              </w:rPr>
              <w:t>县（区）</w:t>
            </w:r>
            <w:r>
              <w:rPr>
                <w:sz w:val="18"/>
              </w:rPr>
              <w:tab/>
            </w:r>
            <w:r>
              <w:rPr>
                <w:sz w:val="18"/>
              </w:rPr>
              <w:t>乡镇（街道）</w:t>
            </w:r>
            <w:r>
              <w:rPr>
                <w:sz w:val="18"/>
              </w:rPr>
              <w:tab/>
            </w:r>
            <w:r>
              <w:rPr>
                <w:sz w:val="18"/>
              </w:rPr>
              <w:t>（必填）</w:t>
            </w:r>
          </w:p>
        </w:tc>
      </w:tr>
      <w:tr>
        <w:tblPrEx>
          <w:tblCellMar>
            <w:top w:w="42" w:type="dxa"/>
            <w:left w:w="107" w:type="dxa"/>
            <w:bottom w:w="0" w:type="dxa"/>
            <w:right w:w="80" w:type="dxa"/>
          </w:tblCellMar>
        </w:tblPrEx>
        <w:trPr>
          <w:trHeight w:val="51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82" w:firstLine="0"/>
            </w:pPr>
            <w:r>
              <w:rPr>
                <w:rFonts w:ascii="Times New Roman" w:hAnsi="Times New Roman" w:eastAsia="Times New Roman" w:cs="Times New Roman"/>
                <w:sz w:val="18"/>
              </w:rPr>
              <w:t>*</w:t>
            </w:r>
            <w:r>
              <w:rPr>
                <w:sz w:val="18"/>
              </w:rPr>
              <w:t>土地所属主管税务所</w:t>
            </w:r>
          </w:p>
          <w:p>
            <w:pPr>
              <w:spacing w:after="0" w:line="259" w:lineRule="auto"/>
              <w:ind w:left="0" w:right="27" w:firstLine="0"/>
              <w:jc w:val="center"/>
            </w:pPr>
            <w:r>
              <w:rPr>
                <w:sz w:val="18"/>
              </w:rPr>
              <w:t>（科、分局）</w:t>
            </w:r>
          </w:p>
        </w:tc>
        <w:tc>
          <w:tcPr>
            <w:tcW w:w="12060" w:type="dxa"/>
            <w:gridSpan w:val="1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107" w:type="dxa"/>
            <w:bottom w:w="0" w:type="dxa"/>
            <w:right w:w="80" w:type="dxa"/>
          </w:tblCellMar>
        </w:tblPrEx>
        <w:trPr>
          <w:trHeight w:val="490" w:hRule="atLeast"/>
        </w:trPr>
        <w:tc>
          <w:tcPr>
            <w:tcW w:w="2088"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7" w:firstLine="0"/>
              <w:jc w:val="center"/>
            </w:pPr>
            <w:r>
              <w:rPr>
                <w:rFonts w:ascii="Times New Roman" w:hAnsi="Times New Roman" w:eastAsia="Times New Roman" w:cs="Times New Roman"/>
                <w:sz w:val="18"/>
              </w:rPr>
              <w:t>*</w:t>
            </w:r>
            <w:r>
              <w:rPr>
                <w:sz w:val="18"/>
              </w:rPr>
              <w:t>土地取得时间</w:t>
            </w:r>
          </w:p>
        </w:tc>
        <w:tc>
          <w:tcPr>
            <w:tcW w:w="2520" w:type="dxa"/>
            <w:tcBorders>
              <w:top w:val="single" w:color="000000" w:sz="4" w:space="0"/>
              <w:left w:val="single" w:color="000000" w:sz="4" w:space="0"/>
              <w:bottom w:val="single" w:color="000000" w:sz="4" w:space="0"/>
              <w:right w:val="single" w:color="000000" w:sz="4" w:space="0"/>
            </w:tcBorders>
            <w:vAlign w:val="center"/>
          </w:tcPr>
          <w:p>
            <w:pPr>
              <w:tabs>
                <w:tab w:val="center" w:pos="972"/>
                <w:tab w:val="center" w:pos="1512"/>
              </w:tabs>
              <w:spacing w:after="0" w:line="259" w:lineRule="auto"/>
              <w:ind w:left="0" w:firstLine="0"/>
            </w:pPr>
            <w:r>
              <w:rPr>
                <w:rFonts w:ascii="Calibri" w:hAnsi="Calibri" w:eastAsia="Calibri" w:cs="Calibri"/>
                <w:sz w:val="22"/>
              </w:rPr>
              <w:tab/>
            </w:r>
            <w:r>
              <w:rPr>
                <w:sz w:val="18"/>
              </w:rPr>
              <w:t>年</w:t>
            </w:r>
            <w:r>
              <w:rPr>
                <w:sz w:val="18"/>
              </w:rPr>
              <w:tab/>
            </w:r>
            <w:r>
              <w:rPr>
                <w:sz w:val="18"/>
              </w:rPr>
              <w:t>月</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4" w:firstLine="0"/>
              <w:jc w:val="both"/>
            </w:pPr>
            <w:r>
              <w:rPr>
                <w:sz w:val="18"/>
              </w:rPr>
              <w:t>变更类型</w:t>
            </w:r>
          </w:p>
        </w:tc>
        <w:tc>
          <w:tcPr>
            <w:tcW w:w="5719" w:type="dxa"/>
            <w:gridSpan w:val="8"/>
            <w:tcBorders>
              <w:top w:val="single" w:color="000000" w:sz="4" w:space="0"/>
              <w:left w:val="single" w:color="000000" w:sz="4" w:space="0"/>
              <w:bottom w:val="single" w:color="000000" w:sz="4" w:space="0"/>
              <w:right w:val="single" w:color="000000" w:sz="4" w:space="0"/>
            </w:tcBorders>
          </w:tcPr>
          <w:p>
            <w:pPr>
              <w:spacing w:after="0" w:line="259" w:lineRule="auto"/>
              <w:ind w:left="0" w:right="146" w:firstLine="0"/>
            </w:pPr>
            <w:r>
              <w:rPr>
                <w:sz w:val="18"/>
              </w:rPr>
              <w:t>纳税义务终止（权属转移</w:t>
            </w:r>
            <w:r>
              <w:rPr>
                <w:rFonts w:ascii="Times New Roman" w:hAnsi="Times New Roman" w:eastAsia="Times New Roman" w:cs="Times New Roman"/>
                <w:sz w:val="18"/>
              </w:rPr>
              <w:t xml:space="preserve">□ </w:t>
            </w:r>
            <w:r>
              <w:rPr>
                <w:sz w:val="18"/>
              </w:rPr>
              <w:t>其他</w:t>
            </w:r>
            <w:r>
              <w:rPr>
                <w:rFonts w:ascii="Times New Roman" w:hAnsi="Times New Roman" w:eastAsia="Times New Roman" w:cs="Times New Roman"/>
                <w:sz w:val="18"/>
              </w:rPr>
              <w:t>□</w:t>
            </w:r>
            <w:r>
              <w:rPr>
                <w:sz w:val="18"/>
              </w:rPr>
              <w:t>）信息项变更（土地面积变更</w:t>
            </w:r>
            <w:r>
              <w:rPr>
                <w:rFonts w:ascii="Times New Roman" w:hAnsi="Times New Roman" w:eastAsia="Times New Roman" w:cs="Times New Roman"/>
                <w:sz w:val="18"/>
              </w:rPr>
              <w:t xml:space="preserve">□ </w:t>
            </w:r>
            <w:r>
              <w:rPr>
                <w:sz w:val="18"/>
              </w:rPr>
              <w:t>土地等级变更</w:t>
            </w:r>
            <w:r>
              <w:rPr>
                <w:rFonts w:ascii="Times New Roman" w:hAnsi="Times New Roman" w:eastAsia="Times New Roman" w:cs="Times New Roman"/>
                <w:sz w:val="18"/>
              </w:rPr>
              <w:t xml:space="preserve">□ </w:t>
            </w:r>
            <w:r>
              <w:rPr>
                <w:sz w:val="18"/>
              </w:rPr>
              <w:t>减免税变更</w:t>
            </w:r>
            <w:r>
              <w:rPr>
                <w:rFonts w:ascii="Times New Roman" w:hAnsi="Times New Roman" w:eastAsia="Times New Roman" w:cs="Times New Roman"/>
                <w:sz w:val="18"/>
              </w:rPr>
              <w:t xml:space="preserve">□ </w:t>
            </w:r>
            <w:r>
              <w:rPr>
                <w:sz w:val="18"/>
              </w:rPr>
              <w:t>其他</w:t>
            </w:r>
            <w:r>
              <w:rPr>
                <w:rFonts w:ascii="Times New Roman" w:hAnsi="Times New Roman" w:eastAsia="Times New Roman" w:cs="Times New Roman"/>
                <w:sz w:val="18"/>
              </w:rPr>
              <w:t>□</w:t>
            </w:r>
            <w:r>
              <w:rPr>
                <w:sz w:val="18"/>
              </w:rPr>
              <w:t>）</w:t>
            </w: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21" w:firstLine="0"/>
            </w:pPr>
            <w:r>
              <w:rPr>
                <w:sz w:val="18"/>
              </w:rPr>
              <w:t>变更时间</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83" w:firstLine="0"/>
              <w:jc w:val="right"/>
            </w:pPr>
            <w:r>
              <w:rPr>
                <w:sz w:val="18"/>
              </w:rPr>
              <w:t>年月</w:t>
            </w:r>
          </w:p>
        </w:tc>
      </w:tr>
      <w:tr>
        <w:tblPrEx>
          <w:tblCellMar>
            <w:top w:w="42" w:type="dxa"/>
            <w:left w:w="107" w:type="dxa"/>
            <w:bottom w:w="0" w:type="dxa"/>
            <w:right w:w="80" w:type="dxa"/>
          </w:tblCellMar>
        </w:tblPrEx>
        <w:trPr>
          <w:trHeight w:val="32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7" w:firstLine="0"/>
              <w:jc w:val="center"/>
            </w:pPr>
            <w:r>
              <w:rPr>
                <w:rFonts w:ascii="Times New Roman" w:hAnsi="Times New Roman" w:eastAsia="Times New Roman" w:cs="Times New Roman"/>
                <w:sz w:val="18"/>
              </w:rPr>
              <w:t>*</w:t>
            </w:r>
            <w:r>
              <w:rPr>
                <w:sz w:val="18"/>
              </w:rPr>
              <w:t>占用土地面积</w:t>
            </w:r>
          </w:p>
        </w:tc>
        <w:tc>
          <w:tcPr>
            <w:tcW w:w="25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214" w:firstLine="0"/>
            </w:pPr>
            <w:r>
              <w:rPr>
                <w:sz w:val="18"/>
              </w:rPr>
              <w:t>地价</w:t>
            </w:r>
          </w:p>
        </w:tc>
        <w:tc>
          <w:tcPr>
            <w:tcW w:w="151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7" w:firstLine="0"/>
              <w:jc w:val="both"/>
            </w:pPr>
            <w:r>
              <w:rPr>
                <w:rFonts w:ascii="Times New Roman" w:hAnsi="Times New Roman" w:eastAsia="Times New Roman" w:cs="Times New Roman"/>
                <w:sz w:val="18"/>
              </w:rPr>
              <w:t>*</w:t>
            </w:r>
            <w:r>
              <w:rPr>
                <w:sz w:val="18"/>
              </w:rPr>
              <w:t>土地等级</w:t>
            </w:r>
          </w:p>
        </w:tc>
        <w:tc>
          <w:tcPr>
            <w:tcW w:w="3123"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77"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75" w:firstLine="0"/>
            </w:pPr>
            <w:r>
              <w:rPr>
                <w:rFonts w:ascii="Times New Roman" w:hAnsi="Times New Roman" w:eastAsia="Times New Roman" w:cs="Times New Roman"/>
                <w:sz w:val="18"/>
              </w:rPr>
              <w:t>*</w:t>
            </w:r>
            <w:r>
              <w:rPr>
                <w:sz w:val="18"/>
              </w:rPr>
              <w:t>税额标准</w:t>
            </w:r>
          </w:p>
        </w:tc>
        <w:tc>
          <w:tcPr>
            <w:tcW w:w="14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107" w:type="dxa"/>
            <w:bottom w:w="0" w:type="dxa"/>
            <w:right w:w="80" w:type="dxa"/>
          </w:tblCellMar>
        </w:tblPrEx>
        <w:trPr>
          <w:trHeight w:val="353" w:hRule="atLeast"/>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rPr>
                <w:sz w:val="18"/>
              </w:rPr>
              <w:t>减免税部分</w:t>
            </w:r>
          </w:p>
        </w:tc>
        <w:tc>
          <w:tcPr>
            <w:tcW w:w="125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9" w:firstLine="0"/>
              <w:jc w:val="center"/>
            </w:pPr>
            <w:r>
              <w:rPr>
                <w:sz w:val="18"/>
              </w:rPr>
              <w:t>序号</w:t>
            </w:r>
          </w:p>
        </w:tc>
        <w:tc>
          <w:tcPr>
            <w:tcW w:w="5991" w:type="dxa"/>
            <w:gridSpan w:val="6"/>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59" w:firstLine="0"/>
              <w:jc w:val="center"/>
            </w:pPr>
            <w:r>
              <w:rPr>
                <w:sz w:val="18"/>
              </w:rPr>
              <w:t>减免性质代码和项目名称</w:t>
            </w:r>
          </w:p>
        </w:tc>
        <w:tc>
          <w:tcPr>
            <w:tcW w:w="3252"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0" w:right="60" w:firstLine="0"/>
              <w:jc w:val="center"/>
            </w:pPr>
            <w:r>
              <w:rPr>
                <w:sz w:val="18"/>
              </w:rPr>
              <w:t>减免起止时间</w:t>
            </w:r>
          </w:p>
        </w:tc>
        <w:tc>
          <w:tcPr>
            <w:tcW w:w="1377"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rPr>
                <w:sz w:val="18"/>
              </w:rPr>
              <w:t>减免税土地面积</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3" w:firstLine="0"/>
            </w:pPr>
            <w:r>
              <w:rPr>
                <w:sz w:val="18"/>
              </w:rPr>
              <w:t>月减免税金额</w:t>
            </w:r>
          </w:p>
        </w:tc>
      </w:tr>
      <w:tr>
        <w:tblPrEx>
          <w:tblCellMar>
            <w:top w:w="42" w:type="dxa"/>
            <w:left w:w="107" w:type="dxa"/>
            <w:bottom w:w="0" w:type="dxa"/>
            <w:right w:w="80" w:type="dxa"/>
          </w:tblCellMar>
        </w:tblPrEx>
        <w:trPr>
          <w:trHeight w:val="288"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gridSpan w:val="6"/>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56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20" w:firstLine="0"/>
            </w:pPr>
            <w:r>
              <w:rPr>
                <w:sz w:val="18"/>
              </w:rPr>
              <w:t>减免起始月份</w:t>
            </w:r>
          </w:p>
        </w:tc>
        <w:tc>
          <w:tcPr>
            <w:tcW w:w="168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93" w:firstLine="0"/>
            </w:pPr>
            <w:r>
              <w:rPr>
                <w:sz w:val="18"/>
              </w:rPr>
              <w:t>减免终止月份</w:t>
            </w: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107" w:type="dxa"/>
            <w:bottom w:w="0" w:type="dxa"/>
            <w:right w:w="80" w:type="dxa"/>
          </w:tblCellMar>
        </w:tblPrEx>
        <w:trPr>
          <w:trHeight w:val="294"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251" w:type="dxa"/>
            <w:tcBorders>
              <w:top w:val="single" w:color="000000" w:sz="4" w:space="0"/>
              <w:left w:val="single" w:color="000000" w:sz="4" w:space="0"/>
              <w:bottom w:val="single" w:color="000000" w:sz="4" w:space="0"/>
              <w:right w:val="single" w:color="000000" w:sz="4" w:space="0"/>
            </w:tcBorders>
          </w:tcPr>
          <w:p>
            <w:pPr>
              <w:spacing w:after="0" w:line="259" w:lineRule="auto"/>
              <w:ind w:left="0" w:right="30" w:firstLine="0"/>
              <w:jc w:val="center"/>
            </w:pPr>
            <w:r>
              <w:rPr>
                <w:sz w:val="18"/>
              </w:rPr>
              <w:t>1</w:t>
            </w:r>
          </w:p>
        </w:tc>
        <w:tc>
          <w:tcPr>
            <w:tcW w:w="5991"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6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59" w:firstLine="0"/>
              <w:jc w:val="center"/>
            </w:pPr>
            <w:r>
              <w:rPr>
                <w:sz w:val="18"/>
              </w:rPr>
              <w:t>年月</w:t>
            </w:r>
          </w:p>
        </w:tc>
        <w:tc>
          <w:tcPr>
            <w:tcW w:w="168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8" w:firstLine="0"/>
              <w:jc w:val="center"/>
            </w:pPr>
            <w:r>
              <w:rPr>
                <w:sz w:val="18"/>
              </w:rPr>
              <w:t>年月</w:t>
            </w:r>
          </w:p>
        </w:tc>
        <w:tc>
          <w:tcPr>
            <w:tcW w:w="137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107" w:type="dxa"/>
            <w:bottom w:w="0" w:type="dxa"/>
            <w:right w:w="80" w:type="dxa"/>
          </w:tblCellMar>
        </w:tblPrEx>
        <w:trPr>
          <w:trHeight w:val="294"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251" w:type="dxa"/>
            <w:tcBorders>
              <w:top w:val="single" w:color="000000" w:sz="4" w:space="0"/>
              <w:left w:val="single" w:color="000000" w:sz="4" w:space="0"/>
              <w:bottom w:val="single" w:color="000000" w:sz="4" w:space="0"/>
              <w:right w:val="single" w:color="000000" w:sz="4" w:space="0"/>
            </w:tcBorders>
          </w:tcPr>
          <w:p>
            <w:pPr>
              <w:spacing w:after="0" w:line="259" w:lineRule="auto"/>
              <w:ind w:left="0" w:right="30" w:firstLine="0"/>
              <w:jc w:val="center"/>
            </w:pPr>
            <w:r>
              <w:rPr>
                <w:sz w:val="18"/>
              </w:rPr>
              <w:t>2</w:t>
            </w:r>
          </w:p>
        </w:tc>
        <w:tc>
          <w:tcPr>
            <w:tcW w:w="5991"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6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83"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7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107" w:type="dxa"/>
            <w:bottom w:w="0" w:type="dxa"/>
            <w:right w:w="80" w:type="dxa"/>
          </w:tblCellMar>
        </w:tblPrEx>
        <w:trPr>
          <w:trHeight w:val="294"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251" w:type="dxa"/>
            <w:tcBorders>
              <w:top w:val="single" w:color="000000" w:sz="4" w:space="0"/>
              <w:left w:val="single" w:color="000000" w:sz="4" w:space="0"/>
              <w:bottom w:val="single" w:color="000000" w:sz="4" w:space="0"/>
              <w:right w:val="single" w:color="000000" w:sz="4" w:space="0"/>
            </w:tcBorders>
          </w:tcPr>
          <w:p>
            <w:pPr>
              <w:spacing w:after="0" w:line="259" w:lineRule="auto"/>
              <w:ind w:left="0" w:right="30" w:firstLine="0"/>
              <w:jc w:val="center"/>
            </w:pPr>
            <w:r>
              <w:rPr>
                <w:sz w:val="18"/>
              </w:rPr>
              <w:t>3</w:t>
            </w:r>
          </w:p>
        </w:tc>
        <w:tc>
          <w:tcPr>
            <w:tcW w:w="5991"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6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83"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7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107" w:type="dxa"/>
            <w:bottom w:w="0" w:type="dxa"/>
            <w:right w:w="80" w:type="dxa"/>
          </w:tblCellMar>
        </w:tblPrEx>
        <w:trPr>
          <w:trHeight w:val="387" w:hRule="atLeast"/>
        </w:trPr>
        <w:tc>
          <w:tcPr>
            <w:tcW w:w="208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12060" w:type="dxa"/>
            <w:gridSpan w:val="13"/>
            <w:tcBorders>
              <w:top w:val="single" w:color="000000" w:sz="4" w:space="0"/>
              <w:left w:val="nil"/>
              <w:bottom w:val="single" w:color="000000" w:sz="4" w:space="0"/>
              <w:right w:val="single" w:color="000000" w:sz="4" w:space="0"/>
            </w:tcBorders>
          </w:tcPr>
          <w:p>
            <w:pPr>
              <w:spacing w:after="0" w:line="259" w:lineRule="auto"/>
              <w:ind w:left="3934" w:firstLine="0"/>
            </w:pPr>
            <w:r>
              <w:t>二、房产税税源明细</w:t>
            </w:r>
          </w:p>
        </w:tc>
      </w:tr>
      <w:tr>
        <w:tblPrEx>
          <w:tblCellMar>
            <w:top w:w="42" w:type="dxa"/>
            <w:left w:w="107" w:type="dxa"/>
            <w:bottom w:w="0" w:type="dxa"/>
            <w:right w:w="80" w:type="dxa"/>
          </w:tblCellMar>
        </w:tblPrEx>
        <w:trPr>
          <w:trHeight w:val="402" w:hRule="atLeast"/>
        </w:trPr>
        <w:tc>
          <w:tcPr>
            <w:tcW w:w="208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12060" w:type="dxa"/>
            <w:gridSpan w:val="13"/>
            <w:tcBorders>
              <w:top w:val="single" w:color="000000" w:sz="4" w:space="0"/>
              <w:left w:val="nil"/>
              <w:bottom w:val="single" w:color="000000" w:sz="4" w:space="0"/>
              <w:right w:val="single" w:color="000000" w:sz="4" w:space="0"/>
            </w:tcBorders>
          </w:tcPr>
          <w:p>
            <w:pPr>
              <w:spacing w:after="0" w:line="259" w:lineRule="auto"/>
              <w:ind w:left="3618" w:firstLine="0"/>
            </w:pPr>
            <w:r>
              <w:t>（一）从价计征房产税明细</w:t>
            </w:r>
          </w:p>
        </w:tc>
      </w:tr>
      <w:tr>
        <w:tblPrEx>
          <w:tblCellMar>
            <w:top w:w="42" w:type="dxa"/>
            <w:left w:w="107" w:type="dxa"/>
            <w:bottom w:w="0" w:type="dxa"/>
            <w:right w:w="80" w:type="dxa"/>
          </w:tblCellMar>
        </w:tblPrEx>
        <w:trPr>
          <w:trHeight w:val="728" w:hRule="atLeast"/>
        </w:trPr>
        <w:tc>
          <w:tcPr>
            <w:tcW w:w="2088"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7" w:firstLine="0"/>
              <w:jc w:val="center"/>
            </w:pPr>
            <w:r>
              <w:rPr>
                <w:rFonts w:ascii="Times New Roman" w:hAnsi="Times New Roman" w:eastAsia="Times New Roman" w:cs="Times New Roman"/>
                <w:sz w:val="18"/>
              </w:rPr>
              <w:t>*</w:t>
            </w:r>
            <w:r>
              <w:rPr>
                <w:sz w:val="18"/>
              </w:rPr>
              <w:t>纳税人类型</w:t>
            </w:r>
          </w:p>
        </w:tc>
        <w:tc>
          <w:tcPr>
            <w:tcW w:w="3999" w:type="dxa"/>
            <w:gridSpan w:val="4"/>
            <w:tcBorders>
              <w:top w:val="single" w:color="000000" w:sz="4" w:space="0"/>
              <w:left w:val="single" w:color="000000" w:sz="4" w:space="0"/>
              <w:bottom w:val="single" w:color="000000" w:sz="4" w:space="0"/>
              <w:right w:val="single" w:color="000000" w:sz="4" w:space="0"/>
            </w:tcBorders>
          </w:tcPr>
          <w:p>
            <w:pPr>
              <w:spacing w:after="9" w:line="259" w:lineRule="auto"/>
              <w:ind w:left="0" w:right="27" w:firstLine="0"/>
              <w:jc w:val="center"/>
            </w:pPr>
            <w:r>
              <w:rPr>
                <w:sz w:val="18"/>
              </w:rPr>
              <w:t>产权所有人</w:t>
            </w:r>
            <w:r>
              <w:rPr>
                <w:rFonts w:ascii="Times New Roman" w:hAnsi="Times New Roman" w:eastAsia="Times New Roman" w:cs="Times New Roman"/>
                <w:sz w:val="18"/>
              </w:rPr>
              <w:t xml:space="preserve">□ </w:t>
            </w:r>
            <w:r>
              <w:rPr>
                <w:sz w:val="18"/>
              </w:rPr>
              <w:t>经营管理人</w:t>
            </w:r>
            <w:r>
              <w:rPr>
                <w:rFonts w:ascii="Times New Roman" w:hAnsi="Times New Roman" w:eastAsia="Times New Roman" w:cs="Times New Roman"/>
                <w:sz w:val="18"/>
              </w:rPr>
              <w:t xml:space="preserve">□ </w:t>
            </w:r>
            <w:r>
              <w:rPr>
                <w:sz w:val="18"/>
              </w:rPr>
              <w:t>承典人</w:t>
            </w:r>
            <w:r>
              <w:rPr>
                <w:rFonts w:ascii="Times New Roman" w:hAnsi="Times New Roman" w:eastAsia="Times New Roman" w:cs="Times New Roman"/>
                <w:sz w:val="18"/>
              </w:rPr>
              <w:t>□</w:t>
            </w:r>
          </w:p>
          <w:p>
            <w:pPr>
              <w:spacing w:line="259" w:lineRule="auto"/>
              <w:ind w:left="109" w:firstLine="0"/>
            </w:pPr>
            <w:r>
              <w:rPr>
                <w:sz w:val="18"/>
              </w:rPr>
              <w:t>房屋代管人</w:t>
            </w:r>
            <w:r>
              <w:rPr>
                <w:rFonts w:ascii="Times New Roman" w:hAnsi="Times New Roman" w:eastAsia="Times New Roman" w:cs="Times New Roman"/>
                <w:sz w:val="18"/>
              </w:rPr>
              <w:t xml:space="preserve">□ </w:t>
            </w:r>
            <w:r>
              <w:rPr>
                <w:sz w:val="18"/>
              </w:rPr>
              <w:t>房屋使用人</w:t>
            </w:r>
            <w:r>
              <w:rPr>
                <w:rFonts w:ascii="Times New Roman" w:hAnsi="Times New Roman" w:eastAsia="Times New Roman" w:cs="Times New Roman"/>
                <w:sz w:val="18"/>
              </w:rPr>
              <w:t xml:space="preserve">□ </w:t>
            </w:r>
            <w:r>
              <w:rPr>
                <w:sz w:val="18"/>
              </w:rPr>
              <w:t>融资租赁承租人</w:t>
            </w:r>
            <w:r>
              <w:rPr>
                <w:rFonts w:ascii="Times New Roman" w:hAnsi="Times New Roman" w:eastAsia="Times New Roman" w:cs="Times New Roman"/>
                <w:sz w:val="18"/>
              </w:rPr>
              <w:t>□</w:t>
            </w:r>
          </w:p>
          <w:p>
            <w:pPr>
              <w:spacing w:after="0" w:line="259" w:lineRule="auto"/>
              <w:ind w:left="0" w:right="28" w:firstLine="0"/>
              <w:jc w:val="center"/>
            </w:pPr>
            <w:r>
              <w:rPr>
                <w:sz w:val="18"/>
              </w:rPr>
              <w:t>（必选）</w:t>
            </w:r>
          </w:p>
        </w:tc>
        <w:tc>
          <w:tcPr>
            <w:tcW w:w="1992"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rPr>
                <w:sz w:val="18"/>
              </w:rPr>
              <w:t>所有权人纳税人识别号（统一社会信用代码）</w:t>
            </w:r>
          </w:p>
        </w:tc>
        <w:tc>
          <w:tcPr>
            <w:tcW w:w="2433"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93" w:firstLine="0"/>
            </w:pPr>
            <w:r>
              <w:rPr>
                <w:sz w:val="18"/>
              </w:rPr>
              <w:t>所有权人名称</w:t>
            </w:r>
          </w:p>
        </w:tc>
        <w:tc>
          <w:tcPr>
            <w:tcW w:w="195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0" w:line="259" w:lineRule="auto"/>
        <w:ind w:left="-1291" w:right="31" w:firstLine="0"/>
      </w:pPr>
    </w:p>
    <w:tbl>
      <w:tblPr>
        <w:tblStyle w:val="18"/>
        <w:tblW w:w="14148" w:type="dxa"/>
        <w:tblInd w:w="41" w:type="dxa"/>
        <w:tblLayout w:type="autofit"/>
        <w:tblCellMar>
          <w:top w:w="42" w:type="dxa"/>
          <w:left w:w="0" w:type="dxa"/>
          <w:bottom w:w="0" w:type="dxa"/>
          <w:right w:w="0" w:type="dxa"/>
        </w:tblCellMar>
      </w:tblPr>
      <w:tblGrid>
        <w:gridCol w:w="839"/>
        <w:gridCol w:w="1249"/>
        <w:gridCol w:w="1368"/>
        <w:gridCol w:w="1144"/>
        <w:gridCol w:w="1012"/>
        <w:gridCol w:w="475"/>
        <w:gridCol w:w="1992"/>
        <w:gridCol w:w="1546"/>
        <w:gridCol w:w="300"/>
        <w:gridCol w:w="548"/>
        <w:gridCol w:w="858"/>
        <w:gridCol w:w="366"/>
        <w:gridCol w:w="1015"/>
        <w:gridCol w:w="119"/>
        <w:gridCol w:w="1317"/>
      </w:tblGrid>
      <w:tr>
        <w:trPr>
          <w:trHeight w:val="32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rFonts w:ascii="Times New Roman" w:hAnsi="Times New Roman" w:eastAsia="Times New Roman" w:cs="Times New Roman"/>
                <w:sz w:val="18"/>
              </w:rPr>
              <w:t>*</w:t>
            </w:r>
            <w:r>
              <w:rPr>
                <w:sz w:val="18"/>
              </w:rPr>
              <w:t>房产编号</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1487"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1992"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rPr>
                <w:sz w:val="18"/>
              </w:rPr>
              <w:t>房产名称</w:t>
            </w:r>
          </w:p>
        </w:tc>
        <w:tc>
          <w:tcPr>
            <w:tcW w:w="3252" w:type="dxa"/>
            <w:gridSpan w:val="4"/>
            <w:tcBorders>
              <w:top w:val="single" w:color="000000" w:sz="4" w:space="0"/>
              <w:left w:val="single" w:color="000000" w:sz="4" w:space="0"/>
              <w:bottom w:val="single" w:color="000000" w:sz="4" w:space="0"/>
              <w:right w:val="nil"/>
            </w:tcBorders>
          </w:tcPr>
          <w:p>
            <w:pPr>
              <w:spacing w:after="160" w:line="259" w:lineRule="auto"/>
              <w:ind w:left="0" w:firstLine="0"/>
            </w:pPr>
          </w:p>
        </w:tc>
        <w:tc>
          <w:tcPr>
            <w:tcW w:w="2817"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2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不动产权证号</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1487"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1992" w:type="dxa"/>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rPr>
                <w:sz w:val="18"/>
              </w:rPr>
              <w:t>不动产单元代码</w:t>
            </w:r>
          </w:p>
        </w:tc>
        <w:tc>
          <w:tcPr>
            <w:tcW w:w="3252" w:type="dxa"/>
            <w:gridSpan w:val="4"/>
            <w:tcBorders>
              <w:top w:val="single" w:color="000000" w:sz="4" w:space="0"/>
              <w:left w:val="single" w:color="000000" w:sz="4" w:space="0"/>
              <w:bottom w:val="single" w:color="000000" w:sz="4" w:space="0"/>
              <w:right w:val="nil"/>
            </w:tcBorders>
          </w:tcPr>
          <w:p>
            <w:pPr>
              <w:spacing w:after="160" w:line="259" w:lineRule="auto"/>
              <w:ind w:left="0" w:firstLine="0"/>
            </w:pPr>
          </w:p>
        </w:tc>
        <w:tc>
          <w:tcPr>
            <w:tcW w:w="2817"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49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rFonts w:ascii="Times New Roman" w:hAnsi="Times New Roman" w:eastAsia="Times New Roman" w:cs="Times New Roman"/>
                <w:sz w:val="18"/>
              </w:rPr>
              <w:t>*</w:t>
            </w:r>
            <w:r>
              <w:rPr>
                <w:sz w:val="18"/>
              </w:rPr>
              <w:t>房屋坐落地址（详细地址）</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vAlign w:val="center"/>
          </w:tcPr>
          <w:p>
            <w:pPr>
              <w:spacing w:after="0" w:line="259" w:lineRule="auto"/>
              <w:ind w:left="0" w:right="83" w:firstLine="0"/>
              <w:jc w:val="right"/>
            </w:pPr>
            <w:r>
              <w:rPr>
                <w:sz w:val="18"/>
              </w:rPr>
              <w:t>省（自</w:t>
            </w:r>
          </w:p>
        </w:tc>
        <w:tc>
          <w:tcPr>
            <w:tcW w:w="6731" w:type="dxa"/>
            <w:gridSpan w:val="7"/>
            <w:tcBorders>
              <w:top w:val="single" w:color="000000" w:sz="4" w:space="0"/>
              <w:left w:val="nil"/>
              <w:bottom w:val="single" w:color="000000" w:sz="4" w:space="0"/>
              <w:right w:val="nil"/>
            </w:tcBorders>
            <w:vAlign w:val="center"/>
          </w:tcPr>
          <w:p>
            <w:pPr>
              <w:tabs>
                <w:tab w:val="center" w:pos="2168"/>
                <w:tab w:val="center" w:pos="3608"/>
                <w:tab w:val="center" w:pos="5768"/>
              </w:tabs>
              <w:spacing w:after="0" w:line="259" w:lineRule="auto"/>
              <w:ind w:left="-83" w:firstLine="0"/>
            </w:pPr>
            <w:r>
              <w:rPr>
                <w:sz w:val="18"/>
              </w:rPr>
              <w:t>治区、直辖市）</w:t>
            </w:r>
            <w:r>
              <w:rPr>
                <w:sz w:val="18"/>
              </w:rPr>
              <w:tab/>
            </w:r>
            <w:r>
              <w:rPr>
                <w:sz w:val="18"/>
              </w:rPr>
              <w:t>市（区）</w:t>
            </w:r>
            <w:r>
              <w:rPr>
                <w:sz w:val="18"/>
              </w:rPr>
              <w:tab/>
            </w:r>
            <w:r>
              <w:rPr>
                <w:sz w:val="18"/>
              </w:rPr>
              <w:t>县（区）</w:t>
            </w:r>
            <w:r>
              <w:rPr>
                <w:sz w:val="18"/>
              </w:rPr>
              <w:tab/>
            </w:r>
            <w:r>
              <w:rPr>
                <w:sz w:val="18"/>
              </w:rPr>
              <w:t>乡镇（街道）</w:t>
            </w:r>
          </w:p>
        </w:tc>
        <w:tc>
          <w:tcPr>
            <w:tcW w:w="2817" w:type="dxa"/>
            <w:gridSpan w:val="4"/>
            <w:tcBorders>
              <w:top w:val="single" w:color="000000" w:sz="4" w:space="0"/>
              <w:left w:val="nil"/>
              <w:bottom w:val="single" w:color="000000" w:sz="4" w:space="0"/>
              <w:right w:val="single" w:color="000000" w:sz="4" w:space="0"/>
            </w:tcBorders>
            <w:vAlign w:val="center"/>
          </w:tcPr>
          <w:p>
            <w:pPr>
              <w:spacing w:after="0" w:line="259" w:lineRule="auto"/>
              <w:ind w:left="475" w:firstLine="0"/>
              <w:jc w:val="center"/>
            </w:pPr>
            <w:r>
              <w:rPr>
                <w:sz w:val="18"/>
              </w:rPr>
              <w:t>（必填）</w:t>
            </w:r>
          </w:p>
        </w:tc>
      </w:tr>
      <w:tr>
        <w:tblPrEx>
          <w:tblCellMar>
            <w:top w:w="42" w:type="dxa"/>
            <w:left w:w="0" w:type="dxa"/>
            <w:bottom w:w="0" w:type="dxa"/>
            <w:right w:w="0" w:type="dxa"/>
          </w:tblCellMar>
        </w:tblPrEx>
        <w:trPr>
          <w:trHeight w:val="49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90" w:firstLine="0"/>
            </w:pPr>
            <w:r>
              <w:rPr>
                <w:rFonts w:ascii="Times New Roman" w:hAnsi="Times New Roman" w:eastAsia="Times New Roman" w:cs="Times New Roman"/>
                <w:sz w:val="18"/>
              </w:rPr>
              <w:t>*</w:t>
            </w:r>
            <w:r>
              <w:rPr>
                <w:sz w:val="18"/>
              </w:rPr>
              <w:t>房产所属主管税务所</w:t>
            </w:r>
          </w:p>
          <w:p>
            <w:pPr>
              <w:spacing w:after="0" w:line="259" w:lineRule="auto"/>
              <w:ind w:left="0" w:firstLine="0"/>
              <w:jc w:val="center"/>
            </w:pPr>
            <w:r>
              <w:rPr>
                <w:sz w:val="18"/>
              </w:rPr>
              <w:t>（科、分局）</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6731" w:type="dxa"/>
            <w:gridSpan w:val="7"/>
            <w:tcBorders>
              <w:top w:val="single" w:color="000000" w:sz="4" w:space="0"/>
              <w:left w:val="nil"/>
              <w:bottom w:val="single" w:color="000000" w:sz="4" w:space="0"/>
              <w:right w:val="nil"/>
            </w:tcBorders>
          </w:tcPr>
          <w:p>
            <w:pPr>
              <w:spacing w:after="160" w:line="259" w:lineRule="auto"/>
              <w:ind w:left="0" w:firstLine="0"/>
            </w:pPr>
          </w:p>
        </w:tc>
        <w:tc>
          <w:tcPr>
            <w:tcW w:w="2817"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6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24" w:firstLine="0"/>
            </w:pPr>
            <w:r>
              <w:rPr>
                <w:sz w:val="18"/>
              </w:rPr>
              <w:t>房屋所在土地编号</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101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467"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rPr>
                <w:rFonts w:ascii="Times New Roman" w:hAnsi="Times New Roman" w:eastAsia="Times New Roman" w:cs="Times New Roman"/>
                <w:sz w:val="18"/>
              </w:rPr>
              <w:t>*</w:t>
            </w:r>
            <w:r>
              <w:rPr>
                <w:sz w:val="18"/>
              </w:rPr>
              <w:t>房产用途</w:t>
            </w:r>
          </w:p>
        </w:tc>
        <w:tc>
          <w:tcPr>
            <w:tcW w:w="3252" w:type="dxa"/>
            <w:gridSpan w:val="4"/>
            <w:tcBorders>
              <w:top w:val="single" w:color="000000" w:sz="4" w:space="0"/>
              <w:left w:val="single" w:color="000000" w:sz="4" w:space="0"/>
              <w:bottom w:val="single" w:color="000000" w:sz="4" w:space="0"/>
              <w:right w:val="nil"/>
            </w:tcBorders>
          </w:tcPr>
          <w:p>
            <w:pPr>
              <w:spacing w:after="0" w:line="259" w:lineRule="auto"/>
              <w:ind w:left="141" w:firstLine="0"/>
            </w:pPr>
            <w:r>
              <w:rPr>
                <w:sz w:val="18"/>
              </w:rPr>
              <w:t>工业</w:t>
            </w:r>
            <w:r>
              <w:rPr>
                <w:rFonts w:ascii="Times New Roman" w:hAnsi="Times New Roman" w:eastAsia="Times New Roman" w:cs="Times New Roman"/>
                <w:sz w:val="18"/>
              </w:rPr>
              <w:t xml:space="preserve">□ </w:t>
            </w:r>
            <w:r>
              <w:rPr>
                <w:sz w:val="18"/>
              </w:rPr>
              <w:t>商业及办公</w:t>
            </w:r>
            <w:r>
              <w:rPr>
                <w:rFonts w:ascii="Times New Roman" w:hAnsi="Times New Roman" w:eastAsia="Times New Roman" w:cs="Times New Roman"/>
                <w:sz w:val="18"/>
              </w:rPr>
              <w:t xml:space="preserve">□ </w:t>
            </w:r>
            <w:r>
              <w:rPr>
                <w:sz w:val="18"/>
              </w:rPr>
              <w:t>住房</w:t>
            </w:r>
            <w:r>
              <w:rPr>
                <w:rFonts w:ascii="Times New Roman" w:hAnsi="Times New Roman" w:eastAsia="Times New Roman" w:cs="Times New Roman"/>
                <w:sz w:val="18"/>
              </w:rPr>
              <w:t xml:space="preserve">□ </w:t>
            </w:r>
            <w:r>
              <w:rPr>
                <w:sz w:val="18"/>
              </w:rPr>
              <w:t>其他</w:t>
            </w:r>
            <w:r>
              <w:rPr>
                <w:rFonts w:ascii="Times New Roman" w:hAnsi="Times New Roman" w:eastAsia="Times New Roman" w:cs="Times New Roman"/>
                <w:sz w:val="18"/>
              </w:rPr>
              <w:t>□</w:t>
            </w:r>
          </w:p>
        </w:tc>
        <w:tc>
          <w:tcPr>
            <w:tcW w:w="2817" w:type="dxa"/>
            <w:gridSpan w:val="4"/>
            <w:tcBorders>
              <w:top w:val="single" w:color="000000" w:sz="4" w:space="0"/>
              <w:left w:val="nil"/>
              <w:bottom w:val="single" w:color="000000" w:sz="4" w:space="0"/>
              <w:right w:val="single" w:color="000000" w:sz="4" w:space="0"/>
            </w:tcBorders>
          </w:tcPr>
          <w:p>
            <w:pPr>
              <w:spacing w:after="0" w:line="259" w:lineRule="auto"/>
              <w:ind w:left="563" w:firstLine="0"/>
            </w:pPr>
            <w:r>
              <w:rPr>
                <w:sz w:val="18"/>
              </w:rPr>
              <w:t>（必选）</w:t>
            </w:r>
          </w:p>
        </w:tc>
      </w:tr>
      <w:tr>
        <w:tblPrEx>
          <w:tblCellMar>
            <w:top w:w="42" w:type="dxa"/>
            <w:left w:w="0" w:type="dxa"/>
            <w:bottom w:w="0" w:type="dxa"/>
            <w:right w:w="0" w:type="dxa"/>
          </w:tblCellMar>
        </w:tblPrEx>
        <w:trPr>
          <w:trHeight w:val="730" w:hRule="atLeast"/>
        </w:trPr>
        <w:tc>
          <w:tcPr>
            <w:tcW w:w="2088"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rPr>
                <w:rFonts w:ascii="Times New Roman" w:hAnsi="Times New Roman" w:eastAsia="Times New Roman" w:cs="Times New Roman"/>
                <w:sz w:val="18"/>
              </w:rPr>
              <w:t>*</w:t>
            </w:r>
            <w:r>
              <w:rPr>
                <w:sz w:val="18"/>
              </w:rPr>
              <w:t>房产取得时间</w:t>
            </w:r>
          </w:p>
        </w:tc>
        <w:tc>
          <w:tcPr>
            <w:tcW w:w="1368" w:type="dxa"/>
            <w:tcBorders>
              <w:top w:val="single" w:color="000000" w:sz="4" w:space="0"/>
              <w:left w:val="single" w:color="000000" w:sz="4" w:space="0"/>
              <w:bottom w:val="single" w:color="000000" w:sz="4" w:space="0"/>
              <w:right w:val="nil"/>
            </w:tcBorders>
            <w:vAlign w:val="center"/>
          </w:tcPr>
          <w:p>
            <w:pPr>
              <w:spacing w:after="0" w:line="259" w:lineRule="auto"/>
              <w:ind w:left="602" w:firstLine="0"/>
              <w:jc w:val="center"/>
            </w:pPr>
            <w:r>
              <w:rPr>
                <w:sz w:val="18"/>
              </w:rPr>
              <w:t>年</w:t>
            </w:r>
          </w:p>
        </w:tc>
        <w:tc>
          <w:tcPr>
            <w:tcW w:w="1144" w:type="dxa"/>
            <w:tcBorders>
              <w:top w:val="single" w:color="000000" w:sz="4" w:space="0"/>
              <w:left w:val="nil"/>
              <w:bottom w:val="single" w:color="000000" w:sz="4" w:space="0"/>
              <w:right w:val="single" w:color="000000" w:sz="4" w:space="0"/>
            </w:tcBorders>
            <w:vAlign w:val="center"/>
          </w:tcPr>
          <w:p>
            <w:pPr>
              <w:spacing w:after="0" w:line="259" w:lineRule="auto"/>
              <w:ind w:left="67" w:firstLine="0"/>
            </w:pPr>
            <w:r>
              <w:rPr>
                <w:sz w:val="18"/>
              </w:rPr>
              <w:t>月</w:t>
            </w:r>
          </w:p>
        </w:tc>
        <w:tc>
          <w:tcPr>
            <w:tcW w:w="101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5" w:firstLine="0"/>
              <w:jc w:val="both"/>
            </w:pPr>
            <w:r>
              <w:rPr>
                <w:sz w:val="18"/>
              </w:rPr>
              <w:t>变更类型</w:t>
            </w:r>
          </w:p>
        </w:tc>
        <w:tc>
          <w:tcPr>
            <w:tcW w:w="5719" w:type="dxa"/>
            <w:gridSpan w:val="6"/>
            <w:tcBorders>
              <w:top w:val="single" w:color="000000" w:sz="4" w:space="0"/>
              <w:left w:val="single" w:color="000000" w:sz="4" w:space="0"/>
              <w:bottom w:val="single" w:color="000000" w:sz="4" w:space="0"/>
              <w:right w:val="single" w:color="000000" w:sz="4" w:space="0"/>
            </w:tcBorders>
          </w:tcPr>
          <w:p>
            <w:pPr>
              <w:spacing w:after="9" w:line="259" w:lineRule="auto"/>
              <w:ind w:left="107" w:firstLine="0"/>
            </w:pPr>
            <w:r>
              <w:rPr>
                <w:sz w:val="18"/>
              </w:rPr>
              <w:t>纳税义务终止（权属转移</w:t>
            </w:r>
            <w:r>
              <w:rPr>
                <w:rFonts w:ascii="Times New Roman" w:hAnsi="Times New Roman" w:eastAsia="Times New Roman" w:cs="Times New Roman"/>
                <w:sz w:val="18"/>
              </w:rPr>
              <w:t xml:space="preserve">□ </w:t>
            </w:r>
            <w:r>
              <w:rPr>
                <w:sz w:val="18"/>
              </w:rPr>
              <w:t>其他</w:t>
            </w:r>
            <w:r>
              <w:rPr>
                <w:rFonts w:ascii="Times New Roman" w:hAnsi="Times New Roman" w:eastAsia="Times New Roman" w:cs="Times New Roman"/>
                <w:sz w:val="18"/>
              </w:rPr>
              <w:t>□</w:t>
            </w:r>
            <w:r>
              <w:rPr>
                <w:sz w:val="18"/>
              </w:rPr>
              <w:t>）</w:t>
            </w:r>
          </w:p>
          <w:p>
            <w:pPr>
              <w:spacing w:after="0" w:line="259" w:lineRule="auto"/>
              <w:ind w:left="1187" w:hanging="1080"/>
            </w:pPr>
            <w:r>
              <w:rPr>
                <w:sz w:val="18"/>
              </w:rPr>
              <w:t>信息项变更（房产原值变更</w:t>
            </w:r>
            <w:r>
              <w:rPr>
                <w:rFonts w:ascii="Times New Roman" w:hAnsi="Times New Roman" w:eastAsia="Times New Roman" w:cs="Times New Roman"/>
                <w:sz w:val="18"/>
              </w:rPr>
              <w:t xml:space="preserve">□ </w:t>
            </w:r>
            <w:r>
              <w:rPr>
                <w:sz w:val="18"/>
              </w:rPr>
              <w:t>出租房产原值变更</w:t>
            </w:r>
            <w:r>
              <w:rPr>
                <w:rFonts w:ascii="Times New Roman" w:hAnsi="Times New Roman" w:eastAsia="Times New Roman" w:cs="Times New Roman"/>
                <w:sz w:val="18"/>
              </w:rPr>
              <w:t xml:space="preserve">□ </w:t>
            </w:r>
            <w:r>
              <w:rPr>
                <w:sz w:val="18"/>
              </w:rPr>
              <w:t>减免税变更</w:t>
            </w:r>
            <w:r>
              <w:rPr>
                <w:rFonts w:ascii="Times New Roman" w:hAnsi="Times New Roman" w:eastAsia="Times New Roman" w:cs="Times New Roman"/>
                <w:sz w:val="18"/>
              </w:rPr>
              <w:t xml:space="preserve">□ </w:t>
            </w:r>
            <w:r>
              <w:rPr>
                <w:sz w:val="18"/>
              </w:rPr>
              <w:t>申报租金收入变更</w:t>
            </w:r>
            <w:r>
              <w:rPr>
                <w:rFonts w:ascii="Times New Roman" w:hAnsi="Times New Roman" w:eastAsia="Times New Roman" w:cs="Times New Roman"/>
                <w:sz w:val="18"/>
              </w:rPr>
              <w:t xml:space="preserve">□ </w:t>
            </w:r>
            <w:r>
              <w:rPr>
                <w:sz w:val="18"/>
              </w:rPr>
              <w:t>其他</w:t>
            </w:r>
            <w:r>
              <w:rPr>
                <w:rFonts w:ascii="Times New Roman" w:hAnsi="Times New Roman" w:eastAsia="Times New Roman" w:cs="Times New Roman"/>
                <w:sz w:val="18"/>
              </w:rPr>
              <w:t>□</w:t>
            </w:r>
            <w:r>
              <w:rPr>
                <w:sz w:val="18"/>
              </w:rPr>
              <w:t>）</w:t>
            </w:r>
          </w:p>
        </w:tc>
        <w:tc>
          <w:tcPr>
            <w:tcW w:w="138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31" w:firstLine="0"/>
            </w:pPr>
            <w:r>
              <w:rPr>
                <w:sz w:val="18"/>
              </w:rPr>
              <w:t>变更时间</w:t>
            </w: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58" w:firstLine="0"/>
              <w:jc w:val="right"/>
            </w:pPr>
            <w:r>
              <w:rPr>
                <w:sz w:val="18"/>
              </w:rPr>
              <w:t>年月</w:t>
            </w:r>
          </w:p>
        </w:tc>
      </w:tr>
      <w:tr>
        <w:tblPrEx>
          <w:tblCellMar>
            <w:top w:w="42" w:type="dxa"/>
            <w:left w:w="0" w:type="dxa"/>
            <w:bottom w:w="0" w:type="dxa"/>
            <w:right w:w="0" w:type="dxa"/>
          </w:tblCellMar>
        </w:tblPrEx>
        <w:trPr>
          <w:trHeight w:val="32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rFonts w:ascii="Times New Roman" w:hAnsi="Times New Roman" w:eastAsia="Times New Roman" w:cs="Times New Roman"/>
                <w:sz w:val="18"/>
              </w:rPr>
              <w:t>*</w:t>
            </w:r>
            <w:r>
              <w:rPr>
                <w:sz w:val="18"/>
              </w:rPr>
              <w:t>建筑面积</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101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467"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5" w:firstLine="0"/>
              <w:jc w:val="center"/>
            </w:pPr>
            <w:r>
              <w:rPr>
                <w:sz w:val="18"/>
              </w:rPr>
              <w:t>其中：出租房产面积</w:t>
            </w:r>
          </w:p>
        </w:tc>
        <w:tc>
          <w:tcPr>
            <w:tcW w:w="3252" w:type="dxa"/>
            <w:gridSpan w:val="4"/>
            <w:tcBorders>
              <w:top w:val="single" w:color="000000" w:sz="4" w:space="0"/>
              <w:left w:val="single" w:color="000000" w:sz="4" w:space="0"/>
              <w:bottom w:val="single" w:color="000000" w:sz="4" w:space="0"/>
              <w:right w:val="nil"/>
            </w:tcBorders>
          </w:tcPr>
          <w:p>
            <w:pPr>
              <w:spacing w:after="160" w:line="259" w:lineRule="auto"/>
              <w:ind w:left="0" w:firstLine="0"/>
            </w:pPr>
          </w:p>
        </w:tc>
        <w:tc>
          <w:tcPr>
            <w:tcW w:w="2817"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rPr>
          <w:trHeight w:val="320" w:hRule="atLeast"/>
        </w:trPr>
        <w:tc>
          <w:tcPr>
            <w:tcW w:w="20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rFonts w:ascii="Times New Roman" w:hAnsi="Times New Roman" w:eastAsia="Times New Roman" w:cs="Times New Roman"/>
                <w:sz w:val="18"/>
              </w:rPr>
              <w:t>*</w:t>
            </w:r>
            <w:r>
              <w:rPr>
                <w:sz w:val="18"/>
              </w:rPr>
              <w:t>房产原值</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101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467"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5" w:firstLine="0"/>
              <w:jc w:val="center"/>
            </w:pPr>
            <w:r>
              <w:rPr>
                <w:sz w:val="18"/>
              </w:rPr>
              <w:t>其中：出租房产原值</w:t>
            </w:r>
          </w:p>
        </w:tc>
        <w:tc>
          <w:tcPr>
            <w:tcW w:w="3252"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8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31" w:firstLine="0"/>
            </w:pPr>
            <w:r>
              <w:rPr>
                <w:sz w:val="18"/>
              </w:rPr>
              <w:t>计税比例</w:t>
            </w:r>
          </w:p>
        </w:tc>
        <w:tc>
          <w:tcPr>
            <w:tcW w:w="143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20" w:hRule="atLeast"/>
        </w:trPr>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rPr>
                <w:sz w:val="18"/>
              </w:rPr>
              <w:t>减免税部分</w:t>
            </w:r>
          </w:p>
        </w:tc>
        <w:tc>
          <w:tcPr>
            <w:tcW w:w="124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center"/>
            </w:pPr>
            <w:r>
              <w:rPr>
                <w:sz w:val="18"/>
              </w:rPr>
              <w:t>序号</w:t>
            </w:r>
          </w:p>
        </w:tc>
        <w:tc>
          <w:tcPr>
            <w:tcW w:w="1368" w:type="dxa"/>
            <w:vMerge w:val="restart"/>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vMerge w:val="restart"/>
            <w:tcBorders>
              <w:top w:val="single" w:color="000000" w:sz="4" w:space="0"/>
              <w:left w:val="nil"/>
              <w:bottom w:val="single" w:color="000000" w:sz="4" w:space="0"/>
              <w:right w:val="nil"/>
            </w:tcBorders>
            <w:vAlign w:val="center"/>
          </w:tcPr>
          <w:p>
            <w:pPr>
              <w:spacing w:after="0" w:line="259" w:lineRule="auto"/>
              <w:ind w:left="0" w:right="131" w:firstLine="0"/>
              <w:jc w:val="right"/>
            </w:pPr>
            <w:r>
              <w:rPr>
                <w:sz w:val="18"/>
              </w:rPr>
              <w:t>减免</w:t>
            </w:r>
          </w:p>
        </w:tc>
        <w:tc>
          <w:tcPr>
            <w:tcW w:w="3479" w:type="dxa"/>
            <w:gridSpan w:val="3"/>
            <w:vMerge w:val="restart"/>
            <w:tcBorders>
              <w:top w:val="single" w:color="000000" w:sz="4" w:space="0"/>
              <w:left w:val="nil"/>
              <w:bottom w:val="single" w:color="000000" w:sz="4" w:space="0"/>
              <w:right w:val="single" w:color="000000" w:sz="4" w:space="0"/>
            </w:tcBorders>
            <w:vAlign w:val="center"/>
          </w:tcPr>
          <w:p>
            <w:pPr>
              <w:spacing w:after="0" w:line="259" w:lineRule="auto"/>
              <w:ind w:left="-131" w:firstLine="0"/>
            </w:pPr>
            <w:r>
              <w:rPr>
                <w:sz w:val="18"/>
              </w:rPr>
              <w:t>性质代码和项目名称</w:t>
            </w:r>
          </w:p>
        </w:tc>
        <w:tc>
          <w:tcPr>
            <w:tcW w:w="3252"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30" w:firstLine="0"/>
              <w:jc w:val="center"/>
            </w:pPr>
            <w:r>
              <w:rPr>
                <w:sz w:val="18"/>
              </w:rPr>
              <w:t>减免起止时间</w:t>
            </w:r>
          </w:p>
        </w:tc>
        <w:tc>
          <w:tcPr>
            <w:tcW w:w="138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61" w:right="60" w:firstLine="0"/>
              <w:jc w:val="center"/>
            </w:pPr>
            <w:r>
              <w:rPr>
                <w:sz w:val="18"/>
              </w:rPr>
              <w:t>减免税房产原值</w:t>
            </w:r>
          </w:p>
        </w:tc>
        <w:tc>
          <w:tcPr>
            <w:tcW w:w="1436"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78" w:firstLine="0"/>
              <w:jc w:val="both"/>
            </w:pPr>
            <w:r>
              <w:rPr>
                <w:sz w:val="18"/>
              </w:rPr>
              <w:t>月减免税金额</w:t>
            </w:r>
          </w:p>
        </w:tc>
      </w:tr>
      <w:tr>
        <w:tblPrEx>
          <w:tblCellMar>
            <w:top w:w="42" w:type="dxa"/>
            <w:left w:w="0" w:type="dxa"/>
            <w:bottom w:w="0" w:type="dxa"/>
            <w:right w:w="0" w:type="dxa"/>
          </w:tblCellMar>
        </w:tblPrEx>
        <w:trPr>
          <w:trHeight w:val="32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nil"/>
            </w:tcBorders>
          </w:tcPr>
          <w:p>
            <w:pPr>
              <w:spacing w:after="160" w:line="259" w:lineRule="auto"/>
              <w:ind w:left="0" w:firstLine="0"/>
            </w:pPr>
          </w:p>
        </w:tc>
        <w:tc>
          <w:tcPr>
            <w:tcW w:w="0" w:type="auto"/>
            <w:gridSpan w:val="3"/>
            <w:vMerge w:val="continue"/>
            <w:tcBorders>
              <w:top w:val="nil"/>
              <w:left w:val="nil"/>
              <w:bottom w:val="single" w:color="000000" w:sz="4" w:space="0"/>
              <w:right w:val="single" w:color="000000" w:sz="4" w:space="0"/>
            </w:tcBorders>
          </w:tcPr>
          <w:p>
            <w:pPr>
              <w:spacing w:after="160" w:line="259" w:lineRule="auto"/>
              <w:ind w:left="0" w:firstLine="0"/>
            </w:pPr>
          </w:p>
        </w:tc>
        <w:tc>
          <w:tcPr>
            <w:tcW w:w="1546" w:type="dxa"/>
            <w:tcBorders>
              <w:top w:val="single" w:color="000000" w:sz="4" w:space="0"/>
              <w:left w:val="single" w:color="000000" w:sz="4" w:space="0"/>
              <w:bottom w:val="single" w:color="000000" w:sz="4" w:space="0"/>
              <w:right w:val="single" w:color="000000" w:sz="4" w:space="0"/>
            </w:tcBorders>
          </w:tcPr>
          <w:p>
            <w:pPr>
              <w:spacing w:after="0" w:line="259" w:lineRule="auto"/>
              <w:ind w:left="249" w:firstLine="0"/>
            </w:pPr>
            <w:r>
              <w:rPr>
                <w:sz w:val="18"/>
              </w:rPr>
              <w:t>减免起始月份</w:t>
            </w:r>
          </w:p>
        </w:tc>
        <w:tc>
          <w:tcPr>
            <w:tcW w:w="1706"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313" w:firstLine="0"/>
            </w:pPr>
            <w:r>
              <w:rPr>
                <w:sz w:val="18"/>
              </w:rPr>
              <w:t>减免终止月份</w:t>
            </w: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17"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24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1</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3479"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c>
          <w:tcPr>
            <w:tcW w:w="1546"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jc w:val="center"/>
            </w:pPr>
            <w:r>
              <w:rPr>
                <w:sz w:val="18"/>
              </w:rPr>
              <w:t>年月</w:t>
            </w:r>
          </w:p>
        </w:tc>
        <w:tc>
          <w:tcPr>
            <w:tcW w:w="1706"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pPr>
            <w:r>
              <w:rPr>
                <w:sz w:val="18"/>
              </w:rPr>
              <w:t>年月</w:t>
            </w:r>
          </w:p>
        </w:tc>
        <w:tc>
          <w:tcPr>
            <w:tcW w:w="138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3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7"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24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2</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3479"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c>
          <w:tcPr>
            <w:tcW w:w="15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8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3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2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24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3</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3479"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c>
          <w:tcPr>
            <w:tcW w:w="15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8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3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90" w:hRule="atLeast"/>
        </w:trPr>
        <w:tc>
          <w:tcPr>
            <w:tcW w:w="3456" w:type="dxa"/>
            <w:gridSpan w:val="3"/>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6731" w:type="dxa"/>
            <w:gridSpan w:val="7"/>
            <w:tcBorders>
              <w:top w:val="single" w:color="000000" w:sz="4" w:space="0"/>
              <w:left w:val="nil"/>
              <w:bottom w:val="single" w:color="000000" w:sz="4" w:space="0"/>
              <w:right w:val="nil"/>
            </w:tcBorders>
          </w:tcPr>
          <w:p>
            <w:pPr>
              <w:spacing w:after="0" w:line="259" w:lineRule="auto"/>
              <w:ind w:left="1213" w:firstLine="0"/>
            </w:pPr>
            <w:r>
              <w:t>（二）从租计征房产税明细</w:t>
            </w:r>
          </w:p>
        </w:tc>
        <w:tc>
          <w:tcPr>
            <w:tcW w:w="2817"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17" w:hRule="atLeast"/>
        </w:trPr>
        <w:tc>
          <w:tcPr>
            <w:tcW w:w="3456"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rFonts w:ascii="Times New Roman" w:hAnsi="Times New Roman" w:eastAsia="Times New Roman" w:cs="Times New Roman"/>
                <w:sz w:val="18"/>
              </w:rPr>
              <w:t>*</w:t>
            </w:r>
            <w:r>
              <w:rPr>
                <w:sz w:val="18"/>
              </w:rPr>
              <w:t>房产编号</w:t>
            </w:r>
          </w:p>
        </w:tc>
        <w:tc>
          <w:tcPr>
            <w:tcW w:w="1144"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3479"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c>
          <w:tcPr>
            <w:tcW w:w="2394"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right="34" w:firstLine="0"/>
              <w:jc w:val="center"/>
            </w:pPr>
            <w:r>
              <w:rPr>
                <w:sz w:val="18"/>
              </w:rPr>
              <w:t>房产名称</w:t>
            </w:r>
          </w:p>
        </w:tc>
        <w:tc>
          <w:tcPr>
            <w:tcW w:w="85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817"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rPr>
          <w:trHeight w:val="317" w:hRule="atLeast"/>
        </w:trPr>
        <w:tc>
          <w:tcPr>
            <w:tcW w:w="3456"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334" w:firstLine="0"/>
            </w:pPr>
            <w:r>
              <w:rPr>
                <w:rFonts w:ascii="Times New Roman" w:hAnsi="Times New Roman" w:eastAsia="Times New Roman" w:cs="Times New Roman"/>
                <w:sz w:val="18"/>
              </w:rPr>
              <w:t>*</w:t>
            </w:r>
            <w:r>
              <w:rPr>
                <w:sz w:val="18"/>
              </w:rPr>
              <w:t>房产所属主管税务所（科、分局）</w:t>
            </w:r>
          </w:p>
        </w:tc>
        <w:tc>
          <w:tcPr>
            <w:tcW w:w="1144"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6731" w:type="dxa"/>
            <w:gridSpan w:val="7"/>
            <w:tcBorders>
              <w:top w:val="single" w:color="000000" w:sz="4" w:space="0"/>
              <w:left w:val="nil"/>
              <w:bottom w:val="single" w:color="000000" w:sz="4" w:space="0"/>
              <w:right w:val="nil"/>
            </w:tcBorders>
          </w:tcPr>
          <w:p>
            <w:pPr>
              <w:spacing w:after="160" w:line="259" w:lineRule="auto"/>
              <w:ind w:left="0" w:firstLine="0"/>
            </w:pPr>
          </w:p>
        </w:tc>
        <w:tc>
          <w:tcPr>
            <w:tcW w:w="2817"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rPr>
          <w:trHeight w:val="317" w:hRule="atLeast"/>
        </w:trPr>
        <w:tc>
          <w:tcPr>
            <w:tcW w:w="3456"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08" w:firstLine="0"/>
              <w:jc w:val="both"/>
            </w:pPr>
            <w:r>
              <w:rPr>
                <w:sz w:val="18"/>
              </w:rPr>
              <w:t>承租方纳税人识别号（统一社会信用代码）</w:t>
            </w:r>
          </w:p>
        </w:tc>
        <w:tc>
          <w:tcPr>
            <w:tcW w:w="1144"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3479"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c>
          <w:tcPr>
            <w:tcW w:w="2394"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right="36" w:firstLine="0"/>
              <w:jc w:val="center"/>
            </w:pPr>
            <w:r>
              <w:rPr>
                <w:sz w:val="18"/>
              </w:rPr>
              <w:t>承租方名称</w:t>
            </w:r>
          </w:p>
        </w:tc>
        <w:tc>
          <w:tcPr>
            <w:tcW w:w="85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817"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rPr>
          <w:trHeight w:val="317" w:hRule="atLeast"/>
        </w:trPr>
        <w:tc>
          <w:tcPr>
            <w:tcW w:w="3456"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rFonts w:ascii="Times New Roman" w:hAnsi="Times New Roman" w:eastAsia="Times New Roman" w:cs="Times New Roman"/>
                <w:sz w:val="18"/>
              </w:rPr>
              <w:t>*</w:t>
            </w:r>
            <w:r>
              <w:rPr>
                <w:sz w:val="18"/>
              </w:rPr>
              <w:t>出租面积</w:t>
            </w:r>
          </w:p>
        </w:tc>
        <w:tc>
          <w:tcPr>
            <w:tcW w:w="1144"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3479"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c>
          <w:tcPr>
            <w:tcW w:w="2394"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right="34" w:firstLine="0"/>
              <w:jc w:val="center"/>
            </w:pPr>
            <w:r>
              <w:rPr>
                <w:rFonts w:ascii="Times New Roman" w:hAnsi="Times New Roman" w:eastAsia="Times New Roman" w:cs="Times New Roman"/>
                <w:sz w:val="18"/>
              </w:rPr>
              <w:t>*</w:t>
            </w:r>
            <w:r>
              <w:rPr>
                <w:sz w:val="18"/>
              </w:rPr>
              <w:t>申报租金收入</w:t>
            </w:r>
          </w:p>
        </w:tc>
        <w:tc>
          <w:tcPr>
            <w:tcW w:w="85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817"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17" w:hRule="atLeast"/>
        </w:trPr>
        <w:tc>
          <w:tcPr>
            <w:tcW w:w="3456"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rFonts w:ascii="Times New Roman" w:hAnsi="Times New Roman" w:eastAsia="Times New Roman" w:cs="Times New Roman"/>
                <w:sz w:val="18"/>
              </w:rPr>
              <w:t>*</w:t>
            </w:r>
            <w:r>
              <w:rPr>
                <w:sz w:val="18"/>
              </w:rPr>
              <w:t>申报租金所属租赁期起</w:t>
            </w:r>
          </w:p>
        </w:tc>
        <w:tc>
          <w:tcPr>
            <w:tcW w:w="1144"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3479"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c>
          <w:tcPr>
            <w:tcW w:w="2394"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235" w:firstLine="0"/>
            </w:pPr>
            <w:r>
              <w:rPr>
                <w:rFonts w:ascii="Times New Roman" w:hAnsi="Times New Roman" w:eastAsia="Times New Roman" w:cs="Times New Roman"/>
                <w:sz w:val="18"/>
              </w:rPr>
              <w:t>*</w:t>
            </w:r>
            <w:r>
              <w:rPr>
                <w:sz w:val="18"/>
              </w:rPr>
              <w:t>申报租金所属租赁期止</w:t>
            </w:r>
          </w:p>
        </w:tc>
        <w:tc>
          <w:tcPr>
            <w:tcW w:w="85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817" w:type="dxa"/>
            <w:gridSpan w:val="4"/>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20" w:hRule="atLeast"/>
        </w:trPr>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rPr>
                <w:sz w:val="18"/>
              </w:rPr>
              <w:t>减免税部分</w:t>
            </w:r>
          </w:p>
        </w:tc>
        <w:tc>
          <w:tcPr>
            <w:tcW w:w="124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center"/>
            </w:pPr>
            <w:r>
              <w:rPr>
                <w:sz w:val="18"/>
              </w:rPr>
              <w:t>序号</w:t>
            </w:r>
          </w:p>
        </w:tc>
        <w:tc>
          <w:tcPr>
            <w:tcW w:w="1368" w:type="dxa"/>
            <w:vMerge w:val="restart"/>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vMerge w:val="restart"/>
            <w:tcBorders>
              <w:top w:val="single" w:color="000000" w:sz="4" w:space="0"/>
              <w:left w:val="nil"/>
              <w:bottom w:val="single" w:color="000000" w:sz="4" w:space="0"/>
              <w:right w:val="nil"/>
            </w:tcBorders>
            <w:vAlign w:val="center"/>
          </w:tcPr>
          <w:p>
            <w:pPr>
              <w:spacing w:after="0" w:line="259" w:lineRule="auto"/>
              <w:ind w:left="0" w:right="162" w:firstLine="0"/>
              <w:jc w:val="right"/>
            </w:pPr>
            <w:r>
              <w:rPr>
                <w:sz w:val="18"/>
              </w:rPr>
              <w:t>减免</w:t>
            </w:r>
          </w:p>
        </w:tc>
        <w:tc>
          <w:tcPr>
            <w:tcW w:w="3479" w:type="dxa"/>
            <w:gridSpan w:val="3"/>
            <w:vMerge w:val="restart"/>
            <w:tcBorders>
              <w:top w:val="single" w:color="000000" w:sz="4" w:space="0"/>
              <w:left w:val="nil"/>
              <w:bottom w:val="single" w:color="000000" w:sz="4" w:space="0"/>
              <w:right w:val="single" w:color="000000" w:sz="4" w:space="0"/>
            </w:tcBorders>
            <w:vAlign w:val="center"/>
          </w:tcPr>
          <w:p>
            <w:pPr>
              <w:spacing w:after="0" w:line="259" w:lineRule="auto"/>
              <w:ind w:left="-162" w:firstLine="0"/>
            </w:pPr>
            <w:r>
              <w:rPr>
                <w:sz w:val="18"/>
              </w:rPr>
              <w:t>性质代码和项目名称</w:t>
            </w:r>
          </w:p>
        </w:tc>
        <w:tc>
          <w:tcPr>
            <w:tcW w:w="3252" w:type="dxa"/>
            <w:gridSpan w:val="4"/>
            <w:tcBorders>
              <w:top w:val="single" w:color="000000" w:sz="4" w:space="0"/>
              <w:left w:val="single" w:color="000000" w:sz="4" w:space="0"/>
              <w:bottom w:val="single" w:color="000000" w:sz="4" w:space="0"/>
              <w:right w:val="nil"/>
            </w:tcBorders>
          </w:tcPr>
          <w:p>
            <w:pPr>
              <w:spacing w:after="0" w:line="259" w:lineRule="auto"/>
              <w:ind w:left="332" w:firstLine="0"/>
              <w:jc w:val="center"/>
            </w:pPr>
            <w:r>
              <w:rPr>
                <w:sz w:val="18"/>
              </w:rPr>
              <w:t>减免起止时间</w:t>
            </w:r>
          </w:p>
        </w:tc>
        <w:tc>
          <w:tcPr>
            <w:tcW w:w="366"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134" w:type="dxa"/>
            <w:gridSpan w:val="2"/>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减免税租金收入</w:t>
            </w:r>
          </w:p>
        </w:tc>
        <w:tc>
          <w:tcPr>
            <w:tcW w:w="1317"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jc w:val="both"/>
            </w:pPr>
            <w:r>
              <w:rPr>
                <w:sz w:val="18"/>
              </w:rPr>
              <w:t>月减免税金额</w:t>
            </w:r>
          </w:p>
        </w:tc>
      </w:tr>
      <w:tr>
        <w:tblPrEx>
          <w:tblCellMar>
            <w:top w:w="42" w:type="dxa"/>
            <w:left w:w="0" w:type="dxa"/>
            <w:bottom w:w="0" w:type="dxa"/>
            <w:right w:w="0" w:type="dxa"/>
          </w:tblCellMar>
        </w:tblPrEx>
        <w:trPr>
          <w:trHeight w:val="32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nil"/>
            </w:tcBorders>
          </w:tcPr>
          <w:p>
            <w:pPr>
              <w:spacing w:after="160" w:line="259" w:lineRule="auto"/>
              <w:ind w:left="0" w:firstLine="0"/>
            </w:pPr>
          </w:p>
        </w:tc>
        <w:tc>
          <w:tcPr>
            <w:tcW w:w="0" w:type="auto"/>
            <w:gridSpan w:val="3"/>
            <w:vMerge w:val="continue"/>
            <w:tcBorders>
              <w:top w:val="nil"/>
              <w:left w:val="nil"/>
              <w:bottom w:val="single" w:color="000000" w:sz="4" w:space="0"/>
              <w:right w:val="single" w:color="000000" w:sz="4" w:space="0"/>
            </w:tcBorders>
          </w:tcPr>
          <w:p>
            <w:pPr>
              <w:spacing w:after="160" w:line="259" w:lineRule="auto"/>
              <w:ind w:left="0" w:firstLine="0"/>
            </w:pPr>
          </w:p>
        </w:tc>
        <w:tc>
          <w:tcPr>
            <w:tcW w:w="18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33" w:firstLine="0"/>
              <w:jc w:val="center"/>
            </w:pPr>
            <w:r>
              <w:rPr>
                <w:sz w:val="18"/>
              </w:rPr>
              <w:t>减免起始月份</w:t>
            </w:r>
          </w:p>
        </w:tc>
        <w:tc>
          <w:tcPr>
            <w:tcW w:w="1406" w:type="dxa"/>
            <w:gridSpan w:val="2"/>
            <w:tcBorders>
              <w:top w:val="single" w:color="000000" w:sz="4" w:space="0"/>
              <w:left w:val="single" w:color="000000" w:sz="4" w:space="0"/>
              <w:bottom w:val="single" w:color="000000" w:sz="4" w:space="0"/>
              <w:right w:val="nil"/>
            </w:tcBorders>
          </w:tcPr>
          <w:p>
            <w:pPr>
              <w:spacing w:after="0" w:line="259" w:lineRule="auto"/>
              <w:ind w:left="347" w:right="-21" w:firstLine="0"/>
            </w:pPr>
            <w:r>
              <w:rPr>
                <w:sz w:val="18"/>
              </w:rPr>
              <w:t>减免终止月份</w:t>
            </w:r>
          </w:p>
        </w:tc>
        <w:tc>
          <w:tcPr>
            <w:tcW w:w="366"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2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24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1</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3479"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c>
          <w:tcPr>
            <w:tcW w:w="18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35" w:firstLine="0"/>
              <w:jc w:val="center"/>
            </w:pPr>
            <w:r>
              <w:rPr>
                <w:sz w:val="18"/>
              </w:rPr>
              <w:t>年月</w:t>
            </w:r>
          </w:p>
        </w:tc>
        <w:tc>
          <w:tcPr>
            <w:tcW w:w="1406" w:type="dxa"/>
            <w:gridSpan w:val="2"/>
            <w:tcBorders>
              <w:top w:val="single" w:color="000000" w:sz="4" w:space="0"/>
              <w:left w:val="single" w:color="000000" w:sz="4" w:space="0"/>
              <w:bottom w:val="single" w:color="000000" w:sz="4" w:space="0"/>
              <w:right w:val="nil"/>
            </w:tcBorders>
          </w:tcPr>
          <w:p>
            <w:pPr>
              <w:spacing w:after="0" w:line="259" w:lineRule="auto"/>
              <w:ind w:left="616" w:firstLine="0"/>
            </w:pPr>
            <w:r>
              <w:rPr>
                <w:sz w:val="18"/>
              </w:rPr>
              <w:t>年月</w:t>
            </w:r>
          </w:p>
        </w:tc>
        <w:tc>
          <w:tcPr>
            <w:tcW w:w="366"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13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2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24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2</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3479"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c>
          <w:tcPr>
            <w:tcW w:w="184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06"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366"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13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42" w:type="dxa"/>
            <w:left w:w="0" w:type="dxa"/>
            <w:bottom w:w="0" w:type="dxa"/>
            <w:right w:w="0" w:type="dxa"/>
          </w:tblCellMar>
        </w:tblPrEx>
        <w:trPr>
          <w:trHeight w:val="32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24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3</w:t>
            </w:r>
          </w:p>
        </w:tc>
        <w:tc>
          <w:tcPr>
            <w:tcW w:w="1368"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144" w:type="dxa"/>
            <w:tcBorders>
              <w:top w:val="single" w:color="000000" w:sz="4" w:space="0"/>
              <w:left w:val="nil"/>
              <w:bottom w:val="single" w:color="000000" w:sz="4" w:space="0"/>
              <w:right w:val="nil"/>
            </w:tcBorders>
          </w:tcPr>
          <w:p>
            <w:pPr>
              <w:spacing w:after="160" w:line="259" w:lineRule="auto"/>
              <w:ind w:left="0" w:firstLine="0"/>
            </w:pPr>
          </w:p>
        </w:tc>
        <w:tc>
          <w:tcPr>
            <w:tcW w:w="3479"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c>
          <w:tcPr>
            <w:tcW w:w="184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06"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366"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13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3" w:line="262" w:lineRule="auto"/>
        <w:ind w:left="144" w:right="10706"/>
      </w:pPr>
      <w:r>
        <w:t>填表说明：</w:t>
      </w:r>
      <w:r>
        <w:rPr>
          <w:u w:val="single" w:color="000000"/>
        </w:rPr>
        <w:t>城镇土地使用税税源明细</w:t>
      </w:r>
    </w:p>
    <w:p>
      <w:pPr>
        <w:ind w:left="144"/>
      </w:pPr>
      <w:r>
        <w:t>1.首次进行纳税申报的纳税人，需要填写全部土地的相关信息。此后办理纳税申报时，纳税人的土地及相关信息未发生变化的，可仅对已填报的信息进行确认；发生变化的，仅就变化的内容进行填写。</w:t>
      </w:r>
    </w:p>
    <w:p>
      <w:pPr>
        <w:ind w:left="144"/>
      </w:pPr>
      <w:r>
        <w:t>2.城镇土地使用税税源明细填报遵循“谁纳税谁申报”的原则，只要存在城镇土地使用税纳税义务，就应当如实填报土地信息。</w:t>
      </w:r>
    </w:p>
    <w:p>
      <w:pPr>
        <w:ind w:left="144"/>
      </w:pPr>
      <w:r>
        <w:t>3.每一宗土地填写一张表。同一宗土地跨两个土地等级的，按照不同等级分别填表。无不动产权证（土地使用权证）的，按照土地坐落地址分别填表。</w:t>
      </w:r>
    </w:p>
    <w:p>
      <w:pPr>
        <w:ind w:left="144"/>
      </w:pPr>
      <w:r>
        <w:t>纳税人不得将多宗土地合并成一条记录填表。</w:t>
      </w:r>
    </w:p>
    <w:p>
      <w:pPr>
        <w:ind w:left="144"/>
      </w:pPr>
      <w:r>
        <w:t>4.对于本表中的数据项目，有不动产权证（土地使用权证）的，依据证件记载内容填写，没有不动产权证（土地使用权证）的，依据实际情况填写。</w:t>
      </w:r>
    </w:p>
    <w:p>
      <w:pPr>
        <w:ind w:left="144"/>
      </w:pPr>
      <w:r>
        <w:t>5.纳税人类型（必填）：分为土地使用权人、集体土地使用人、无偿使用人、代管人、实际使用人。必选一项，且只能选一项。</w:t>
      </w:r>
    </w:p>
    <w:p>
      <w:pPr>
        <w:ind w:left="144"/>
      </w:pPr>
      <w:r>
        <w:t>6.土地使用权人纳税人识别号（统一社会信用代码）：填写土地使用权人纳税人识别号或统一社会信用代码。</w:t>
      </w:r>
    </w:p>
    <w:p>
      <w:pPr>
        <w:ind w:left="144"/>
      </w:pPr>
      <w:r>
        <w:t>7.土地使用权人名称：填写土地使用权人的名称。</w:t>
      </w:r>
    </w:p>
    <w:p>
      <w:pPr>
        <w:ind w:left="144"/>
      </w:pPr>
      <w:r>
        <w:t>8.土地编号：纳税人不必填写。由系统赋予编号。</w:t>
      </w:r>
    </w:p>
    <w:p>
      <w:pPr>
        <w:ind w:left="144"/>
      </w:pPr>
      <w:r>
        <w:t>9.土地名称：纳税人自行填写，以便于识别。如：1号土地、第一车间土地等。</w:t>
      </w:r>
    </w:p>
    <w:p>
      <w:pPr>
        <w:ind w:left="144"/>
      </w:pPr>
      <w:r>
        <w:t>10.不动产权证号：纳税人有不动产权证（土地使用权证）的，必填。填写不动产权证（土地使用权证）载明的证件编号。</w:t>
      </w:r>
    </w:p>
    <w:p>
      <w:pPr>
        <w:ind w:left="144"/>
      </w:pPr>
      <w:r>
        <w:t>11.不动产单元代码：纳税人有不动产权证的，必填。填写不动产权证载明的不动产单元代码。</w:t>
      </w:r>
    </w:p>
    <w:p>
      <w:pPr>
        <w:ind w:left="144"/>
      </w:pPr>
      <w:r>
        <w:t>12.宗地号：填写土地权属证书记载的宗地号，有不动产单元代码的不必填写。</w:t>
      </w:r>
    </w:p>
    <w:p>
      <w:pPr>
        <w:ind w:left="144"/>
      </w:pPr>
      <w:r>
        <w:t>13.土地性质（必选）：根据实际的土地性质选择。选项为国有、集体。</w:t>
      </w:r>
    </w:p>
    <w:p>
      <w:pPr>
        <w:ind w:left="144"/>
      </w:pPr>
      <w:r>
        <w:t>14.土地取得方式（必选）：根据土地的取得方式选择，分为：划拨、出让、转让、租赁和其他。</w:t>
      </w:r>
    </w:p>
    <w:p>
      <w:pPr>
        <w:ind w:left="144"/>
      </w:pPr>
      <w:r>
        <w:t>15.土地用途（必选）：分为工业、商业、居住、综合、房地产开发企业的开发用地和其他，必选一项，且只能选一项，不同用途的土地应当分别填表。</w:t>
      </w:r>
    </w:p>
    <w:p>
      <w:pPr>
        <w:ind w:left="144"/>
      </w:pPr>
      <w:r>
        <w:t>16.土地坐落地址（必填）：应当填写详细地址，具体为：××省（自治区、直辖市）××市（区）××县（区）××乡镇（街道）+详细地址。</w:t>
      </w:r>
    </w:p>
    <w:p>
      <w:pPr>
        <w:ind w:left="144"/>
      </w:pPr>
      <w:r>
        <w:t>17.土地所属主管税务所（科、分局）：系统自动带出，纳税人不必填写。</w:t>
      </w:r>
    </w:p>
    <w:p>
      <w:pPr>
        <w:ind w:left="144"/>
      </w:pPr>
      <w:r>
        <w:t>18.土地取得时间（必填）：填写纳税人取得该土地的时间。</w:t>
      </w:r>
    </w:p>
    <w:p>
      <w:pPr>
        <w:ind w:left="144"/>
      </w:pPr>
      <w:r>
        <w:t>19.变更类型：有变更情况的必选。</w:t>
      </w:r>
    </w:p>
    <w:p>
      <w:pPr>
        <w:ind w:left="144"/>
      </w:pPr>
      <w:r>
        <w:t>20.变更时间：有变更情况的必填，填至月。变更类型选择纳税义务终止的，税款计算至当月末；变更类型选择信息项变更的，自变更次月起按新状态计算税款。</w:t>
      </w:r>
    </w:p>
    <w:p>
      <w:pPr>
        <w:ind w:left="144"/>
      </w:pPr>
      <w:r>
        <w:t>21.占用土地面积（必填）：根据纳税人本表所填列土地实际占用的土地面积填写，保留两位小数。此面积为全部面积，包括减税面积和免税面积。</w:t>
      </w:r>
    </w:p>
    <w:p>
      <w:pPr>
        <w:ind w:left="144"/>
      </w:pPr>
      <w:r>
        <w:t>22.地价：地价为取得土地使用权支付的价款与开发土地发生的成本费用之和。若未支付价款和成本费用，则填0。</w:t>
      </w:r>
    </w:p>
    <w:p>
      <w:pPr>
        <w:ind w:left="144"/>
      </w:pPr>
      <w:r>
        <w:t>23.土地等级（必填）：根据本地区土地等级的有关规定，填写纳税人占用土地所属的土地的等级。不同土地等级的土地应当分别填表。</w:t>
      </w:r>
    </w:p>
    <w:p>
      <w:pPr>
        <w:ind w:left="144"/>
      </w:pPr>
      <w:r>
        <w:t>24.税额标准：系统自动带出，纳税人不必填写。</w:t>
      </w:r>
    </w:p>
    <w:p>
      <w:pPr>
        <w:ind w:left="144"/>
      </w:pPr>
      <w:r>
        <w:t>25.减免性质代码和项目名称：有减免税情况的必填，按照税务机关最新制发的减免税政策代码表中最细项减免性质代码填写。适用不同减免性质政策的土地应当分行填表。纳税人减免税情况发生变化时，应当进行变更。</w:t>
      </w:r>
    </w:p>
    <w:p>
      <w:pPr>
        <w:ind w:left="144"/>
      </w:pPr>
      <w:r>
        <w:t>26.减免起始月份：有减免税情况的必填。纳税人如有困难减免的情况，填写经税务机关核准的困难减免的起始月份。</w:t>
      </w:r>
    </w:p>
    <w:p>
      <w:pPr>
        <w:ind w:left="144"/>
      </w:pPr>
      <w:r>
        <w:t>27.减免终止月份：有减免税情况的必填。纳税人如有困难减免的情况，填写经税务机关核准的困难减免的终止月份。</w:t>
      </w:r>
    </w:p>
    <w:p>
      <w:pPr>
        <w:ind w:left="144"/>
      </w:pPr>
      <w:r>
        <w:t>28.减免税土地的面积：填写享受减免税政策的土地的全部面积。</w:t>
      </w:r>
    </w:p>
    <w:p>
      <w:pPr>
        <w:ind w:left="144"/>
      </w:pPr>
      <w:r>
        <w:t>29.月减免税金额：本表所列土地本项减免税项目享受的月减免税金额。</w:t>
      </w:r>
    </w:p>
    <w:p>
      <w:pPr>
        <w:spacing w:after="3" w:line="262" w:lineRule="auto"/>
        <w:ind w:left="144"/>
      </w:pPr>
      <w:r>
        <w:rPr>
          <w:u w:val="single" w:color="000000"/>
        </w:rPr>
        <w:t>从价计征房产税税源明细</w:t>
      </w:r>
    </w:p>
    <w:p>
      <w:pPr>
        <w:ind w:left="144"/>
      </w:pPr>
      <w:r>
        <w:t>1.首次进行纳税申报的纳税人，需要填写全部房产的相关信息，此后办理纳税申报时，纳税人的房产及相关信息未发生变化的，可仅对已填报的信息进行确认；发生变化的，仅就变化的内容进行填写。</w:t>
      </w:r>
    </w:p>
    <w:p>
      <w:pPr>
        <w:ind w:left="144"/>
      </w:pPr>
      <w:r>
        <w:t>2.房产税税源明细填报遵循“谁纳税谁申报”的原则，只要存在房产税纳税义务，就应当如实填报房产明细信息。</w:t>
      </w:r>
    </w:p>
    <w:p>
      <w:pPr>
        <w:ind w:left="144"/>
      </w:pPr>
      <w:r>
        <w:t>3.每一独立房产应当填写一张表。即：同一不动产权证（房屋所有权证）有多幢（个）房产的，每幢（个）房产填写一张表。无不动产权证（房屋所有权证）的房产，每幢（个）房产填写一张表。纳税人不得将多幢房产合并成一条记录填写。</w:t>
      </w:r>
    </w:p>
    <w:p>
      <w:pPr>
        <w:ind w:left="144"/>
      </w:pPr>
      <w:r>
        <w:t>4.对于本表中的数据项目，有不动产权证（房屋所有权证）的，依据证件记载的内容填写，没有不动产权证（房屋所有权证）的，依据实际情况填写。</w:t>
      </w:r>
    </w:p>
    <w:p>
      <w:pPr>
        <w:ind w:left="144"/>
      </w:pPr>
      <w:r>
        <w:t>5.纳税人有出租房产的，应当先填写从价计征房产税税源明细，再填写从租计征房产税税源明细。</w:t>
      </w:r>
    </w:p>
    <w:p>
      <w:pPr>
        <w:ind w:left="144"/>
      </w:pPr>
      <w:r>
        <w:t>6.纳税人类型（必选）：分为产权所有人、经营管理人、承典人、房屋代管人、房屋使用人、融资租赁承租人。必选一项，且只能选一项。</w:t>
      </w:r>
    </w:p>
    <w:p>
      <w:pPr>
        <w:ind w:left="144"/>
      </w:pPr>
      <w:r>
        <w:t>7.所有权人纳税人识别号（统一社会信用代码）：填写房屋所有权人的纳税人识别号或统一社会信用代码。</w:t>
      </w:r>
    </w:p>
    <w:p>
      <w:pPr>
        <w:ind w:left="144"/>
      </w:pPr>
      <w:r>
        <w:t>8.所有权人名称：填写房屋所有权人的名称。</w:t>
      </w:r>
    </w:p>
    <w:p>
      <w:pPr>
        <w:ind w:left="144"/>
      </w:pPr>
      <w:r>
        <w:t>9.房产编号：纳税人不必填写。由系统赋予编号。</w:t>
      </w:r>
    </w:p>
    <w:p>
      <w:pPr>
        <w:ind w:left="144"/>
      </w:pPr>
      <w:r>
        <w:t>10.房产名称：纳税人自行编写，以便于识别。如：1号办公楼、第一车间厂房等。</w:t>
      </w:r>
    </w:p>
    <w:p>
      <w:pPr>
        <w:ind w:left="144"/>
      </w:pPr>
      <w:r>
        <w:t>11.不动产权证号：纳税人有不动产权证（房屋所有权证）的，必填。填写不动产权证（房屋所有权证）载明的证件编号。</w:t>
      </w:r>
    </w:p>
    <w:p>
      <w:pPr>
        <w:ind w:left="144"/>
      </w:pPr>
      <w:r>
        <w:t>12.不动产单元代码：纳税人有不动产权证的，必填。填写不动产权证载明的不动产单元代码。</w:t>
      </w:r>
    </w:p>
    <w:p>
      <w:pPr>
        <w:ind w:left="144"/>
      </w:pPr>
      <w:r>
        <w:t>13.房屋坐落地址：应当填写详细地址，具体为：××省（自治区、直辖市）××市（区）××县（区）××乡镇（街道）+详细地址，且应当与土地税源明细数据关联并一致。系统自动带出已填报的土地税源信息，供选择。一栋房产仅可选择对应一条土地信息。</w:t>
      </w:r>
    </w:p>
    <w:p>
      <w:pPr>
        <w:ind w:left="144"/>
      </w:pPr>
      <w:r>
        <w:t>14.房产所属主管税务所（科、分局）：系统自动带出，纳税人不必填写。</w:t>
      </w:r>
    </w:p>
    <w:p>
      <w:pPr>
        <w:ind w:left="144"/>
      </w:pPr>
      <w:r>
        <w:t>15.房屋所在土地编号：系统自动带出。</w:t>
      </w:r>
    </w:p>
    <w:p>
      <w:pPr>
        <w:ind w:left="144"/>
      </w:pPr>
      <w:r>
        <w:t>16.房产用途（必选）：房产用途依据不动产权证（房屋所有权证）登记的用途填写，无证的，依据实际用途填写。分为工业、商业及办公、住房、其他，必选一项，且只能选一项，不同用途的房产应当分别填表。</w:t>
      </w:r>
    </w:p>
    <w:p>
      <w:pPr>
        <w:ind w:left="144"/>
      </w:pPr>
      <w:r>
        <w:t>17.房产取得时间（必填）：填写纳税人取得该房产的时间。</w:t>
      </w:r>
    </w:p>
    <w:p>
      <w:pPr>
        <w:ind w:left="144"/>
      </w:pPr>
      <w:r>
        <w:t>18.变更类型：有变更情况的必选。</w:t>
      </w:r>
    </w:p>
    <w:p>
      <w:pPr>
        <w:ind w:left="144"/>
      </w:pPr>
      <w:r>
        <w:t>19.变更时间：有变更情况的必填，填至月。变更类型选择纳税义务终止的，税款计算至当月末；变更类型选择信息项变更的，自变更次月起按新状态计算税款。</w:t>
      </w:r>
    </w:p>
    <w:p>
      <w:pPr>
        <w:ind w:left="144"/>
      </w:pPr>
      <w:r>
        <w:t>20.建筑面积（必填）：保留两位小数。</w:t>
      </w:r>
    </w:p>
    <w:p>
      <w:pPr>
        <w:ind w:left="144"/>
      </w:pPr>
      <w:r>
        <w:t>21.出租房产面积：有出租情况的必填。</w:t>
      </w:r>
    </w:p>
    <w:p>
      <w:pPr>
        <w:ind w:left="144"/>
      </w:pPr>
      <w:r>
        <w:t>22.房产原值（必填）：填写房产的全部房产原值。应包括：分摊的应计入房产原值的地价，与房产不可分割的设备设施的原值，房产中已出租部分的原值，以及房产中减免税部分的原值。</w:t>
      </w:r>
    </w:p>
    <w:p>
      <w:pPr>
        <w:ind w:left="144"/>
      </w:pPr>
      <w:r>
        <w:t>23.出租房产原值：有出租情况的必填。</w:t>
      </w:r>
    </w:p>
    <w:p>
      <w:pPr>
        <w:ind w:left="144"/>
      </w:pPr>
      <w:r>
        <w:t>24.计税比例：各地房产原值减除的比例。系统自动带出，纳税人不必填写。</w:t>
      </w:r>
    </w:p>
    <w:p>
      <w:pPr>
        <w:ind w:left="144"/>
      </w:pPr>
      <w:r>
        <w:t>25.减免性质代码和项目名称：有减免税情况的必填。按照税务机关最新制发的减免税政策代码表中最细项减免性质代码填写。不同减免性质代码的房产应当分行填表。纳税人减免税情况发生变化时，应当进行变更。</w:t>
      </w:r>
    </w:p>
    <w:p>
      <w:pPr>
        <w:ind w:left="144"/>
      </w:pPr>
      <w:r>
        <w:t>26.减免起始月份：有减免税情况的必填。纳税人如有困难减免的情况，填写经税务机关（人民政府）核准的困难减免的起始月份。</w:t>
      </w:r>
    </w:p>
    <w:p>
      <w:pPr>
        <w:ind w:left="144"/>
      </w:pPr>
      <w:r>
        <w:t>27.减免终止月份：有减免税情况的必填。纳税人如有困难减免的情况，填写经税务机关（人民政府）核准的困难减免的终止月份。</w:t>
      </w:r>
    </w:p>
    <w:p>
      <w:pPr>
        <w:ind w:left="144"/>
      </w:pPr>
      <w:r>
        <w:t>28.减免税房产原值：依据政策确定的可以享受减免税政策的房产原值。政策明确按一定比例进行减免的，该项为经过比例换算确定的减免税房产原值。</w:t>
      </w:r>
    </w:p>
    <w:p>
      <w:pPr>
        <w:ind w:left="144"/>
      </w:pPr>
      <w:r>
        <w:t>例如：供热企业用于居民供热的免税房产原值=房产原值×实际从居民取得的采暖费收入/采暖费总收入。</w:t>
      </w:r>
    </w:p>
    <w:p>
      <w:pPr>
        <w:ind w:left="144"/>
      </w:pPr>
      <w:r>
        <w:t>29.月减免税金额：本表所列房产本项减免税项目享受的月减免税金额。</w:t>
      </w:r>
    </w:p>
    <w:p>
      <w:pPr>
        <w:spacing w:after="3" w:line="262" w:lineRule="auto"/>
        <w:ind w:left="144"/>
      </w:pPr>
      <w:r>
        <w:rPr>
          <w:u w:val="single" w:color="000000"/>
        </w:rPr>
        <w:t>从租计征房产税税源明细</w:t>
      </w:r>
    </w:p>
    <w:p>
      <w:pPr>
        <w:ind w:left="144"/>
      </w:pPr>
      <w:r>
        <w:t>1.每一独立出租房产应当填写一张表。即：同一不动产权证（房屋所有权证）有多幢（个）房产的，每幢（个）房产填写一张表。无不动产权证（房屋所有权证）的房产，每幢（个）房产填写一张表。纳税人不得将多幢房产合并成一条记录填写。 2.纳税人有出租房产的，应先填写从价计征房产税税源明细，再填写从租计征房产税税源明细。</w:t>
      </w:r>
    </w:p>
    <w:p>
      <w:pPr>
        <w:ind w:left="144"/>
      </w:pPr>
      <w:r>
        <w:t>3.房产编号：由系统赋予编号，纳税人不必填写。</w:t>
      </w:r>
    </w:p>
    <w:p>
      <w:pPr>
        <w:ind w:left="144"/>
      </w:pPr>
      <w:r>
        <w:t>4.房产名称：纳税人自行编写，以便于识别。与从价计征房产税明细信息关联并一致。</w:t>
      </w:r>
    </w:p>
    <w:p>
      <w:pPr>
        <w:ind w:left="144"/>
      </w:pPr>
      <w:r>
        <w:t>5.房产所属主管税务所（科、分局）：系统自动带出，纳税人不必填写。</w:t>
      </w:r>
    </w:p>
    <w:p>
      <w:pPr>
        <w:ind w:left="144"/>
      </w:pPr>
      <w:r>
        <w:t>6.承租方纳税人识别号（统一社会信用代码）：填写承租方的纳税人识别号或统一社会信用代码。</w:t>
      </w:r>
    </w:p>
    <w:p>
      <w:pPr>
        <w:ind w:left="144"/>
      </w:pPr>
      <w:r>
        <w:t>7.承租方名称：填写承租方的单位名称或个人姓名。</w:t>
      </w:r>
    </w:p>
    <w:p>
      <w:pPr>
        <w:ind w:left="144"/>
      </w:pPr>
      <w:r>
        <w:t>8.出租面积（必填）：填写出租房产的面积。</w:t>
      </w:r>
    </w:p>
    <w:p>
      <w:pPr>
        <w:ind w:left="144"/>
      </w:pPr>
      <w:r>
        <w:t>9.申报租金收入（必填）：填写本次申报的应税租金收入。</w:t>
      </w:r>
    </w:p>
    <w:p>
      <w:pPr>
        <w:ind w:left="144"/>
      </w:pPr>
      <w:r>
        <w:t>10.申报租金所属租赁期起（必填）：填写申报租金收入的所属租赁期起。</w:t>
      </w:r>
    </w:p>
    <w:p>
      <w:pPr>
        <w:ind w:left="144"/>
      </w:pPr>
      <w:r>
        <w:t>11.申报租金所属租赁期止（必填）：填写申报租金收入的所属租赁期止。</w:t>
      </w:r>
    </w:p>
    <w:p>
      <w:pPr>
        <w:ind w:left="144"/>
      </w:pPr>
      <w:r>
        <w:t>12.减免性质代码和项目名称：有减免税情况的必填。按照税务机关制发的减免税政策代码表中最细项减免性质代码填写，对于出租房产不适用12%法定税率的，应当填写相关的减免税内容。</w:t>
      </w:r>
    </w:p>
    <w:p>
      <w:pPr>
        <w:ind w:left="144"/>
      </w:pPr>
      <w:r>
        <w:t>13.减免起始月份：有减免税情况的必填。纳税人如有困难减免的情况，填写经税务机关（人民政府）核准的困难减免的起始月份。</w:t>
      </w:r>
    </w:p>
    <w:p>
      <w:pPr>
        <w:ind w:left="144"/>
      </w:pPr>
      <w:r>
        <w:t>14.减免终止月份：有减免税情况的必填。纳税人如有困难减免的情况，填写经税务机关（人民政府）核准的困难减免的终止月份。</w:t>
      </w:r>
    </w:p>
    <w:p>
      <w:pPr>
        <w:ind w:left="144"/>
      </w:pPr>
      <w:r>
        <w:t>15.减免税租金收入：填写本出租房产可以享受减免税政策的租金收入。</w:t>
      </w:r>
    </w:p>
    <w:p>
      <w:pPr>
        <w:ind w:left="144"/>
      </w:pPr>
      <w:r>
        <w:t>16.月减免税金额：本表所列房产出租部分本项减免税项目享受的月减免税金额。</w:t>
      </w:r>
    </w:p>
    <w:p>
      <w:pPr>
        <w:ind w:left="144"/>
      </w:pPr>
    </w:p>
    <w:p>
      <w:pPr>
        <w:ind w:left="144"/>
      </w:pPr>
    </w:p>
    <w:p>
      <w:pPr>
        <w:ind w:left="144"/>
      </w:pP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"http://ssfb86.com/index/News/detail/newsid/8838.html" </w:instrText>
      </w:r>
      <w:r>
        <w:rPr>
          <w:rFonts w:hint="eastAsia" w:ascii="宋体" w:hAnsi="宋体" w:eastAsia="宋体" w:cs="宋体"/>
          <w:i w:val="0"/>
          <w:caps w:val="0"/>
          <w:color w:val="6E6E6E"/>
          <w:spacing w:val="0"/>
          <w:sz w:val="24"/>
          <w:szCs w:val="24"/>
          <w:u w:val="single"/>
          <w:shd w:val="clear" w:fill="FFFFFF"/>
        </w:rPr>
        <w:fldChar w:fldCharType="separate"/>
      </w:r>
      <w:r>
        <w:rPr>
          <w:rStyle w:val="14"/>
          <w:rFonts w:hint="eastAsia" w:ascii="宋体" w:hAnsi="宋体" w:eastAsia="宋体" w:cs="宋体"/>
          <w:i w:val="0"/>
          <w:caps w:val="0"/>
          <w:color w:val="6E6E6E"/>
          <w:spacing w:val="0"/>
          <w:sz w:val="24"/>
          <w:szCs w:val="24"/>
          <w:u w:val="single"/>
          <w:shd w:val="clear" w:fill="FFFFFF"/>
        </w:rPr>
        <w:t>国家税务总局公告2021年第9号</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附件2</w:t>
      </w:r>
    </w:p>
    <w:p>
      <w:pPr>
        <w:pStyle w:val="3"/>
        <w:spacing w:after="99"/>
        <w:ind w:left="857" w:right="595"/>
      </w:pPr>
      <w:r>
        <w:t>车船税税源明细表</w:t>
      </w:r>
    </w:p>
    <w:p>
      <w:pPr>
        <w:spacing w:after="90"/>
        <w:ind w:left="267"/>
      </w:pPr>
      <w:r>
        <w:t>纳税人识别号（统一社会信用代码）：□□□□□□□□□□□□□□□□□□</w:t>
      </w:r>
    </w:p>
    <w:p>
      <w:pPr>
        <w:tabs>
          <w:tab w:val="center" w:pos="10441"/>
        </w:tabs>
        <w:ind w:left="0" w:firstLine="0"/>
      </w:pPr>
      <w:r>
        <w:t>纳税人名称：</w:t>
      </w:r>
      <w:r>
        <w:tab/>
      </w:r>
      <w:r>
        <w:t>体积单位：升；质量单位：吨；功率单位：千瓦；长度单位：米</w:t>
      </w:r>
    </w:p>
    <w:tbl>
      <w:tblPr>
        <w:tblStyle w:val="18"/>
        <w:tblW w:w="14175" w:type="dxa"/>
        <w:tblInd w:w="149" w:type="dxa"/>
        <w:tblLayout w:type="autofit"/>
        <w:tblCellMar>
          <w:top w:w="63" w:type="dxa"/>
          <w:left w:w="109" w:type="dxa"/>
          <w:bottom w:w="0" w:type="dxa"/>
          <w:right w:w="0" w:type="dxa"/>
        </w:tblCellMar>
      </w:tblPr>
      <w:tblGrid>
        <w:gridCol w:w="567"/>
        <w:gridCol w:w="709"/>
        <w:gridCol w:w="851"/>
        <w:gridCol w:w="920"/>
        <w:gridCol w:w="919"/>
        <w:gridCol w:w="919"/>
        <w:gridCol w:w="919"/>
        <w:gridCol w:w="796"/>
        <w:gridCol w:w="123"/>
        <w:gridCol w:w="957"/>
        <w:gridCol w:w="960"/>
        <w:gridCol w:w="238"/>
        <w:gridCol w:w="602"/>
        <w:gridCol w:w="600"/>
        <w:gridCol w:w="360"/>
        <w:gridCol w:w="720"/>
        <w:gridCol w:w="360"/>
        <w:gridCol w:w="840"/>
        <w:gridCol w:w="480"/>
        <w:gridCol w:w="551"/>
        <w:gridCol w:w="784"/>
      </w:tblGrid>
      <w:tr>
        <w:tblPrEx>
          <w:tblCellMar>
            <w:top w:w="63" w:type="dxa"/>
            <w:left w:w="109" w:type="dxa"/>
            <w:bottom w:w="0" w:type="dxa"/>
            <w:right w:w="0" w:type="dxa"/>
          </w:tblCellMar>
        </w:tblPrEx>
        <w:trPr>
          <w:trHeight w:val="336" w:hRule="atLeast"/>
        </w:trPr>
        <w:tc>
          <w:tcPr>
            <w:tcW w:w="567"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560" w:type="dxa"/>
            <w:gridSpan w:val="2"/>
            <w:tcBorders>
              <w:top w:val="single" w:color="000000" w:sz="4" w:space="0"/>
              <w:left w:val="nil"/>
              <w:bottom w:val="single" w:color="000000" w:sz="4" w:space="0"/>
              <w:right w:val="nil"/>
            </w:tcBorders>
          </w:tcPr>
          <w:p>
            <w:pPr>
              <w:spacing w:after="160" w:line="259" w:lineRule="auto"/>
              <w:ind w:left="0" w:firstLine="0"/>
            </w:pPr>
          </w:p>
        </w:tc>
        <w:tc>
          <w:tcPr>
            <w:tcW w:w="920" w:type="dxa"/>
            <w:tcBorders>
              <w:top w:val="single" w:color="000000" w:sz="4" w:space="0"/>
              <w:left w:val="nil"/>
              <w:bottom w:val="single" w:color="000000" w:sz="4" w:space="0"/>
              <w:right w:val="nil"/>
            </w:tcBorders>
          </w:tcPr>
          <w:p>
            <w:pPr>
              <w:spacing w:after="160" w:line="259" w:lineRule="auto"/>
              <w:ind w:left="0" w:firstLine="0"/>
            </w:pPr>
          </w:p>
        </w:tc>
        <w:tc>
          <w:tcPr>
            <w:tcW w:w="919" w:type="dxa"/>
            <w:tcBorders>
              <w:top w:val="single" w:color="000000" w:sz="4" w:space="0"/>
              <w:left w:val="nil"/>
              <w:bottom w:val="single" w:color="000000" w:sz="4" w:space="0"/>
              <w:right w:val="nil"/>
            </w:tcBorders>
          </w:tcPr>
          <w:p>
            <w:pPr>
              <w:spacing w:after="160" w:line="259" w:lineRule="auto"/>
              <w:ind w:left="0" w:firstLine="0"/>
            </w:pPr>
          </w:p>
        </w:tc>
        <w:tc>
          <w:tcPr>
            <w:tcW w:w="4674" w:type="dxa"/>
            <w:gridSpan w:val="6"/>
            <w:tcBorders>
              <w:top w:val="single" w:color="000000" w:sz="4" w:space="0"/>
              <w:left w:val="nil"/>
              <w:bottom w:val="single" w:color="000000" w:sz="4" w:space="0"/>
              <w:right w:val="nil"/>
            </w:tcBorders>
          </w:tcPr>
          <w:p>
            <w:pPr>
              <w:spacing w:after="0" w:line="259" w:lineRule="auto"/>
              <w:ind w:left="2381" w:firstLine="0"/>
            </w:pPr>
            <w:r>
              <w:t>车辆税源明细</w:t>
            </w:r>
          </w:p>
        </w:tc>
        <w:tc>
          <w:tcPr>
            <w:tcW w:w="1440" w:type="dxa"/>
            <w:gridSpan w:val="3"/>
            <w:tcBorders>
              <w:top w:val="single" w:color="000000" w:sz="4" w:space="0"/>
              <w:left w:val="nil"/>
              <w:bottom w:val="single" w:color="000000" w:sz="4" w:space="0"/>
              <w:right w:val="nil"/>
            </w:tcBorders>
          </w:tcPr>
          <w:p>
            <w:pPr>
              <w:spacing w:after="160" w:line="259" w:lineRule="auto"/>
              <w:ind w:left="0" w:firstLine="0"/>
            </w:pPr>
          </w:p>
        </w:tc>
        <w:tc>
          <w:tcPr>
            <w:tcW w:w="4095" w:type="dxa"/>
            <w:gridSpan w:val="7"/>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63" w:type="dxa"/>
            <w:left w:w="109" w:type="dxa"/>
            <w:bottom w:w="0" w:type="dxa"/>
            <w:right w:w="0" w:type="dxa"/>
          </w:tblCellMar>
        </w:tblPrEx>
        <w:trPr>
          <w:trHeight w:val="131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76" w:firstLine="0"/>
              <w:jc w:val="center"/>
            </w:pPr>
            <w:r>
              <w:t>序号</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车牌号码</w:t>
            </w:r>
          </w:p>
        </w:tc>
        <w:tc>
          <w:tcPr>
            <w:tcW w:w="85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14"/>
              <w:jc w:val="center"/>
            </w:pPr>
            <w:r>
              <w:t>*车辆识别代码（车架号）</w:t>
            </w:r>
          </w:p>
        </w:tc>
        <w:tc>
          <w:tcPr>
            <w:tcW w:w="9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*车辆类型</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4" w:firstLine="0"/>
              <w:jc w:val="center"/>
            </w:pPr>
            <w:r>
              <w:t>车辆品牌</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4" w:firstLine="0"/>
              <w:jc w:val="center"/>
            </w:pPr>
            <w:r>
              <w:t>车辆型号</w:t>
            </w: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spacing w:after="30" w:line="259" w:lineRule="auto"/>
              <w:ind w:left="65" w:firstLine="0"/>
              <w:jc w:val="both"/>
            </w:pPr>
            <w:r>
              <w:t>*车辆发票日期</w:t>
            </w:r>
          </w:p>
          <w:p>
            <w:pPr>
              <w:spacing w:after="0" w:line="259" w:lineRule="auto"/>
              <w:ind w:left="13" w:firstLine="0"/>
              <w:jc w:val="both"/>
            </w:pPr>
            <w:r>
              <w:t>或注册登记日期</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8" w:firstLine="0"/>
              <w:jc w:val="center"/>
            </w:pPr>
            <w:r>
              <w:t>排（气）量</w:t>
            </w:r>
          </w:p>
        </w:tc>
        <w:tc>
          <w:tcPr>
            <w:tcW w:w="960" w:type="dxa"/>
            <w:tcBorders>
              <w:top w:val="single" w:color="000000" w:sz="4" w:space="0"/>
              <w:left w:val="single" w:color="000000" w:sz="4" w:space="0"/>
              <w:bottom w:val="single" w:color="000000" w:sz="4" w:space="0"/>
              <w:right w:val="nil"/>
            </w:tcBorders>
            <w:vAlign w:val="center"/>
          </w:tcPr>
          <w:p>
            <w:pPr>
              <w:spacing w:after="0" w:line="259" w:lineRule="auto"/>
              <w:ind w:left="71" w:right="-58" w:firstLine="0"/>
              <w:jc w:val="both"/>
            </w:pPr>
            <w:r>
              <w:t>核定载客</w:t>
            </w:r>
          </w:p>
        </w:tc>
        <w:tc>
          <w:tcPr>
            <w:tcW w:w="238"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202"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3" w:firstLine="0"/>
              <w:jc w:val="both"/>
            </w:pPr>
            <w:r>
              <w:t>整备质量</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72" w:firstLine="0"/>
              <w:jc w:val="center"/>
            </w:pPr>
            <w:r>
              <w:t>*单位税额</w:t>
            </w:r>
          </w:p>
        </w:tc>
        <w:tc>
          <w:tcPr>
            <w:tcW w:w="1680"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减免性质代码和项目名称</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纳税义务终止时间</w:t>
            </w:r>
          </w:p>
        </w:tc>
      </w:tr>
      <w:tr>
        <w:tblPrEx>
          <w:tblCellMar>
            <w:top w:w="63" w:type="dxa"/>
            <w:left w:w="109" w:type="dxa"/>
            <w:bottom w:w="0" w:type="dxa"/>
            <w:right w:w="0"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1" w:firstLine="0"/>
              <w:jc w:val="center"/>
            </w:pPr>
            <w:r>
              <w:t>1</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5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1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6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38"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202"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8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3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36" w:hRule="atLeast"/>
        </w:trPr>
        <w:tc>
          <w:tcPr>
            <w:tcW w:w="5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1" w:firstLine="0"/>
              <w:jc w:val="center"/>
            </w:pPr>
            <w:r>
              <w:t>2</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5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1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6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38"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202"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8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3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3" w:type="dxa"/>
            <w:left w:w="109" w:type="dxa"/>
            <w:bottom w:w="0" w:type="dxa"/>
            <w:right w:w="0"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1" w:firstLine="0"/>
              <w:jc w:val="center"/>
            </w:pPr>
            <w:r>
              <w:t>3</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5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1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6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38"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202"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8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35"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3" w:type="dxa"/>
            <w:left w:w="109" w:type="dxa"/>
            <w:bottom w:w="0" w:type="dxa"/>
            <w:right w:w="0" w:type="dxa"/>
          </w:tblCellMar>
        </w:tblPrEx>
        <w:trPr>
          <w:trHeight w:val="336" w:hRule="atLeast"/>
        </w:trPr>
        <w:tc>
          <w:tcPr>
            <w:tcW w:w="567"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560" w:type="dxa"/>
            <w:gridSpan w:val="2"/>
            <w:tcBorders>
              <w:top w:val="single" w:color="000000" w:sz="4" w:space="0"/>
              <w:left w:val="nil"/>
              <w:bottom w:val="single" w:color="000000" w:sz="4" w:space="0"/>
              <w:right w:val="nil"/>
            </w:tcBorders>
          </w:tcPr>
          <w:p>
            <w:pPr>
              <w:spacing w:after="160" w:line="259" w:lineRule="auto"/>
              <w:ind w:left="0" w:firstLine="0"/>
            </w:pPr>
          </w:p>
        </w:tc>
        <w:tc>
          <w:tcPr>
            <w:tcW w:w="920" w:type="dxa"/>
            <w:tcBorders>
              <w:top w:val="single" w:color="000000" w:sz="4" w:space="0"/>
              <w:left w:val="nil"/>
              <w:bottom w:val="single" w:color="000000" w:sz="4" w:space="0"/>
              <w:right w:val="nil"/>
            </w:tcBorders>
          </w:tcPr>
          <w:p>
            <w:pPr>
              <w:spacing w:after="160" w:line="259" w:lineRule="auto"/>
              <w:ind w:left="0" w:firstLine="0"/>
            </w:pPr>
          </w:p>
        </w:tc>
        <w:tc>
          <w:tcPr>
            <w:tcW w:w="919" w:type="dxa"/>
            <w:tcBorders>
              <w:top w:val="single" w:color="000000" w:sz="4" w:space="0"/>
              <w:left w:val="nil"/>
              <w:bottom w:val="single" w:color="000000" w:sz="4" w:space="0"/>
              <w:right w:val="nil"/>
            </w:tcBorders>
          </w:tcPr>
          <w:p>
            <w:pPr>
              <w:spacing w:after="160" w:line="259" w:lineRule="auto"/>
              <w:ind w:left="0" w:firstLine="0"/>
            </w:pPr>
          </w:p>
        </w:tc>
        <w:tc>
          <w:tcPr>
            <w:tcW w:w="4674" w:type="dxa"/>
            <w:gridSpan w:val="6"/>
            <w:tcBorders>
              <w:top w:val="single" w:color="000000" w:sz="4" w:space="0"/>
              <w:left w:val="nil"/>
              <w:bottom w:val="single" w:color="000000" w:sz="4" w:space="0"/>
              <w:right w:val="nil"/>
            </w:tcBorders>
          </w:tcPr>
          <w:p>
            <w:pPr>
              <w:spacing w:after="0" w:line="259" w:lineRule="auto"/>
              <w:ind w:left="2381" w:firstLine="0"/>
            </w:pPr>
            <w:r>
              <w:t>船舶税源明细</w:t>
            </w:r>
          </w:p>
        </w:tc>
        <w:tc>
          <w:tcPr>
            <w:tcW w:w="1440" w:type="dxa"/>
            <w:gridSpan w:val="3"/>
            <w:tcBorders>
              <w:top w:val="single" w:color="000000" w:sz="4" w:space="0"/>
              <w:left w:val="nil"/>
              <w:bottom w:val="single" w:color="000000" w:sz="4" w:space="0"/>
              <w:right w:val="nil"/>
            </w:tcBorders>
          </w:tcPr>
          <w:p>
            <w:pPr>
              <w:spacing w:after="160" w:line="259" w:lineRule="auto"/>
              <w:ind w:left="0" w:firstLine="0"/>
            </w:pPr>
          </w:p>
        </w:tc>
        <w:tc>
          <w:tcPr>
            <w:tcW w:w="4095" w:type="dxa"/>
            <w:gridSpan w:val="7"/>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63" w:type="dxa"/>
            <w:left w:w="109" w:type="dxa"/>
            <w:bottom w:w="0" w:type="dxa"/>
            <w:right w:w="0" w:type="dxa"/>
          </w:tblCellMar>
        </w:tblPrEx>
        <w:trPr>
          <w:trHeight w:val="131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76" w:firstLine="0"/>
              <w:jc w:val="center"/>
            </w:pPr>
            <w:r>
              <w:t>序号</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3" w:firstLine="0"/>
              <w:jc w:val="center"/>
            </w:pPr>
            <w:r>
              <w:t>船舶登记号</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*船舶识别号</w:t>
            </w:r>
          </w:p>
        </w:tc>
        <w:tc>
          <w:tcPr>
            <w:tcW w:w="9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*船舶种类</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*中文船名</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初次登记号码</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4" w:firstLine="0"/>
              <w:jc w:val="both"/>
            </w:pPr>
            <w:r>
              <w:t>船籍港</w:t>
            </w:r>
          </w:p>
        </w:tc>
        <w:tc>
          <w:tcPr>
            <w:tcW w:w="91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4" w:firstLine="0"/>
              <w:jc w:val="center"/>
            </w:pPr>
            <w:r>
              <w:t>发证日期</w:t>
            </w:r>
          </w:p>
        </w:tc>
        <w:tc>
          <w:tcPr>
            <w:tcW w:w="95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取得所有权日期</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65" w:firstLine="0"/>
              <w:jc w:val="center"/>
            </w:pPr>
            <w:r>
              <w:t>建成日期</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9" w:firstLine="0"/>
              <w:jc w:val="center"/>
            </w:pPr>
            <w:r>
              <w:t>净吨位</w:t>
            </w:r>
          </w:p>
        </w:tc>
        <w:tc>
          <w:tcPr>
            <w:tcW w:w="600" w:type="dxa"/>
            <w:tcBorders>
              <w:top w:val="single" w:color="000000" w:sz="4" w:space="0"/>
              <w:left w:val="single" w:color="000000" w:sz="4" w:space="0"/>
              <w:bottom w:val="single" w:color="000000" w:sz="4" w:space="0"/>
              <w:right w:val="nil"/>
            </w:tcBorders>
            <w:vAlign w:val="center"/>
          </w:tcPr>
          <w:p>
            <w:pPr>
              <w:spacing w:after="0" w:line="259" w:lineRule="auto"/>
              <w:ind w:left="0" w:right="-87" w:firstLine="0"/>
              <w:jc w:val="right"/>
            </w:pPr>
            <w:r>
              <w:t>主机功率</w:t>
            </w:r>
          </w:p>
        </w:tc>
        <w:tc>
          <w:tcPr>
            <w:tcW w:w="36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艇身长度（总长）</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*单位税额</w:t>
            </w:r>
          </w:p>
        </w:tc>
        <w:tc>
          <w:tcPr>
            <w:tcW w:w="103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减免性质代码和项目名称</w:t>
            </w:r>
          </w:p>
        </w:tc>
        <w:tc>
          <w:tcPr>
            <w:tcW w:w="78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纳税义务终止时间</w:t>
            </w:r>
          </w:p>
        </w:tc>
      </w:tr>
      <w:tr>
        <w:tblPrEx>
          <w:tblCellMar>
            <w:top w:w="63" w:type="dxa"/>
            <w:left w:w="109" w:type="dxa"/>
            <w:bottom w:w="0" w:type="dxa"/>
            <w:right w:w="0"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1" w:firstLine="0"/>
              <w:jc w:val="center"/>
            </w:pPr>
            <w:r>
              <w:t>1</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5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5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0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36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3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36" w:hRule="atLeast"/>
        </w:trPr>
        <w:tc>
          <w:tcPr>
            <w:tcW w:w="5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1" w:firstLine="0"/>
              <w:jc w:val="center"/>
            </w:pPr>
            <w:r>
              <w:t>2</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5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5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0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36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3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3" w:type="dxa"/>
            <w:left w:w="109" w:type="dxa"/>
            <w:bottom w:w="0" w:type="dxa"/>
            <w:right w:w="0" w:type="dxa"/>
          </w:tblCellMar>
        </w:tblPrEx>
        <w:trPr>
          <w:trHeight w:val="336" w:hRule="atLeast"/>
        </w:trPr>
        <w:tc>
          <w:tcPr>
            <w:tcW w:w="5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1" w:firstLine="0"/>
              <w:jc w:val="center"/>
            </w:pPr>
            <w:r>
              <w:t>3</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5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5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0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36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3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3" w:line="262" w:lineRule="auto"/>
        <w:ind w:left="144" w:right="11760"/>
      </w:pPr>
      <w:r>
        <w:t>填表说明：</w:t>
      </w:r>
      <w:r>
        <w:rPr>
          <w:u w:val="single" w:color="000000"/>
        </w:rPr>
        <w:t>车辆税源明细</w:t>
      </w:r>
    </w:p>
    <w:p>
      <w:pPr>
        <w:spacing w:after="26"/>
        <w:ind w:left="144"/>
      </w:pPr>
      <w:r>
        <w:t>1.车牌号码：在车辆登记管理部门登记的车辆，必填。根据车辆悬挂号牌填写。</w:t>
      </w:r>
    </w:p>
    <w:p>
      <w:pPr>
        <w:spacing w:after="26"/>
        <w:ind w:left="144"/>
      </w:pPr>
      <w:r>
        <w:t>2.车辆识别代码（车架号）：必填。根据整车合格证、机动车登记证书和机动车行驶证等材料填写。</w:t>
      </w:r>
    </w:p>
    <w:p>
      <w:pPr>
        <w:ind w:left="144"/>
      </w:pPr>
      <w:r>
        <w:t>3.车辆类型：必填。根据整车合格证、机动车登记证书和机动车行驶证等材料所载信息，按照《中华人民共和国车船税法》所附《车船税税目税额表》填写。</w:t>
      </w:r>
    </w:p>
    <w:p>
      <w:pPr>
        <w:ind w:left="144"/>
      </w:pPr>
      <w:r>
        <w:t>4.车辆品牌：节约能源、使用新能源车辆，必填。根据机动车行驶证同名栏目所载信息，或整车合格证、机动车登记证书所载车辆品牌填写。</w:t>
      </w:r>
    </w:p>
    <w:p>
      <w:pPr>
        <w:spacing w:after="26"/>
        <w:ind w:left="144"/>
      </w:pPr>
      <w:r>
        <w:t>5.车辆型号：节约能源、使用新能源车辆，必填。根据机动车行驶证同名栏目所载信息，或整车合格证、机动车登记证书所载车辆型号填写。</w:t>
      </w:r>
    </w:p>
    <w:p>
      <w:pPr>
        <w:spacing w:after="26"/>
        <w:ind w:left="144"/>
      </w:pPr>
      <w:r>
        <w:t>6.车辆发票日期或注册登记日期：必填。有机动车销售发票的，填写销售发票日期；确无销售发票的，填写机动车登记证书的注册登记日期。</w:t>
      </w:r>
    </w:p>
    <w:p>
      <w:pPr>
        <w:spacing w:after="26"/>
        <w:ind w:left="144"/>
      </w:pPr>
      <w:r>
        <w:t>7.排（气）量：乘用车，必填。根据整车合格证、机动车登记证书和机动车行驶证等材料填写。</w:t>
      </w:r>
    </w:p>
    <w:p>
      <w:pPr>
        <w:ind w:left="144"/>
      </w:pPr>
      <w:r>
        <w:t>8.核定载客：客车，必填。根据整车合格证、机动车登记证书和机动车行驶证等材料填写。</w:t>
      </w:r>
    </w:p>
    <w:p>
      <w:pPr>
        <w:spacing w:after="26"/>
        <w:ind w:left="144"/>
      </w:pPr>
      <w:r>
        <w:t>9.整备质量：货车、挂车、专用作业车、轮式专用机械车，必填。根据整车合格证、机动车登记证书和机动车行驶证等材料填写。</w:t>
      </w:r>
    </w:p>
    <w:p>
      <w:pPr>
        <w:spacing w:after="26"/>
        <w:ind w:left="144"/>
      </w:pPr>
      <w:r>
        <w:t>10.单位税额：按照《中华人民共和国车船税法》所附《车船税税目税额表》填写。</w:t>
      </w:r>
    </w:p>
    <w:p>
      <w:pPr>
        <w:spacing w:after="26"/>
        <w:ind w:left="144"/>
      </w:pPr>
      <w:r>
        <w:t>11.减免性质代码和项目名称：有减免税情况的，必填。按照税务机关最新制发的减免税政策代码表中最细项减免性质代码填写。</w:t>
      </w:r>
    </w:p>
    <w:p>
      <w:pPr>
        <w:spacing w:after="26"/>
        <w:ind w:left="144"/>
      </w:pPr>
      <w:r>
        <w:t>12.纳税义务终止时间：发生盗抢、报废、灭失等情况的，必填。填写盗抢、报废、灭失的当月。</w:t>
      </w:r>
    </w:p>
    <w:p>
      <w:pPr>
        <w:spacing w:after="30" w:line="262" w:lineRule="auto"/>
        <w:ind w:left="144"/>
      </w:pPr>
      <w:r>
        <w:rPr>
          <w:u w:val="single" w:color="000000"/>
        </w:rPr>
        <w:t>船舶税源明细</w:t>
      </w:r>
    </w:p>
    <w:p>
      <w:pPr>
        <w:ind w:left="144"/>
      </w:pPr>
      <w:r>
        <w:t>1.船舶登记号：在船舶登记管理部门登记的船舶，必填。根据船舶检验证书、船舶所有权登记证书、船舶国籍证书和船舶最低安全配员证书等材料填写。</w:t>
      </w:r>
    </w:p>
    <w:p>
      <w:pPr>
        <w:spacing w:after="26"/>
        <w:ind w:left="144"/>
      </w:pPr>
      <w:r>
        <w:t>2.船舶识别号：必填。根据船舶检验证书、船舶所有权登记证书、船舶国籍证书和船舶最低安全配员证书等材料填写。</w:t>
      </w:r>
    </w:p>
    <w:p>
      <w:pPr>
        <w:spacing w:after="26"/>
        <w:ind w:left="144"/>
      </w:pPr>
      <w:r>
        <w:t>3.船舶种类：必填。根据船舶检验证书、船舶所有权登记证书、船舶国籍证书和船舶最低安全配员证书等材料，按照《中华人民共和国车船税法》所附</w:t>
      </w:r>
    </w:p>
    <w:p>
      <w:pPr>
        <w:spacing w:after="26"/>
        <w:ind w:left="144"/>
      </w:pPr>
      <w:r>
        <w:t>《车船税税目税额表》填写。</w:t>
      </w:r>
    </w:p>
    <w:p>
      <w:pPr>
        <w:spacing w:after="26"/>
        <w:ind w:left="144"/>
      </w:pPr>
      <w:r>
        <w:t>4.中文船名：必填。根据船舶检验证书、船舶所有权登记证书、船舶国籍证书和船舶最低安全配员证书等材料填写。</w:t>
      </w:r>
    </w:p>
    <w:p>
      <w:pPr>
        <w:spacing w:after="26"/>
        <w:ind w:left="144"/>
      </w:pPr>
      <w:r>
        <w:t>5.初次登记号码：选填。根据船舶所有权登记证书等材料填写。</w:t>
      </w:r>
    </w:p>
    <w:p>
      <w:pPr>
        <w:ind w:left="144"/>
      </w:pPr>
      <w:r>
        <w:t>6.船籍港：在船舶登记管理部门登记的船舶，必填。根据船舶所有权登记证书、船舶国籍证书等材料填写。</w:t>
      </w:r>
    </w:p>
    <w:p>
      <w:pPr>
        <w:spacing w:after="26"/>
        <w:ind w:left="144"/>
      </w:pPr>
      <w:r>
        <w:t>7.发证日期：在船舶登记管理部门登记的船舶，必填。根据船舶所有权登记证书等材料填写。</w:t>
      </w:r>
    </w:p>
    <w:p>
      <w:pPr>
        <w:spacing w:after="26"/>
        <w:ind w:left="144"/>
      </w:pPr>
      <w:r>
        <w:t>8.取得所有权日期：必填。填写取得船舶所有权的日期。</w:t>
      </w:r>
    </w:p>
    <w:p>
      <w:pPr>
        <w:spacing w:after="26"/>
        <w:ind w:left="144"/>
      </w:pPr>
      <w:r>
        <w:t>9.建成日期：选填。填写船舶建成的日期。</w:t>
      </w:r>
    </w:p>
    <w:p>
      <w:pPr>
        <w:spacing w:after="26"/>
        <w:ind w:left="144"/>
      </w:pPr>
      <w:r>
        <w:t>10.净吨位：机动船舶、非机动驳船，必填。根据船舶检验证书、船舶所有权登记证书、船舶国籍证书和船舶最低安全配员证书等材料填写。</w:t>
      </w:r>
    </w:p>
    <w:p>
      <w:pPr>
        <w:spacing w:after="26"/>
        <w:ind w:left="144"/>
      </w:pPr>
      <w:r>
        <w:t>11.主机功率：拖船，必填。拖船按照发动机功率每1千瓦折合净吨位0.67吨计算征收车船税。</w:t>
      </w:r>
    </w:p>
    <w:p>
      <w:pPr>
        <w:ind w:left="144"/>
      </w:pPr>
      <w:r>
        <w:t>12.艇身长度：游艇，必填。根据船舶检验证书、船舶所有权登记证书、船舶国籍证书和船舶最低安全配员证书等材料填报。</w:t>
      </w:r>
    </w:p>
    <w:p>
      <w:pPr>
        <w:spacing w:after="26"/>
        <w:ind w:left="144"/>
      </w:pPr>
      <w:r>
        <w:t>13.单位税额：按照《中华人民共和国车船税法》所附《车船税税目税额表》填写。</w:t>
      </w:r>
    </w:p>
    <w:p>
      <w:pPr>
        <w:spacing w:after="26"/>
        <w:ind w:left="144"/>
      </w:pPr>
      <w:r>
        <w:t>14.减免性质代码和项目名称：有减免税情况的必填。按照税务机关最新制发的减免税政策代码表中最细项减免性质代码填写。</w:t>
      </w:r>
    </w:p>
    <w:p>
      <w:pPr>
        <w:ind w:left="144"/>
      </w:pPr>
      <w:r>
        <w:t>15.纳税义务终止时间：发生盗抢、报废、灭失等情况的，必填。填写盗抢、报废、灭失的当月。</w:t>
      </w:r>
    </w:p>
    <w:p>
      <w:pPr>
        <w:ind w:left="144"/>
      </w:pPr>
    </w:p>
    <w:p>
      <w:pPr>
        <w:ind w:left="144"/>
      </w:pPr>
    </w:p>
    <w:p>
      <w:pPr>
        <w:bidi w:val="0"/>
      </w:pPr>
      <w:r>
        <w:rPr>
          <w:rFonts w:hint="eastAsia"/>
        </w:rPr>
        <w:fldChar w:fldCharType="begin"/>
      </w:r>
      <w:r>
        <w:rPr>
          <w:rFonts w:hint="eastAsia"/>
        </w:rPr>
        <w:instrText xml:space="preserve"> HYPERLINK "http://ssfb86.com/index/News/detail/newsid/9474.html" </w:instrText>
      </w:r>
      <w:r>
        <w:rPr>
          <w:rFonts w:hint="eastAsia"/>
        </w:rPr>
        <w:fldChar w:fldCharType="separate"/>
      </w:r>
      <w:r>
        <w:rPr>
          <w:rStyle w:val="14"/>
          <w:rFonts w:hint="eastAsia" w:ascii="宋体" w:hAnsi="宋体" w:eastAsia="宋体" w:cs="宋体"/>
          <w:i w:val="0"/>
          <w:caps w:val="0"/>
          <w:color w:val="6E6E6E"/>
          <w:spacing w:val="0"/>
          <w:szCs w:val="24"/>
          <w:u w:val="single"/>
        </w:rPr>
        <w:t>国家税务总局公告2021年第25号</w:t>
      </w:r>
      <w:r>
        <w:rPr>
          <w:rFonts w:hint="eastAsia"/>
        </w:rPr>
        <w:fldChar w:fldCharType="end"/>
      </w:r>
      <w:r>
        <w:rPr>
          <w:rFonts w:hint="eastAsia"/>
        </w:rPr>
        <w:t>附件1</w:t>
      </w:r>
    </w:p>
    <w:p>
      <w:pPr>
        <w:pStyle w:val="3"/>
        <w:ind w:left="857" w:right="967"/>
      </w:pPr>
      <w:r>
        <w:t>契税税源明细表</w:t>
      </w:r>
    </w:p>
    <w:p>
      <w:r>
        <w:t>纳税人识别号（统一社会信用代码）：□□□□□□□□□□□□□□□□□□</w:t>
      </w:r>
    </w:p>
    <w:p>
      <w:pPr>
        <w:tabs>
          <w:tab w:val="center" w:pos="10555"/>
        </w:tabs>
        <w:ind w:left="0" w:firstLine="0"/>
      </w:pPr>
      <w:r>
        <w:t>纳税人名称：</w:t>
      </w:r>
      <w:r>
        <w:tab/>
      </w:r>
      <w:r>
        <w:t>金额单位：人民币元（列至角分）；面积单位：平方米</w:t>
      </w:r>
    </w:p>
    <w:tbl>
      <w:tblPr>
        <w:tblStyle w:val="18"/>
        <w:tblW w:w="13804" w:type="dxa"/>
        <w:tblInd w:w="0" w:type="dxa"/>
        <w:tblLayout w:type="autofit"/>
        <w:tblCellMar>
          <w:top w:w="59" w:type="dxa"/>
          <w:left w:w="108" w:type="dxa"/>
          <w:bottom w:w="0" w:type="dxa"/>
          <w:right w:w="131" w:type="dxa"/>
        </w:tblCellMar>
      </w:tblPr>
      <w:tblGrid>
        <w:gridCol w:w="2086"/>
        <w:gridCol w:w="2167"/>
        <w:gridCol w:w="2107"/>
        <w:gridCol w:w="2926"/>
        <w:gridCol w:w="1740"/>
        <w:gridCol w:w="2778"/>
      </w:tblGrid>
      <w:tr>
        <w:tblPrEx>
          <w:tblCellMar>
            <w:top w:w="59" w:type="dxa"/>
            <w:left w:w="108" w:type="dxa"/>
            <w:bottom w:w="0" w:type="dxa"/>
            <w:right w:w="131" w:type="dxa"/>
          </w:tblCellMar>
        </w:tblPrEx>
        <w:trPr>
          <w:trHeight w:val="795" w:hRule="atLeast"/>
        </w:trPr>
        <w:tc>
          <w:tcPr>
            <w:tcW w:w="2086" w:type="dxa"/>
            <w:tcBorders>
              <w:top w:val="single" w:color="000000" w:sz="8" w:space="0"/>
              <w:left w:val="single" w:color="000000" w:sz="8" w:space="0"/>
              <w:bottom w:val="single" w:color="000000" w:sz="4" w:space="0"/>
              <w:right w:val="single" w:color="000000" w:sz="4" w:space="0"/>
            </w:tcBorders>
            <w:vAlign w:val="center"/>
          </w:tcPr>
          <w:p>
            <w:pPr>
              <w:spacing w:after="0" w:line="259" w:lineRule="auto"/>
              <w:ind w:left="18" w:firstLine="0"/>
              <w:jc w:val="center"/>
            </w:pPr>
            <w:r>
              <w:t>*税源编号</w:t>
            </w:r>
          </w:p>
        </w:tc>
        <w:tc>
          <w:tcPr>
            <w:tcW w:w="2167" w:type="dxa"/>
            <w:tcBorders>
              <w:top w:val="single" w:color="000000" w:sz="8" w:space="0"/>
              <w:left w:val="single" w:color="000000" w:sz="4" w:space="0"/>
              <w:bottom w:val="single" w:color="000000" w:sz="4" w:space="0"/>
              <w:right w:val="single" w:color="000000" w:sz="4" w:space="0"/>
            </w:tcBorders>
            <w:vAlign w:val="center"/>
          </w:tcPr>
          <w:p>
            <w:pPr>
              <w:spacing w:after="0" w:line="259" w:lineRule="auto"/>
              <w:ind w:left="134" w:firstLine="0"/>
            </w:pPr>
            <w:r>
              <w:t>（系统自动带出）</w:t>
            </w:r>
          </w:p>
        </w:tc>
        <w:tc>
          <w:tcPr>
            <w:tcW w:w="2107" w:type="dxa"/>
            <w:tcBorders>
              <w:top w:val="single" w:color="000000" w:sz="8" w:space="0"/>
              <w:left w:val="single" w:color="000000" w:sz="4" w:space="0"/>
              <w:bottom w:val="single" w:color="000000" w:sz="4" w:space="0"/>
              <w:right w:val="single" w:color="000000" w:sz="4" w:space="0"/>
            </w:tcBorders>
            <w:vAlign w:val="center"/>
          </w:tcPr>
          <w:p>
            <w:pPr>
              <w:spacing w:after="0" w:line="259" w:lineRule="auto"/>
              <w:ind w:left="53" w:firstLine="0"/>
            </w:pPr>
            <w:r>
              <w:t>*土地房屋坐落地址</w:t>
            </w:r>
          </w:p>
        </w:tc>
        <w:tc>
          <w:tcPr>
            <w:tcW w:w="2926" w:type="dxa"/>
            <w:tcBorders>
              <w:top w:val="single" w:color="000000" w:sz="8" w:space="0"/>
              <w:left w:val="single" w:color="000000" w:sz="4" w:space="0"/>
              <w:bottom w:val="single" w:color="000000" w:sz="4" w:space="0"/>
              <w:right w:val="single" w:color="000000" w:sz="4" w:space="0"/>
            </w:tcBorders>
            <w:vAlign w:val="center"/>
          </w:tcPr>
          <w:p>
            <w:pPr>
              <w:spacing w:after="0" w:line="259" w:lineRule="auto"/>
              <w:ind w:left="23" w:firstLine="0"/>
              <w:jc w:val="center"/>
            </w:pPr>
            <w:r>
              <w:t>（必填）</w:t>
            </w:r>
          </w:p>
        </w:tc>
        <w:tc>
          <w:tcPr>
            <w:tcW w:w="1740" w:type="dxa"/>
            <w:tcBorders>
              <w:top w:val="single" w:color="000000" w:sz="8" w:space="0"/>
              <w:left w:val="single" w:color="000000" w:sz="4" w:space="0"/>
              <w:bottom w:val="single" w:color="000000" w:sz="4" w:space="0"/>
              <w:right w:val="single" w:color="000000" w:sz="4" w:space="0"/>
            </w:tcBorders>
            <w:vAlign w:val="center"/>
          </w:tcPr>
          <w:p>
            <w:pPr>
              <w:spacing w:after="0" w:line="259" w:lineRule="auto"/>
              <w:ind w:left="26" w:firstLine="0"/>
            </w:pPr>
            <w:r>
              <w:t>不动产单元代码</w:t>
            </w:r>
          </w:p>
        </w:tc>
        <w:tc>
          <w:tcPr>
            <w:tcW w:w="2778" w:type="dxa"/>
            <w:tcBorders>
              <w:top w:val="single" w:color="000000" w:sz="8" w:space="0"/>
              <w:left w:val="single" w:color="000000" w:sz="4" w:space="0"/>
              <w:bottom w:val="single" w:color="000000" w:sz="4" w:space="0"/>
              <w:right w:val="single" w:color="000000" w:sz="8" w:space="0"/>
            </w:tcBorders>
            <w:vAlign w:val="center"/>
          </w:tcPr>
          <w:p>
            <w:pPr>
              <w:spacing w:after="0" w:line="259" w:lineRule="auto"/>
              <w:ind w:left="22" w:firstLine="0"/>
            </w:pPr>
            <w:r>
              <w:t>（有不动产权证的，必填）</w:t>
            </w:r>
          </w:p>
        </w:tc>
      </w:tr>
      <w:tr>
        <w:tblPrEx>
          <w:tblCellMar>
            <w:top w:w="59" w:type="dxa"/>
            <w:left w:w="108" w:type="dxa"/>
            <w:bottom w:w="0" w:type="dxa"/>
            <w:right w:w="131" w:type="dxa"/>
          </w:tblCellMar>
        </w:tblPrEx>
        <w:trPr>
          <w:trHeight w:val="1605" w:hRule="atLeast"/>
        </w:trPr>
        <w:tc>
          <w:tcPr>
            <w:tcW w:w="2086"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23" w:firstLine="0"/>
              <w:jc w:val="center"/>
            </w:pPr>
            <w:r>
              <w:t>合同编号</w:t>
            </w:r>
          </w:p>
        </w:tc>
        <w:tc>
          <w:tcPr>
            <w:tcW w:w="216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（有合同编号的，必填）</w:t>
            </w:r>
          </w:p>
        </w:tc>
        <w:tc>
          <w:tcPr>
            <w:tcW w:w="210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64" w:firstLine="0"/>
            </w:pPr>
            <w:r>
              <w:t>*合同签订日期</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3" w:firstLine="0"/>
              <w:jc w:val="center"/>
            </w:pPr>
            <w:r>
              <w:t>（必填）</w:t>
            </w:r>
          </w:p>
        </w:tc>
        <w:tc>
          <w:tcPr>
            <w:tcW w:w="1740" w:type="dxa"/>
            <w:tcBorders>
              <w:top w:val="single" w:color="000000" w:sz="4" w:space="0"/>
              <w:left w:val="single" w:color="000000" w:sz="4" w:space="0"/>
              <w:bottom w:val="single" w:color="000000" w:sz="4" w:space="0"/>
              <w:right w:val="single" w:color="000000" w:sz="8" w:space="0"/>
            </w:tcBorders>
            <w:vAlign w:val="center"/>
          </w:tcPr>
          <w:p>
            <w:pPr>
              <w:spacing w:after="0" w:line="259" w:lineRule="auto"/>
              <w:ind w:left="162" w:firstLine="0"/>
              <w:jc w:val="center"/>
            </w:pPr>
            <w:r>
              <w:t>*共有方式</w:t>
            </w:r>
          </w:p>
        </w:tc>
        <w:tc>
          <w:tcPr>
            <w:tcW w:w="2778" w:type="dxa"/>
            <w:tcBorders>
              <w:top w:val="single" w:color="000000" w:sz="4" w:space="0"/>
              <w:left w:val="single" w:color="000000" w:sz="8" w:space="0"/>
              <w:bottom w:val="single" w:color="000000" w:sz="4" w:space="0"/>
              <w:right w:val="single" w:color="000000" w:sz="8" w:space="0"/>
            </w:tcBorders>
          </w:tcPr>
          <w:p>
            <w:pPr>
              <w:spacing w:after="47" w:line="259" w:lineRule="auto"/>
              <w:ind w:left="0" w:firstLine="0"/>
            </w:pPr>
            <w:r>
              <w:t>□ 单独所有</w:t>
            </w:r>
          </w:p>
          <w:p>
            <w:pPr>
              <w:spacing w:after="52" w:line="259" w:lineRule="auto"/>
              <w:ind w:left="0" w:firstLine="0"/>
            </w:pPr>
            <w:r>
              <w:t>□ 按份共有</w:t>
            </w:r>
          </w:p>
          <w:p>
            <w:pPr>
              <w:spacing w:after="37" w:line="259" w:lineRule="auto"/>
              <w:ind w:left="0" w:firstLine="0"/>
            </w:pPr>
            <w:r>
              <w:t>（转移份额：</w:t>
            </w:r>
            <w:r>
              <w:rPr>
                <w:rFonts w:ascii="Times New Roman" w:hAnsi="Times New Roman" w:eastAsia="Times New Roman" w:cs="Times New Roman"/>
              </w:rPr>
              <w:t>_____</w:t>
            </w:r>
            <w:r>
              <w:t>）</w:t>
            </w:r>
          </w:p>
          <w:p>
            <w:pPr>
              <w:spacing w:after="79" w:line="259" w:lineRule="auto"/>
              <w:ind w:left="0" w:firstLine="0"/>
            </w:pPr>
            <w:r>
              <w:t>□ 共同共有</w:t>
            </w:r>
          </w:p>
          <w:p>
            <w:pPr>
              <w:spacing w:after="0" w:line="259" w:lineRule="auto"/>
              <w:ind w:left="0" w:firstLine="0"/>
            </w:pPr>
            <w:r>
              <w:t>（共有人：</w:t>
            </w:r>
            <w:r>
              <w:rPr>
                <w:rFonts w:ascii="Times New Roman" w:hAnsi="Times New Roman" w:eastAsia="Times New Roman" w:cs="Times New Roman"/>
                <w:sz w:val="24"/>
              </w:rPr>
              <w:t>____</w:t>
            </w:r>
            <w:r>
              <w:t>）</w:t>
            </w:r>
          </w:p>
        </w:tc>
      </w:tr>
      <w:tr>
        <w:tblPrEx>
          <w:tblCellMar>
            <w:top w:w="59" w:type="dxa"/>
            <w:left w:w="108" w:type="dxa"/>
            <w:bottom w:w="0" w:type="dxa"/>
            <w:right w:w="131" w:type="dxa"/>
          </w:tblCellMar>
        </w:tblPrEx>
        <w:trPr>
          <w:trHeight w:val="610" w:hRule="atLeast"/>
        </w:trPr>
        <w:tc>
          <w:tcPr>
            <w:tcW w:w="2086"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252" w:firstLine="0"/>
            </w:pPr>
            <w:r>
              <w:t>*权属转移对象</w:t>
            </w:r>
          </w:p>
        </w:tc>
        <w:tc>
          <w:tcPr>
            <w:tcW w:w="216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 w:firstLine="0"/>
              <w:jc w:val="center"/>
            </w:pPr>
            <w:r>
              <w:t>（必选）</w:t>
            </w:r>
          </w:p>
        </w:tc>
        <w:tc>
          <w:tcPr>
            <w:tcW w:w="210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64" w:firstLine="0"/>
            </w:pPr>
            <w:r>
              <w:t>*权属转移方式</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3" w:firstLine="0"/>
              <w:jc w:val="center"/>
            </w:pPr>
            <w:r>
              <w:t>（必选）</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0" w:firstLine="0"/>
              <w:jc w:val="center"/>
            </w:pPr>
            <w:r>
              <w:t>*用途</w:t>
            </w:r>
          </w:p>
        </w:tc>
        <w:tc>
          <w:tcPr>
            <w:tcW w:w="2778" w:type="dxa"/>
            <w:tcBorders>
              <w:top w:val="single" w:color="000000" w:sz="4" w:space="0"/>
              <w:left w:val="single" w:color="000000" w:sz="4" w:space="0"/>
              <w:bottom w:val="single" w:color="000000" w:sz="4" w:space="0"/>
              <w:right w:val="single" w:color="000000" w:sz="8" w:space="0"/>
            </w:tcBorders>
            <w:vAlign w:val="center"/>
          </w:tcPr>
          <w:p>
            <w:pPr>
              <w:spacing w:after="0" w:line="259" w:lineRule="auto"/>
              <w:ind w:left="22" w:firstLine="0"/>
              <w:jc w:val="center"/>
            </w:pPr>
            <w:r>
              <w:t>（必选）</w:t>
            </w:r>
          </w:p>
        </w:tc>
      </w:tr>
      <w:tr>
        <w:tblPrEx>
          <w:tblCellMar>
            <w:top w:w="59" w:type="dxa"/>
            <w:left w:w="108" w:type="dxa"/>
            <w:bottom w:w="0" w:type="dxa"/>
            <w:right w:w="131" w:type="dxa"/>
          </w:tblCellMar>
        </w:tblPrEx>
        <w:trPr>
          <w:trHeight w:val="655" w:hRule="atLeast"/>
        </w:trPr>
        <w:tc>
          <w:tcPr>
            <w:tcW w:w="2086" w:type="dxa"/>
            <w:tcBorders>
              <w:top w:val="single" w:color="000000" w:sz="4" w:space="0"/>
              <w:left w:val="single" w:color="000000" w:sz="8" w:space="0"/>
              <w:bottom w:val="single" w:color="000000" w:sz="4" w:space="0"/>
              <w:right w:val="single" w:color="000000" w:sz="4" w:space="0"/>
            </w:tcBorders>
          </w:tcPr>
          <w:p>
            <w:pPr>
              <w:spacing w:after="25" w:line="259" w:lineRule="auto"/>
              <w:ind w:left="18" w:firstLine="0"/>
              <w:jc w:val="center"/>
            </w:pPr>
            <w:r>
              <w:t>*成交价格</w:t>
            </w:r>
          </w:p>
          <w:p>
            <w:pPr>
              <w:spacing w:after="0" w:line="259" w:lineRule="auto"/>
              <w:ind w:left="200" w:firstLine="0"/>
            </w:pPr>
            <w:r>
              <w:t>（不含增值税）</w:t>
            </w:r>
          </w:p>
        </w:tc>
        <w:tc>
          <w:tcPr>
            <w:tcW w:w="216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 w:firstLine="0"/>
              <w:jc w:val="center"/>
            </w:pPr>
            <w:r>
              <w:t>（必填）</w:t>
            </w:r>
          </w:p>
        </w:tc>
        <w:tc>
          <w:tcPr>
            <w:tcW w:w="210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64" w:firstLine="0"/>
            </w:pPr>
            <w:r>
              <w:t>*权属转移面积</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3" w:firstLine="0"/>
              <w:jc w:val="center"/>
            </w:pPr>
            <w:r>
              <w:t>（必填）</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0" w:firstLine="0"/>
              <w:jc w:val="center"/>
            </w:pPr>
            <w:r>
              <w:t>*成交单价</w:t>
            </w:r>
          </w:p>
        </w:tc>
        <w:tc>
          <w:tcPr>
            <w:tcW w:w="2778" w:type="dxa"/>
            <w:tcBorders>
              <w:top w:val="single" w:color="000000" w:sz="4" w:space="0"/>
              <w:left w:val="single" w:color="000000" w:sz="4" w:space="0"/>
              <w:bottom w:val="single" w:color="000000" w:sz="4" w:space="0"/>
              <w:right w:val="single" w:color="000000" w:sz="8" w:space="0"/>
            </w:tcBorders>
            <w:vAlign w:val="center"/>
          </w:tcPr>
          <w:p>
            <w:pPr>
              <w:spacing w:after="0" w:line="259" w:lineRule="auto"/>
              <w:ind w:left="22" w:firstLine="0"/>
              <w:jc w:val="center"/>
            </w:pPr>
            <w:r>
              <w:t>（系统自动带出）</w:t>
            </w:r>
          </w:p>
        </w:tc>
      </w:tr>
      <w:tr>
        <w:tblPrEx>
          <w:tblCellMar>
            <w:top w:w="59" w:type="dxa"/>
            <w:left w:w="108" w:type="dxa"/>
            <w:bottom w:w="0" w:type="dxa"/>
            <w:right w:w="131" w:type="dxa"/>
          </w:tblCellMar>
        </w:tblPrEx>
        <w:trPr>
          <w:trHeight w:val="550" w:hRule="atLeast"/>
        </w:trPr>
        <w:tc>
          <w:tcPr>
            <w:tcW w:w="2086"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18" w:firstLine="0"/>
              <w:jc w:val="center"/>
            </w:pPr>
            <w:r>
              <w:t>*评估价格</w:t>
            </w:r>
          </w:p>
        </w:tc>
        <w:tc>
          <w:tcPr>
            <w:tcW w:w="427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3" w:firstLine="0"/>
              <w:jc w:val="center"/>
            </w:pPr>
            <w:r>
              <w:t>（系统自动带出）</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 w:firstLine="0"/>
              <w:jc w:val="center"/>
            </w:pPr>
            <w:r>
              <w:t>*计税价格</w:t>
            </w:r>
          </w:p>
        </w:tc>
        <w:tc>
          <w:tcPr>
            <w:tcW w:w="4518" w:type="dxa"/>
            <w:gridSpan w:val="2"/>
            <w:tcBorders>
              <w:top w:val="single" w:color="000000" w:sz="4" w:space="0"/>
              <w:left w:val="single" w:color="000000" w:sz="4" w:space="0"/>
              <w:bottom w:val="single" w:color="000000" w:sz="4" w:space="0"/>
              <w:right w:val="single" w:color="000000" w:sz="8" w:space="0"/>
            </w:tcBorders>
            <w:vAlign w:val="center"/>
          </w:tcPr>
          <w:p>
            <w:pPr>
              <w:spacing w:after="0" w:line="259" w:lineRule="auto"/>
              <w:ind w:left="19" w:firstLine="0"/>
              <w:jc w:val="center"/>
            </w:pPr>
            <w:r>
              <w:t>（系统自动带出）</w:t>
            </w:r>
          </w:p>
        </w:tc>
      </w:tr>
      <w:tr>
        <w:tblPrEx>
          <w:tblCellMar>
            <w:top w:w="59" w:type="dxa"/>
            <w:left w:w="108" w:type="dxa"/>
            <w:bottom w:w="0" w:type="dxa"/>
            <w:right w:w="131" w:type="dxa"/>
          </w:tblCellMar>
        </w:tblPrEx>
        <w:trPr>
          <w:trHeight w:val="805" w:hRule="atLeast"/>
        </w:trPr>
        <w:tc>
          <w:tcPr>
            <w:tcW w:w="2086"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18" w:firstLine="0"/>
              <w:jc w:val="center"/>
            </w:pPr>
            <w:r>
              <w:t>*适用税率</w:t>
            </w:r>
          </w:p>
        </w:tc>
        <w:tc>
          <w:tcPr>
            <w:tcW w:w="427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3" w:firstLine="0"/>
              <w:jc w:val="center"/>
            </w:pPr>
            <w:r>
              <w:t>（系统自动带出）</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1" w:firstLine="0"/>
              <w:jc w:val="center"/>
            </w:pPr>
            <w:r>
              <w:t>权属登记日期</w:t>
            </w:r>
          </w:p>
        </w:tc>
        <w:tc>
          <w:tcPr>
            <w:tcW w:w="4518" w:type="dxa"/>
            <w:gridSpan w:val="2"/>
            <w:tcBorders>
              <w:top w:val="single" w:color="000000" w:sz="4" w:space="0"/>
              <w:left w:val="single" w:color="000000" w:sz="4" w:space="0"/>
              <w:bottom w:val="single" w:color="000000" w:sz="4" w:space="0"/>
              <w:right w:val="single" w:color="000000" w:sz="8" w:space="0"/>
            </w:tcBorders>
            <w:vAlign w:val="center"/>
          </w:tcPr>
          <w:p>
            <w:pPr>
              <w:spacing w:after="0" w:line="259" w:lineRule="auto"/>
              <w:ind w:left="23" w:firstLine="0"/>
              <w:jc w:val="center"/>
            </w:pPr>
            <w:r>
              <w:t>(已办理权属登记的，必填)</w:t>
            </w:r>
          </w:p>
        </w:tc>
      </w:tr>
      <w:tr>
        <w:tblPrEx>
          <w:tblCellMar>
            <w:top w:w="59" w:type="dxa"/>
            <w:left w:w="108" w:type="dxa"/>
            <w:bottom w:w="0" w:type="dxa"/>
            <w:right w:w="131" w:type="dxa"/>
          </w:tblCellMar>
        </w:tblPrEx>
        <w:trPr>
          <w:trHeight w:val="1305" w:hRule="atLeast"/>
        </w:trPr>
        <w:tc>
          <w:tcPr>
            <w:tcW w:w="2086" w:type="dxa"/>
            <w:tcBorders>
              <w:top w:val="single" w:color="000000" w:sz="4" w:space="0"/>
              <w:left w:val="single" w:color="000000" w:sz="8" w:space="0"/>
              <w:bottom w:val="single" w:color="000000" w:sz="4" w:space="0"/>
              <w:right w:val="single" w:color="000000" w:sz="4" w:space="0"/>
            </w:tcBorders>
            <w:vAlign w:val="center"/>
          </w:tcPr>
          <w:p>
            <w:pPr>
              <w:spacing w:after="0" w:line="259" w:lineRule="auto"/>
              <w:ind w:left="0" w:firstLine="0"/>
              <w:jc w:val="center"/>
            </w:pPr>
            <w:r>
              <w:t>居民购房减免性质代码和项目名称</w:t>
            </w:r>
          </w:p>
        </w:tc>
        <w:tc>
          <w:tcPr>
            <w:tcW w:w="427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5" w:line="282" w:lineRule="auto"/>
              <w:ind w:left="0" w:firstLine="0"/>
              <w:jc w:val="center"/>
            </w:pPr>
            <w:r>
              <w:t>其他减免性质代码和项目名称</w:t>
            </w:r>
          </w:p>
          <w:p>
            <w:pPr>
              <w:spacing w:after="0" w:line="259" w:lineRule="auto"/>
              <w:ind w:left="21" w:firstLine="0"/>
              <w:jc w:val="center"/>
            </w:pPr>
            <w:r>
              <w:t>（抵减金额：</w:t>
            </w:r>
            <w:r>
              <w:rPr>
                <w:rFonts w:ascii="Times New Roman" w:hAnsi="Times New Roman" w:eastAsia="Times New Roman" w:cs="Times New Roman"/>
              </w:rPr>
              <w:t>_____</w:t>
            </w:r>
            <w:r>
              <w:t>）</w:t>
            </w:r>
          </w:p>
        </w:tc>
        <w:tc>
          <w:tcPr>
            <w:tcW w:w="4518" w:type="dxa"/>
            <w:gridSpan w:val="2"/>
            <w:tcBorders>
              <w:top w:val="single" w:color="000000" w:sz="4" w:space="0"/>
              <w:left w:val="single" w:color="000000" w:sz="4" w:space="0"/>
              <w:bottom w:val="single" w:color="000000" w:sz="4" w:space="0"/>
              <w:right w:val="single" w:color="000000" w:sz="8" w:space="0"/>
            </w:tcBorders>
          </w:tcPr>
          <w:p>
            <w:pPr>
              <w:spacing w:after="160" w:line="259" w:lineRule="auto"/>
              <w:ind w:left="0" w:firstLine="0"/>
            </w:pPr>
          </w:p>
        </w:tc>
      </w:tr>
    </w:tbl>
    <w:p>
      <w:pPr>
        <w:spacing w:after="0" w:line="259" w:lineRule="auto"/>
        <w:ind w:left="420" w:firstLine="0"/>
      </w:pPr>
      <w:r>
        <w:rPr>
          <w:sz w:val="24"/>
        </w:rPr>
        <w:t>权属转移对象、方式、用途逻辑关系对照表</w:t>
      </w:r>
    </w:p>
    <w:tbl>
      <w:tblPr>
        <w:tblStyle w:val="18"/>
        <w:tblW w:w="14173" w:type="dxa"/>
        <w:tblInd w:w="-108" w:type="dxa"/>
        <w:tblLayout w:type="autofit"/>
        <w:tblCellMar>
          <w:top w:w="70" w:type="dxa"/>
          <w:left w:w="108" w:type="dxa"/>
          <w:bottom w:w="0" w:type="dxa"/>
          <w:right w:w="108" w:type="dxa"/>
        </w:tblCellMar>
      </w:tblPr>
      <w:tblGrid>
        <w:gridCol w:w="1031"/>
        <w:gridCol w:w="1031"/>
        <w:gridCol w:w="1038"/>
        <w:gridCol w:w="1894"/>
        <w:gridCol w:w="6919"/>
        <w:gridCol w:w="2260"/>
      </w:tblGrid>
      <w:tr>
        <w:tblPrEx>
          <w:tblCellMar>
            <w:top w:w="70" w:type="dxa"/>
            <w:left w:w="108" w:type="dxa"/>
            <w:bottom w:w="0" w:type="dxa"/>
            <w:right w:w="108" w:type="dxa"/>
          </w:tblCellMar>
        </w:tblPrEx>
        <w:trPr>
          <w:trHeight w:val="417" w:hRule="atLeast"/>
        </w:trPr>
        <w:tc>
          <w:tcPr>
            <w:tcW w:w="3100" w:type="dxa"/>
            <w:gridSpan w:val="3"/>
            <w:tcBorders>
              <w:top w:val="single" w:color="000000" w:sz="4" w:space="0"/>
              <w:left w:val="single" w:color="000000" w:sz="4" w:space="0"/>
              <w:bottom w:val="single" w:color="000000" w:sz="8" w:space="0"/>
              <w:right w:val="single" w:color="000000" w:sz="8" w:space="0"/>
            </w:tcBorders>
          </w:tcPr>
          <w:p>
            <w:pPr>
              <w:spacing w:after="0" w:line="259" w:lineRule="auto"/>
              <w:ind w:left="0" w:right="3" w:firstLine="0"/>
              <w:jc w:val="center"/>
            </w:pPr>
            <w:r>
              <w:t>权属转移对象</w:t>
            </w:r>
          </w:p>
        </w:tc>
        <w:tc>
          <w:tcPr>
            <w:tcW w:w="8813" w:type="dxa"/>
            <w:gridSpan w:val="2"/>
            <w:vMerge w:val="restart"/>
            <w:tcBorders>
              <w:top w:val="single" w:color="000000" w:sz="4" w:space="0"/>
              <w:left w:val="single" w:color="000000" w:sz="8" w:space="0"/>
              <w:bottom w:val="single" w:color="000000" w:sz="8" w:space="0"/>
              <w:right w:val="single" w:color="000000" w:sz="8" w:space="0"/>
            </w:tcBorders>
            <w:vAlign w:val="center"/>
          </w:tcPr>
          <w:p>
            <w:pPr>
              <w:spacing w:after="0" w:line="259" w:lineRule="auto"/>
              <w:ind w:left="0" w:right="3" w:firstLine="0"/>
              <w:jc w:val="center"/>
            </w:pPr>
            <w:r>
              <w:t>权属转移方式</w:t>
            </w:r>
          </w:p>
        </w:tc>
        <w:tc>
          <w:tcPr>
            <w:tcW w:w="2260" w:type="dxa"/>
            <w:vMerge w:val="restart"/>
            <w:tcBorders>
              <w:top w:val="single" w:color="000000" w:sz="4" w:space="0"/>
              <w:left w:val="single" w:color="000000" w:sz="8" w:space="0"/>
              <w:bottom w:val="single" w:color="000000" w:sz="8" w:space="0"/>
              <w:right w:val="single" w:color="000000" w:sz="8" w:space="0"/>
            </w:tcBorders>
            <w:vAlign w:val="center"/>
          </w:tcPr>
          <w:p>
            <w:pPr>
              <w:spacing w:after="0" w:line="259" w:lineRule="auto"/>
              <w:ind w:left="0" w:right="2" w:firstLine="0"/>
              <w:jc w:val="center"/>
            </w:pPr>
            <w:r>
              <w:t>用途</w:t>
            </w:r>
          </w:p>
        </w:tc>
      </w:tr>
      <w:tr>
        <w:tblPrEx>
          <w:tblCellMar>
            <w:top w:w="70" w:type="dxa"/>
            <w:left w:w="108" w:type="dxa"/>
            <w:bottom w:w="0" w:type="dxa"/>
            <w:right w:w="108" w:type="dxa"/>
          </w:tblCellMar>
        </w:tblPrEx>
        <w:trPr>
          <w:trHeight w:val="620" w:hRule="atLeast"/>
        </w:trPr>
        <w:tc>
          <w:tcPr>
            <w:tcW w:w="1031" w:type="dxa"/>
            <w:tcBorders>
              <w:top w:val="single" w:color="000000" w:sz="8" w:space="0"/>
              <w:left w:val="single" w:color="000000" w:sz="4" w:space="0"/>
              <w:bottom w:val="single" w:color="000000" w:sz="8" w:space="0"/>
              <w:right w:val="single" w:color="000000" w:sz="8" w:space="0"/>
            </w:tcBorders>
          </w:tcPr>
          <w:p>
            <w:pPr>
              <w:spacing w:after="0" w:line="259" w:lineRule="auto"/>
              <w:ind w:left="0" w:firstLine="0"/>
              <w:jc w:val="center"/>
            </w:pPr>
            <w:r>
              <w:t>一级（大类）</w:t>
            </w:r>
          </w:p>
        </w:tc>
        <w:tc>
          <w:tcPr>
            <w:tcW w:w="1031"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二级（小类）</w:t>
            </w:r>
          </w:p>
        </w:tc>
        <w:tc>
          <w:tcPr>
            <w:tcW w:w="1038"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三级（细目）</w:t>
            </w:r>
          </w:p>
        </w:tc>
        <w:tc>
          <w:tcPr>
            <w:tcW w:w="0" w:type="auto"/>
            <w:gridSpan w:val="2"/>
            <w:vMerge w:val="continue"/>
            <w:tcBorders>
              <w:top w:val="nil"/>
              <w:left w:val="single" w:color="000000" w:sz="8" w:space="0"/>
              <w:bottom w:val="single" w:color="000000" w:sz="8" w:space="0"/>
              <w:right w:val="single" w:color="000000" w:sz="8" w:space="0"/>
            </w:tcBorders>
          </w:tcPr>
          <w:p>
            <w:pPr>
              <w:spacing w:after="160" w:line="259" w:lineRule="auto"/>
              <w:ind w:left="0" w:firstLine="0"/>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firstLine="0"/>
            </w:pPr>
          </w:p>
        </w:tc>
      </w:tr>
      <w:tr>
        <w:tblPrEx>
          <w:tblCellMar>
            <w:top w:w="70" w:type="dxa"/>
            <w:left w:w="108" w:type="dxa"/>
            <w:bottom w:w="0" w:type="dxa"/>
            <w:right w:w="108" w:type="dxa"/>
          </w:tblCellMar>
        </w:tblPrEx>
        <w:trPr>
          <w:trHeight w:val="620" w:hRule="atLeast"/>
        </w:trPr>
        <w:tc>
          <w:tcPr>
            <w:tcW w:w="1031" w:type="dxa"/>
            <w:vMerge w:val="restart"/>
            <w:tcBorders>
              <w:top w:val="single" w:color="000000" w:sz="8" w:space="0"/>
              <w:left w:val="single" w:color="000000" w:sz="4" w:space="0"/>
              <w:bottom w:val="single" w:color="000000" w:sz="8" w:space="0"/>
              <w:right w:val="single" w:color="000000" w:sz="8" w:space="0"/>
            </w:tcBorders>
            <w:vAlign w:val="center"/>
          </w:tcPr>
          <w:p>
            <w:pPr>
              <w:spacing w:after="0" w:line="259" w:lineRule="auto"/>
              <w:ind w:left="0" w:firstLine="0"/>
            </w:pPr>
            <w:r>
              <w:t>土地</w:t>
            </w:r>
          </w:p>
        </w:tc>
        <w:tc>
          <w:tcPr>
            <w:tcW w:w="1031" w:type="dxa"/>
            <w:vMerge w:val="restart"/>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firstLine="0"/>
              <w:jc w:val="center"/>
            </w:pPr>
            <w:r>
              <w:t>国有土地</w:t>
            </w:r>
          </w:p>
        </w:tc>
        <w:tc>
          <w:tcPr>
            <w:tcW w:w="1038" w:type="dxa"/>
            <w:vMerge w:val="restart"/>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firstLine="0"/>
            </w:pPr>
            <w:r>
              <w:t>无</w:t>
            </w:r>
          </w:p>
        </w:tc>
        <w:tc>
          <w:tcPr>
            <w:tcW w:w="8813" w:type="dxa"/>
            <w:gridSpan w:val="2"/>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3" w:firstLine="0"/>
              <w:jc w:val="center"/>
            </w:pPr>
            <w:r>
              <w:t>土地使用权出让</w:t>
            </w:r>
          </w:p>
        </w:tc>
        <w:tc>
          <w:tcPr>
            <w:tcW w:w="2260" w:type="dxa"/>
            <w:tcBorders>
              <w:top w:val="single" w:color="000000" w:sz="8" w:space="0"/>
              <w:left w:val="single" w:color="000000" w:sz="8" w:space="0"/>
              <w:bottom w:val="single" w:color="000000" w:sz="8" w:space="0"/>
              <w:right w:val="single" w:color="000000" w:sz="8" w:space="0"/>
            </w:tcBorders>
          </w:tcPr>
          <w:p>
            <w:pPr>
              <w:spacing w:after="6" w:line="259" w:lineRule="auto"/>
              <w:ind w:left="1" w:firstLine="0"/>
            </w:pPr>
            <w:r>
              <w:t>1.住宅用地</w:t>
            </w:r>
          </w:p>
          <w:p>
            <w:pPr>
              <w:spacing w:after="0" w:line="259" w:lineRule="auto"/>
              <w:ind w:left="1" w:firstLine="0"/>
            </w:pPr>
            <w:r>
              <w:t>2.非住宅用地</w:t>
            </w:r>
          </w:p>
        </w:tc>
      </w:tr>
      <w:tr>
        <w:tblPrEx>
          <w:tblCellMar>
            <w:top w:w="70" w:type="dxa"/>
            <w:left w:w="108" w:type="dxa"/>
            <w:bottom w:w="0" w:type="dxa"/>
            <w:right w:w="108" w:type="dxa"/>
          </w:tblCellMar>
        </w:tblPrEx>
        <w:trPr>
          <w:trHeight w:val="620" w:hRule="atLeast"/>
        </w:trPr>
        <w:tc>
          <w:tcPr>
            <w:tcW w:w="0" w:type="auto"/>
            <w:vMerge w:val="continue"/>
            <w:tcBorders>
              <w:top w:val="nil"/>
              <w:left w:val="single" w:color="000000" w:sz="4" w:space="0"/>
              <w:bottom w:val="nil"/>
              <w:right w:val="single" w:color="000000" w:sz="8" w:space="0"/>
            </w:tcBorders>
          </w:tcPr>
          <w:p>
            <w:pPr>
              <w:spacing w:after="160" w:line="259" w:lineRule="auto"/>
              <w:ind w:left="0" w:firstLine="0"/>
            </w:pPr>
          </w:p>
        </w:tc>
        <w:tc>
          <w:tcPr>
            <w:tcW w:w="0" w:type="auto"/>
            <w:vMerge w:val="continue"/>
            <w:tcBorders>
              <w:top w:val="nil"/>
              <w:left w:val="single" w:color="000000" w:sz="8" w:space="0"/>
              <w:bottom w:val="nil"/>
              <w:right w:val="single" w:color="000000" w:sz="8" w:space="0"/>
            </w:tcBorders>
          </w:tcPr>
          <w:p>
            <w:pPr>
              <w:spacing w:after="160" w:line="259" w:lineRule="auto"/>
              <w:ind w:left="0" w:firstLine="0"/>
            </w:pPr>
          </w:p>
        </w:tc>
        <w:tc>
          <w:tcPr>
            <w:tcW w:w="0" w:type="auto"/>
            <w:vMerge w:val="continue"/>
            <w:tcBorders>
              <w:top w:val="nil"/>
              <w:left w:val="single" w:color="000000" w:sz="8" w:space="0"/>
              <w:bottom w:val="nil"/>
              <w:right w:val="single" w:color="000000" w:sz="8" w:space="0"/>
            </w:tcBorders>
          </w:tcPr>
          <w:p>
            <w:pPr>
              <w:spacing w:after="160" w:line="259" w:lineRule="auto"/>
              <w:ind w:left="0" w:firstLine="0"/>
            </w:pPr>
          </w:p>
        </w:tc>
        <w:tc>
          <w:tcPr>
            <w:tcW w:w="1894" w:type="dxa"/>
            <w:vMerge w:val="restart"/>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104" w:firstLine="0"/>
            </w:pPr>
            <w:r>
              <w:t>土地使用权转让</w:t>
            </w:r>
          </w:p>
        </w:tc>
        <w:tc>
          <w:tcPr>
            <w:tcW w:w="6919" w:type="dxa"/>
            <w:tcBorders>
              <w:top w:val="single" w:color="000000" w:sz="8" w:space="0"/>
              <w:left w:val="single" w:color="000000" w:sz="8" w:space="0"/>
              <w:bottom w:val="single" w:color="000000" w:sz="8" w:space="0"/>
              <w:right w:val="single" w:color="000000" w:sz="8" w:space="0"/>
            </w:tcBorders>
          </w:tcPr>
          <w:p>
            <w:pPr>
              <w:spacing w:after="0" w:line="259" w:lineRule="auto"/>
              <w:ind w:left="1" w:firstLine="420"/>
            </w:pPr>
            <w:r>
              <w:t>土地使用权出售(包括作价投资入股、偿还债务等应交付经济利益的方式)</w:t>
            </w:r>
          </w:p>
        </w:tc>
        <w:tc>
          <w:tcPr>
            <w:tcW w:w="2260" w:type="dxa"/>
            <w:tcBorders>
              <w:top w:val="single" w:color="000000" w:sz="8" w:space="0"/>
              <w:left w:val="single" w:color="000000" w:sz="8" w:space="0"/>
              <w:bottom w:val="single" w:color="000000" w:sz="8" w:space="0"/>
              <w:right w:val="single" w:color="000000" w:sz="8" w:space="0"/>
            </w:tcBorders>
          </w:tcPr>
          <w:p>
            <w:pPr>
              <w:spacing w:after="6" w:line="259" w:lineRule="auto"/>
              <w:ind w:left="1" w:firstLine="0"/>
            </w:pPr>
            <w:r>
              <w:t>1.住宅用地</w:t>
            </w:r>
          </w:p>
          <w:p>
            <w:pPr>
              <w:spacing w:after="0" w:line="259" w:lineRule="auto"/>
              <w:ind w:left="1" w:firstLine="0"/>
            </w:pPr>
            <w:r>
              <w:t>2.非住宅用地</w:t>
            </w:r>
          </w:p>
        </w:tc>
      </w:tr>
      <w:tr>
        <w:tblPrEx>
          <w:tblCellMar>
            <w:top w:w="70" w:type="dxa"/>
            <w:left w:w="108" w:type="dxa"/>
            <w:bottom w:w="0" w:type="dxa"/>
            <w:right w:w="108" w:type="dxa"/>
          </w:tblCellMar>
        </w:tblPrEx>
        <w:trPr>
          <w:trHeight w:val="620" w:hRule="atLeast"/>
        </w:trPr>
        <w:tc>
          <w:tcPr>
            <w:tcW w:w="0" w:type="auto"/>
            <w:vMerge w:val="continue"/>
            <w:tcBorders>
              <w:top w:val="nil"/>
              <w:left w:val="single" w:color="000000" w:sz="4" w:space="0"/>
              <w:bottom w:val="nil"/>
              <w:right w:val="single" w:color="000000" w:sz="8" w:space="0"/>
            </w:tcBorders>
          </w:tcPr>
          <w:p>
            <w:pPr>
              <w:spacing w:after="160" w:line="259" w:lineRule="auto"/>
              <w:ind w:left="0" w:firstLine="0"/>
            </w:pPr>
          </w:p>
        </w:tc>
        <w:tc>
          <w:tcPr>
            <w:tcW w:w="0" w:type="auto"/>
            <w:vMerge w:val="continue"/>
            <w:tcBorders>
              <w:top w:val="nil"/>
              <w:left w:val="single" w:color="000000" w:sz="8" w:space="0"/>
              <w:bottom w:val="nil"/>
              <w:right w:val="single" w:color="000000" w:sz="8" w:space="0"/>
            </w:tcBorders>
          </w:tcPr>
          <w:p>
            <w:pPr>
              <w:spacing w:after="160" w:line="259" w:lineRule="auto"/>
              <w:ind w:left="0" w:firstLine="0"/>
            </w:pPr>
          </w:p>
        </w:tc>
        <w:tc>
          <w:tcPr>
            <w:tcW w:w="0" w:type="auto"/>
            <w:vMerge w:val="continue"/>
            <w:tcBorders>
              <w:top w:val="nil"/>
              <w:left w:val="single" w:color="000000" w:sz="8" w:space="0"/>
              <w:bottom w:val="nil"/>
              <w:right w:val="single" w:color="000000" w:sz="8" w:space="0"/>
            </w:tcBorders>
          </w:tcPr>
          <w:p>
            <w:pPr>
              <w:spacing w:after="160" w:line="259" w:lineRule="auto"/>
              <w:ind w:left="0" w:firstLine="0"/>
            </w:pPr>
          </w:p>
        </w:tc>
        <w:tc>
          <w:tcPr>
            <w:tcW w:w="0" w:type="auto"/>
            <w:vMerge w:val="continue"/>
            <w:tcBorders>
              <w:top w:val="nil"/>
              <w:left w:val="single" w:color="000000" w:sz="8" w:space="0"/>
              <w:bottom w:val="nil"/>
              <w:right w:val="single" w:color="000000" w:sz="8" w:space="0"/>
            </w:tcBorders>
          </w:tcPr>
          <w:p>
            <w:pPr>
              <w:spacing w:after="160" w:line="259" w:lineRule="auto"/>
              <w:ind w:left="0" w:firstLine="0"/>
            </w:pPr>
          </w:p>
        </w:tc>
        <w:tc>
          <w:tcPr>
            <w:tcW w:w="6919"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421" w:firstLine="0"/>
            </w:pPr>
            <w:r>
              <w:t>土地使用权赠与(包括以划转、奖励、继承等没有价格的方式)</w:t>
            </w:r>
          </w:p>
        </w:tc>
        <w:tc>
          <w:tcPr>
            <w:tcW w:w="2260" w:type="dxa"/>
            <w:tcBorders>
              <w:top w:val="single" w:color="000000" w:sz="8" w:space="0"/>
              <w:left w:val="single" w:color="000000" w:sz="8" w:space="0"/>
              <w:bottom w:val="single" w:color="000000" w:sz="8" w:space="0"/>
              <w:right w:val="single" w:color="000000" w:sz="8" w:space="0"/>
            </w:tcBorders>
          </w:tcPr>
          <w:p>
            <w:pPr>
              <w:spacing w:after="6" w:line="259" w:lineRule="auto"/>
              <w:ind w:left="1" w:firstLine="0"/>
            </w:pPr>
            <w:r>
              <w:t>1.住宅用地</w:t>
            </w:r>
          </w:p>
          <w:p>
            <w:pPr>
              <w:spacing w:after="0" w:line="259" w:lineRule="auto"/>
              <w:ind w:left="1" w:firstLine="0"/>
            </w:pPr>
            <w:r>
              <w:t>2.非住宅用地</w:t>
            </w:r>
          </w:p>
        </w:tc>
      </w:tr>
      <w:tr>
        <w:tblPrEx>
          <w:tblCellMar>
            <w:top w:w="70" w:type="dxa"/>
            <w:left w:w="108" w:type="dxa"/>
            <w:bottom w:w="0" w:type="dxa"/>
            <w:right w:w="108" w:type="dxa"/>
          </w:tblCellMar>
        </w:tblPrEx>
        <w:trPr>
          <w:trHeight w:val="620" w:hRule="atLeast"/>
        </w:trPr>
        <w:tc>
          <w:tcPr>
            <w:tcW w:w="0" w:type="auto"/>
            <w:vMerge w:val="continue"/>
            <w:tcBorders>
              <w:top w:val="nil"/>
              <w:left w:val="single" w:color="000000" w:sz="4" w:space="0"/>
              <w:bottom w:val="nil"/>
              <w:right w:val="single" w:color="000000" w:sz="8" w:space="0"/>
            </w:tcBorders>
          </w:tcPr>
          <w:p>
            <w:pPr>
              <w:spacing w:after="160" w:line="259" w:lineRule="auto"/>
              <w:ind w:left="0" w:firstLine="0"/>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firstLine="0"/>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firstLine="0"/>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firstLine="0"/>
            </w:pPr>
          </w:p>
        </w:tc>
        <w:tc>
          <w:tcPr>
            <w:tcW w:w="6919"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421" w:firstLine="0"/>
            </w:pPr>
            <w:r>
              <w:t>土地使用权互换</w:t>
            </w:r>
          </w:p>
        </w:tc>
        <w:tc>
          <w:tcPr>
            <w:tcW w:w="2260" w:type="dxa"/>
            <w:tcBorders>
              <w:top w:val="single" w:color="000000" w:sz="8" w:space="0"/>
              <w:left w:val="single" w:color="000000" w:sz="8" w:space="0"/>
              <w:bottom w:val="single" w:color="000000" w:sz="8" w:space="0"/>
              <w:right w:val="single" w:color="000000" w:sz="8" w:space="0"/>
            </w:tcBorders>
          </w:tcPr>
          <w:p>
            <w:pPr>
              <w:spacing w:after="6" w:line="259" w:lineRule="auto"/>
              <w:ind w:left="1" w:firstLine="0"/>
            </w:pPr>
            <w:r>
              <w:t>1.住宅用地</w:t>
            </w:r>
          </w:p>
          <w:p>
            <w:pPr>
              <w:spacing w:after="0" w:line="259" w:lineRule="auto"/>
              <w:ind w:left="1" w:firstLine="0"/>
            </w:pPr>
            <w:r>
              <w:t>2.非住宅用地</w:t>
            </w:r>
          </w:p>
        </w:tc>
      </w:tr>
      <w:tr>
        <w:tblPrEx>
          <w:tblCellMar>
            <w:top w:w="70" w:type="dxa"/>
            <w:left w:w="108" w:type="dxa"/>
            <w:bottom w:w="0" w:type="dxa"/>
            <w:right w:w="108" w:type="dxa"/>
          </w:tblCellMar>
        </w:tblPrEx>
        <w:trPr>
          <w:trHeight w:val="620" w:hRule="atLeast"/>
        </w:trPr>
        <w:tc>
          <w:tcPr>
            <w:tcW w:w="0" w:type="auto"/>
            <w:vMerge w:val="continue"/>
            <w:tcBorders>
              <w:top w:val="nil"/>
              <w:left w:val="single" w:color="000000" w:sz="4" w:space="0"/>
              <w:bottom w:val="nil"/>
              <w:right w:val="single" w:color="000000" w:sz="8" w:space="0"/>
            </w:tcBorders>
          </w:tcPr>
          <w:p>
            <w:pPr>
              <w:spacing w:after="160" w:line="259" w:lineRule="auto"/>
              <w:ind w:left="0" w:firstLine="0"/>
            </w:pPr>
          </w:p>
        </w:tc>
        <w:tc>
          <w:tcPr>
            <w:tcW w:w="1031" w:type="dxa"/>
            <w:vMerge w:val="restart"/>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firstLine="0"/>
              <w:jc w:val="center"/>
            </w:pPr>
            <w:r>
              <w:t>集体土地</w:t>
            </w:r>
          </w:p>
        </w:tc>
        <w:tc>
          <w:tcPr>
            <w:tcW w:w="1038" w:type="dxa"/>
            <w:vMerge w:val="restart"/>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firstLine="0"/>
            </w:pPr>
            <w:r>
              <w:t>无</w:t>
            </w:r>
          </w:p>
        </w:tc>
        <w:tc>
          <w:tcPr>
            <w:tcW w:w="8813" w:type="dxa"/>
            <w:gridSpan w:val="2"/>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3" w:firstLine="0"/>
              <w:jc w:val="center"/>
            </w:pPr>
            <w:r>
              <w:t>土地使用权出让</w:t>
            </w:r>
          </w:p>
        </w:tc>
        <w:tc>
          <w:tcPr>
            <w:tcW w:w="2260" w:type="dxa"/>
            <w:tcBorders>
              <w:top w:val="single" w:color="000000" w:sz="8" w:space="0"/>
              <w:left w:val="single" w:color="000000" w:sz="8" w:space="0"/>
              <w:bottom w:val="single" w:color="000000" w:sz="8" w:space="0"/>
              <w:right w:val="single" w:color="000000" w:sz="8" w:space="0"/>
            </w:tcBorders>
          </w:tcPr>
          <w:p>
            <w:pPr>
              <w:spacing w:after="6" w:line="259" w:lineRule="auto"/>
              <w:ind w:left="1" w:firstLine="0"/>
            </w:pPr>
            <w:r>
              <w:t>1.住宅用地</w:t>
            </w:r>
          </w:p>
          <w:p>
            <w:pPr>
              <w:spacing w:after="0" w:line="259" w:lineRule="auto"/>
              <w:ind w:left="1" w:firstLine="0"/>
            </w:pPr>
            <w:r>
              <w:t>2.非住宅用地</w:t>
            </w:r>
          </w:p>
        </w:tc>
      </w:tr>
      <w:tr>
        <w:tblPrEx>
          <w:tblCellMar>
            <w:top w:w="70" w:type="dxa"/>
            <w:left w:w="108" w:type="dxa"/>
            <w:bottom w:w="0" w:type="dxa"/>
            <w:right w:w="108" w:type="dxa"/>
          </w:tblCellMar>
        </w:tblPrEx>
        <w:trPr>
          <w:trHeight w:val="620" w:hRule="atLeast"/>
        </w:trPr>
        <w:tc>
          <w:tcPr>
            <w:tcW w:w="0" w:type="auto"/>
            <w:vMerge w:val="continue"/>
            <w:tcBorders>
              <w:top w:val="nil"/>
              <w:left w:val="single" w:color="000000" w:sz="4" w:space="0"/>
              <w:bottom w:val="nil"/>
              <w:right w:val="single" w:color="000000" w:sz="8" w:space="0"/>
            </w:tcBorders>
          </w:tcPr>
          <w:p>
            <w:pPr>
              <w:spacing w:after="160" w:line="259" w:lineRule="auto"/>
              <w:ind w:left="0" w:firstLine="0"/>
            </w:pPr>
          </w:p>
        </w:tc>
        <w:tc>
          <w:tcPr>
            <w:tcW w:w="0" w:type="auto"/>
            <w:vMerge w:val="continue"/>
            <w:tcBorders>
              <w:top w:val="nil"/>
              <w:left w:val="single" w:color="000000" w:sz="8" w:space="0"/>
              <w:bottom w:val="nil"/>
              <w:right w:val="single" w:color="000000" w:sz="8" w:space="0"/>
            </w:tcBorders>
          </w:tcPr>
          <w:p>
            <w:pPr>
              <w:spacing w:after="160" w:line="259" w:lineRule="auto"/>
              <w:ind w:left="0" w:firstLine="0"/>
            </w:pPr>
          </w:p>
        </w:tc>
        <w:tc>
          <w:tcPr>
            <w:tcW w:w="0" w:type="auto"/>
            <w:vMerge w:val="continue"/>
            <w:tcBorders>
              <w:top w:val="nil"/>
              <w:left w:val="single" w:color="000000" w:sz="8" w:space="0"/>
              <w:bottom w:val="nil"/>
              <w:right w:val="single" w:color="000000" w:sz="8" w:space="0"/>
            </w:tcBorders>
          </w:tcPr>
          <w:p>
            <w:pPr>
              <w:spacing w:after="160" w:line="259" w:lineRule="auto"/>
              <w:ind w:left="0" w:firstLine="0"/>
            </w:pPr>
          </w:p>
        </w:tc>
        <w:tc>
          <w:tcPr>
            <w:tcW w:w="1894" w:type="dxa"/>
            <w:vMerge w:val="restart"/>
            <w:tcBorders>
              <w:top w:val="single" w:color="000000" w:sz="8" w:space="0"/>
              <w:left w:val="single" w:color="000000" w:sz="8" w:space="0"/>
              <w:bottom w:val="single" w:color="000000" w:sz="8" w:space="0"/>
              <w:right w:val="single" w:color="000000" w:sz="4" w:space="0"/>
            </w:tcBorders>
            <w:vAlign w:val="center"/>
          </w:tcPr>
          <w:p>
            <w:pPr>
              <w:spacing w:after="0" w:line="259" w:lineRule="auto"/>
              <w:ind w:left="104" w:firstLine="0"/>
            </w:pPr>
            <w:r>
              <w:t>土地使用权转让</w:t>
            </w:r>
          </w:p>
        </w:tc>
        <w:tc>
          <w:tcPr>
            <w:tcW w:w="6919" w:type="dxa"/>
            <w:tcBorders>
              <w:top w:val="single" w:color="000000" w:sz="8" w:space="0"/>
              <w:left w:val="single" w:color="000000" w:sz="4" w:space="0"/>
              <w:bottom w:val="single" w:color="000000" w:sz="8" w:space="0"/>
              <w:right w:val="single" w:color="000000" w:sz="8" w:space="0"/>
            </w:tcBorders>
          </w:tcPr>
          <w:p>
            <w:pPr>
              <w:spacing w:after="0" w:line="259" w:lineRule="auto"/>
              <w:ind w:left="1" w:firstLine="420"/>
            </w:pPr>
            <w:r>
              <w:t>土地使用权出售(包括作价投资入股、偿还债务等应交付经济利益的方式)</w:t>
            </w:r>
          </w:p>
        </w:tc>
        <w:tc>
          <w:tcPr>
            <w:tcW w:w="2260" w:type="dxa"/>
            <w:tcBorders>
              <w:top w:val="single" w:color="000000" w:sz="8" w:space="0"/>
              <w:left w:val="single" w:color="000000" w:sz="8" w:space="0"/>
              <w:bottom w:val="single" w:color="000000" w:sz="8" w:space="0"/>
              <w:right w:val="single" w:color="000000" w:sz="8" w:space="0"/>
            </w:tcBorders>
          </w:tcPr>
          <w:p>
            <w:pPr>
              <w:spacing w:after="6" w:line="259" w:lineRule="auto"/>
              <w:ind w:left="1" w:firstLine="0"/>
            </w:pPr>
            <w:r>
              <w:t>1.住宅用地</w:t>
            </w:r>
          </w:p>
          <w:p>
            <w:pPr>
              <w:spacing w:after="0" w:line="259" w:lineRule="auto"/>
              <w:ind w:left="1" w:firstLine="0"/>
            </w:pPr>
            <w:r>
              <w:t>2.非住宅用地</w:t>
            </w:r>
          </w:p>
        </w:tc>
      </w:tr>
      <w:tr>
        <w:tblPrEx>
          <w:tblCellMar>
            <w:top w:w="70" w:type="dxa"/>
            <w:left w:w="108" w:type="dxa"/>
            <w:bottom w:w="0" w:type="dxa"/>
            <w:right w:w="108" w:type="dxa"/>
          </w:tblCellMar>
        </w:tblPrEx>
        <w:trPr>
          <w:trHeight w:val="620" w:hRule="atLeast"/>
        </w:trPr>
        <w:tc>
          <w:tcPr>
            <w:tcW w:w="0" w:type="auto"/>
            <w:vMerge w:val="continue"/>
            <w:tcBorders>
              <w:top w:val="nil"/>
              <w:left w:val="single" w:color="000000" w:sz="4" w:space="0"/>
              <w:bottom w:val="nil"/>
              <w:right w:val="single" w:color="000000" w:sz="8" w:space="0"/>
            </w:tcBorders>
          </w:tcPr>
          <w:p>
            <w:pPr>
              <w:spacing w:after="160" w:line="259" w:lineRule="auto"/>
              <w:ind w:left="0" w:firstLine="0"/>
            </w:pPr>
          </w:p>
        </w:tc>
        <w:tc>
          <w:tcPr>
            <w:tcW w:w="0" w:type="auto"/>
            <w:vMerge w:val="continue"/>
            <w:tcBorders>
              <w:top w:val="nil"/>
              <w:left w:val="single" w:color="000000" w:sz="8" w:space="0"/>
              <w:bottom w:val="nil"/>
              <w:right w:val="single" w:color="000000" w:sz="8" w:space="0"/>
            </w:tcBorders>
          </w:tcPr>
          <w:p>
            <w:pPr>
              <w:spacing w:after="160" w:line="259" w:lineRule="auto"/>
              <w:ind w:left="0" w:firstLine="0"/>
            </w:pPr>
          </w:p>
        </w:tc>
        <w:tc>
          <w:tcPr>
            <w:tcW w:w="0" w:type="auto"/>
            <w:vMerge w:val="continue"/>
            <w:tcBorders>
              <w:top w:val="nil"/>
              <w:left w:val="single" w:color="000000" w:sz="8" w:space="0"/>
              <w:bottom w:val="nil"/>
              <w:right w:val="single" w:color="000000" w:sz="8" w:space="0"/>
            </w:tcBorders>
          </w:tcPr>
          <w:p>
            <w:pPr>
              <w:spacing w:after="160" w:line="259" w:lineRule="auto"/>
              <w:ind w:left="0" w:firstLine="0"/>
            </w:pPr>
          </w:p>
        </w:tc>
        <w:tc>
          <w:tcPr>
            <w:tcW w:w="0" w:type="auto"/>
            <w:vMerge w:val="continue"/>
            <w:tcBorders>
              <w:top w:val="nil"/>
              <w:left w:val="single" w:color="000000" w:sz="8" w:space="0"/>
              <w:bottom w:val="nil"/>
              <w:right w:val="single" w:color="000000" w:sz="4" w:space="0"/>
            </w:tcBorders>
          </w:tcPr>
          <w:p>
            <w:pPr>
              <w:spacing w:after="160" w:line="259" w:lineRule="auto"/>
              <w:ind w:left="0" w:firstLine="0"/>
            </w:pPr>
          </w:p>
        </w:tc>
        <w:tc>
          <w:tcPr>
            <w:tcW w:w="6919" w:type="dxa"/>
            <w:tcBorders>
              <w:top w:val="single" w:color="000000" w:sz="8" w:space="0"/>
              <w:left w:val="single" w:color="000000" w:sz="4" w:space="0"/>
              <w:bottom w:val="single" w:color="000000" w:sz="8" w:space="0"/>
              <w:right w:val="single" w:color="000000" w:sz="8" w:space="0"/>
            </w:tcBorders>
            <w:vAlign w:val="center"/>
          </w:tcPr>
          <w:p>
            <w:pPr>
              <w:spacing w:after="0" w:line="259" w:lineRule="auto"/>
              <w:ind w:left="421" w:firstLine="0"/>
            </w:pPr>
            <w:r>
              <w:t>土地使用权赠与(包括以划转、奖励、继承等没有价格的方式)</w:t>
            </w:r>
          </w:p>
        </w:tc>
        <w:tc>
          <w:tcPr>
            <w:tcW w:w="2260" w:type="dxa"/>
            <w:tcBorders>
              <w:top w:val="single" w:color="000000" w:sz="8" w:space="0"/>
              <w:left w:val="single" w:color="000000" w:sz="8" w:space="0"/>
              <w:bottom w:val="single" w:color="000000" w:sz="8" w:space="0"/>
              <w:right w:val="single" w:color="000000" w:sz="8" w:space="0"/>
            </w:tcBorders>
          </w:tcPr>
          <w:p>
            <w:pPr>
              <w:spacing w:after="6" w:line="259" w:lineRule="auto"/>
              <w:ind w:left="1" w:firstLine="0"/>
            </w:pPr>
            <w:r>
              <w:t>1.住宅用地</w:t>
            </w:r>
          </w:p>
          <w:p>
            <w:pPr>
              <w:spacing w:after="0" w:line="259" w:lineRule="auto"/>
              <w:ind w:left="1" w:firstLine="0"/>
            </w:pPr>
            <w:r>
              <w:t>2.非住宅用地</w:t>
            </w:r>
          </w:p>
        </w:tc>
      </w:tr>
      <w:tr>
        <w:tblPrEx>
          <w:tblCellMar>
            <w:top w:w="70" w:type="dxa"/>
            <w:left w:w="108" w:type="dxa"/>
            <w:bottom w:w="0" w:type="dxa"/>
            <w:right w:w="108" w:type="dxa"/>
          </w:tblCellMar>
        </w:tblPrEx>
        <w:trPr>
          <w:trHeight w:val="620" w:hRule="atLeast"/>
        </w:trPr>
        <w:tc>
          <w:tcPr>
            <w:tcW w:w="0" w:type="auto"/>
            <w:vMerge w:val="continue"/>
            <w:tcBorders>
              <w:top w:val="nil"/>
              <w:left w:val="single" w:color="000000" w:sz="4" w:space="0"/>
              <w:bottom w:val="single" w:color="000000" w:sz="8" w:space="0"/>
              <w:right w:val="single" w:color="000000" w:sz="8" w:space="0"/>
            </w:tcBorders>
          </w:tcPr>
          <w:p>
            <w:pPr>
              <w:spacing w:after="160" w:line="259" w:lineRule="auto"/>
              <w:ind w:left="0" w:firstLine="0"/>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firstLine="0"/>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firstLine="0"/>
            </w:pPr>
          </w:p>
        </w:tc>
        <w:tc>
          <w:tcPr>
            <w:tcW w:w="0" w:type="auto"/>
            <w:vMerge w:val="continue"/>
            <w:tcBorders>
              <w:top w:val="nil"/>
              <w:left w:val="single" w:color="000000" w:sz="8" w:space="0"/>
              <w:bottom w:val="single" w:color="000000" w:sz="8" w:space="0"/>
              <w:right w:val="single" w:color="000000" w:sz="4" w:space="0"/>
            </w:tcBorders>
          </w:tcPr>
          <w:p>
            <w:pPr>
              <w:spacing w:after="160" w:line="259" w:lineRule="auto"/>
              <w:ind w:left="0" w:firstLine="0"/>
            </w:pPr>
          </w:p>
        </w:tc>
        <w:tc>
          <w:tcPr>
            <w:tcW w:w="6919" w:type="dxa"/>
            <w:tcBorders>
              <w:top w:val="single" w:color="000000" w:sz="8" w:space="0"/>
              <w:left w:val="single" w:color="000000" w:sz="4" w:space="0"/>
              <w:bottom w:val="single" w:color="000000" w:sz="8" w:space="0"/>
              <w:right w:val="single" w:color="000000" w:sz="8" w:space="0"/>
            </w:tcBorders>
            <w:vAlign w:val="center"/>
          </w:tcPr>
          <w:p>
            <w:pPr>
              <w:spacing w:after="0" w:line="259" w:lineRule="auto"/>
              <w:ind w:left="421" w:firstLine="0"/>
            </w:pPr>
            <w:r>
              <w:t>土地使用权互换</w:t>
            </w:r>
          </w:p>
        </w:tc>
        <w:tc>
          <w:tcPr>
            <w:tcW w:w="2260" w:type="dxa"/>
            <w:tcBorders>
              <w:top w:val="single" w:color="000000" w:sz="8" w:space="0"/>
              <w:left w:val="single" w:color="000000" w:sz="8" w:space="0"/>
              <w:bottom w:val="single" w:color="000000" w:sz="8" w:space="0"/>
              <w:right w:val="single" w:color="000000" w:sz="8" w:space="0"/>
            </w:tcBorders>
          </w:tcPr>
          <w:p>
            <w:pPr>
              <w:spacing w:after="6" w:line="259" w:lineRule="auto"/>
              <w:ind w:left="1" w:firstLine="0"/>
            </w:pPr>
            <w:r>
              <w:t>1.住宅用地</w:t>
            </w:r>
          </w:p>
          <w:p>
            <w:pPr>
              <w:spacing w:after="0" w:line="259" w:lineRule="auto"/>
              <w:ind w:left="1" w:firstLine="0"/>
            </w:pPr>
            <w:r>
              <w:t>2.非住宅用地</w:t>
            </w:r>
          </w:p>
        </w:tc>
      </w:tr>
      <w:tr>
        <w:tblPrEx>
          <w:tblCellMar>
            <w:top w:w="70" w:type="dxa"/>
            <w:left w:w="108" w:type="dxa"/>
            <w:bottom w:w="0" w:type="dxa"/>
            <w:right w:w="108" w:type="dxa"/>
          </w:tblCellMar>
        </w:tblPrEx>
        <w:trPr>
          <w:trHeight w:val="920" w:hRule="atLeast"/>
        </w:trPr>
        <w:tc>
          <w:tcPr>
            <w:tcW w:w="1031" w:type="dxa"/>
            <w:vMerge w:val="restart"/>
            <w:tcBorders>
              <w:top w:val="single" w:color="000000" w:sz="8" w:space="0"/>
              <w:left w:val="single" w:color="000000" w:sz="4" w:space="0"/>
              <w:bottom w:val="single" w:color="000000" w:sz="8" w:space="0"/>
              <w:right w:val="single" w:color="000000" w:sz="8" w:space="0"/>
            </w:tcBorders>
            <w:vAlign w:val="center"/>
          </w:tcPr>
          <w:p>
            <w:pPr>
              <w:spacing w:after="0" w:line="259" w:lineRule="auto"/>
              <w:ind w:left="0" w:firstLine="0"/>
            </w:pPr>
            <w:r>
              <w:t>房屋</w:t>
            </w:r>
          </w:p>
        </w:tc>
        <w:tc>
          <w:tcPr>
            <w:tcW w:w="1031" w:type="dxa"/>
            <w:vMerge w:val="restart"/>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93" w:firstLine="0"/>
            </w:pPr>
            <w:r>
              <w:t>增量房</w:t>
            </w:r>
          </w:p>
        </w:tc>
        <w:tc>
          <w:tcPr>
            <w:tcW w:w="1038"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firstLine="0"/>
            </w:pPr>
            <w:r>
              <w:t>住房</w:t>
            </w:r>
          </w:p>
        </w:tc>
        <w:tc>
          <w:tcPr>
            <w:tcW w:w="8813" w:type="dxa"/>
            <w:gridSpan w:val="2"/>
            <w:tcBorders>
              <w:top w:val="single" w:color="000000" w:sz="8" w:space="0"/>
              <w:left w:val="single" w:color="000000" w:sz="8" w:space="0"/>
              <w:bottom w:val="single" w:color="000000" w:sz="8" w:space="0"/>
              <w:right w:val="single" w:color="000000" w:sz="8" w:space="0"/>
            </w:tcBorders>
          </w:tcPr>
          <w:p>
            <w:pPr>
              <w:spacing w:after="6" w:line="259" w:lineRule="auto"/>
              <w:ind w:left="1" w:firstLine="0"/>
            </w:pPr>
            <w:r>
              <w:t>1.房屋买卖(包括作价投资入股、偿还债务等应交付经济利益的方式)</w:t>
            </w:r>
          </w:p>
          <w:p>
            <w:pPr>
              <w:spacing w:after="6" w:line="259" w:lineRule="auto"/>
              <w:ind w:left="1" w:firstLine="0"/>
            </w:pPr>
            <w:r>
              <w:t>2.房屋赠与(包括以划转、奖励、继承等没有价格的方式)</w:t>
            </w:r>
          </w:p>
          <w:p>
            <w:pPr>
              <w:spacing w:after="0" w:line="259" w:lineRule="auto"/>
              <w:ind w:left="1" w:firstLine="0"/>
            </w:pPr>
            <w:r>
              <w:t>3.房屋互换</w:t>
            </w:r>
          </w:p>
        </w:tc>
        <w:tc>
          <w:tcPr>
            <w:tcW w:w="2260"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1" w:firstLine="0"/>
            </w:pPr>
            <w:r>
              <w:t>居住用房</w:t>
            </w:r>
          </w:p>
        </w:tc>
      </w:tr>
      <w:tr>
        <w:tblPrEx>
          <w:tblCellMar>
            <w:top w:w="70" w:type="dxa"/>
            <w:left w:w="108" w:type="dxa"/>
            <w:bottom w:w="0" w:type="dxa"/>
            <w:right w:w="108" w:type="dxa"/>
          </w:tblCellMar>
        </w:tblPrEx>
        <w:trPr>
          <w:trHeight w:val="420" w:hRule="atLeast"/>
        </w:trPr>
        <w:tc>
          <w:tcPr>
            <w:tcW w:w="0" w:type="auto"/>
            <w:vMerge w:val="continue"/>
            <w:tcBorders>
              <w:top w:val="nil"/>
              <w:left w:val="single" w:color="000000" w:sz="4" w:space="0"/>
              <w:bottom w:val="single" w:color="000000" w:sz="8" w:space="0"/>
              <w:right w:val="single" w:color="000000" w:sz="8" w:space="0"/>
            </w:tcBorders>
          </w:tcPr>
          <w:p>
            <w:pPr>
              <w:spacing w:after="160" w:line="259" w:lineRule="auto"/>
              <w:ind w:left="0" w:firstLine="0"/>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firstLine="0"/>
            </w:pPr>
          </w:p>
        </w:tc>
        <w:tc>
          <w:tcPr>
            <w:tcW w:w="1038"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pPr>
            <w:r>
              <w:t>非住房</w:t>
            </w:r>
          </w:p>
        </w:tc>
        <w:tc>
          <w:tcPr>
            <w:tcW w:w="8813"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1" w:firstLine="0"/>
            </w:pPr>
            <w:r>
              <w:t>1.房屋买卖(包括作价投资入股、偿还债务等应交付经济利益的方式)</w:t>
            </w:r>
          </w:p>
        </w:tc>
        <w:tc>
          <w:tcPr>
            <w:tcW w:w="2260" w:type="dxa"/>
            <w:tcBorders>
              <w:top w:val="single" w:color="000000" w:sz="8" w:space="0"/>
              <w:left w:val="single" w:color="000000" w:sz="8" w:space="0"/>
              <w:bottom w:val="single" w:color="000000" w:sz="8" w:space="0"/>
              <w:right w:val="single" w:color="000000" w:sz="8" w:space="0"/>
            </w:tcBorders>
          </w:tcPr>
          <w:p>
            <w:pPr>
              <w:spacing w:after="0" w:line="259" w:lineRule="auto"/>
              <w:ind w:left="1" w:firstLine="0"/>
            </w:pPr>
            <w:r>
              <w:t>非居住用房</w:t>
            </w:r>
          </w:p>
        </w:tc>
      </w:tr>
      <w:tr>
        <w:tblPrEx>
          <w:tblCellMar>
            <w:top w:w="70" w:type="dxa"/>
            <w:left w:w="108" w:type="dxa"/>
            <w:bottom w:w="0" w:type="dxa"/>
            <w:right w:w="108" w:type="dxa"/>
          </w:tblCellMar>
        </w:tblPrEx>
        <w:trPr>
          <w:trHeight w:val="625" w:hRule="atLeast"/>
        </w:trPr>
        <w:tc>
          <w:tcPr>
            <w:tcW w:w="1031" w:type="dxa"/>
            <w:vMerge w:val="restart"/>
            <w:tcBorders>
              <w:top w:val="single" w:color="000000" w:sz="4" w:space="0"/>
              <w:left w:val="single" w:color="000000" w:sz="4" w:space="0"/>
              <w:bottom w:val="single" w:color="000000" w:sz="8" w:space="0"/>
              <w:right w:val="single" w:color="000000" w:sz="8" w:space="0"/>
            </w:tcBorders>
          </w:tcPr>
          <w:p>
            <w:pPr>
              <w:spacing w:after="160" w:line="259" w:lineRule="auto"/>
              <w:ind w:left="0" w:firstLine="0"/>
            </w:pPr>
          </w:p>
        </w:tc>
        <w:tc>
          <w:tcPr>
            <w:tcW w:w="1031" w:type="dxa"/>
            <w:tcBorders>
              <w:top w:val="single" w:color="000000" w:sz="4" w:space="0"/>
              <w:left w:val="single" w:color="000000" w:sz="8" w:space="0"/>
              <w:bottom w:val="single" w:color="000000" w:sz="8" w:space="0"/>
              <w:right w:val="single" w:color="000000" w:sz="8" w:space="0"/>
            </w:tcBorders>
          </w:tcPr>
          <w:p>
            <w:pPr>
              <w:spacing w:after="160" w:line="259" w:lineRule="auto"/>
              <w:ind w:left="0" w:firstLine="0"/>
            </w:pPr>
          </w:p>
        </w:tc>
        <w:tc>
          <w:tcPr>
            <w:tcW w:w="1038" w:type="dxa"/>
            <w:tcBorders>
              <w:top w:val="single" w:color="000000" w:sz="4" w:space="0"/>
              <w:left w:val="single" w:color="000000" w:sz="8" w:space="0"/>
              <w:bottom w:val="single" w:color="000000" w:sz="8" w:space="0"/>
              <w:right w:val="single" w:color="000000" w:sz="8" w:space="0"/>
            </w:tcBorders>
          </w:tcPr>
          <w:p>
            <w:pPr>
              <w:spacing w:after="160" w:line="259" w:lineRule="auto"/>
              <w:ind w:left="0" w:firstLine="0"/>
            </w:pPr>
          </w:p>
        </w:tc>
        <w:tc>
          <w:tcPr>
            <w:tcW w:w="8813" w:type="dxa"/>
            <w:gridSpan w:val="2"/>
            <w:tcBorders>
              <w:top w:val="single" w:color="000000" w:sz="4" w:space="0"/>
              <w:left w:val="single" w:color="000000" w:sz="8" w:space="0"/>
              <w:bottom w:val="single" w:color="000000" w:sz="8" w:space="0"/>
              <w:right w:val="single" w:color="000000" w:sz="8" w:space="0"/>
            </w:tcBorders>
          </w:tcPr>
          <w:p>
            <w:pPr>
              <w:spacing w:after="6" w:line="259" w:lineRule="auto"/>
              <w:ind w:left="1" w:firstLine="0"/>
            </w:pPr>
            <w:r>
              <w:t>2.房屋赠与(包括以划转、奖励、继承等没有价格的方式)</w:t>
            </w:r>
          </w:p>
          <w:p>
            <w:pPr>
              <w:spacing w:after="0" w:line="259" w:lineRule="auto"/>
              <w:ind w:left="1" w:firstLine="0"/>
            </w:pPr>
            <w:r>
              <w:t>3.房屋互换</w:t>
            </w:r>
          </w:p>
        </w:tc>
        <w:tc>
          <w:tcPr>
            <w:tcW w:w="2260" w:type="dxa"/>
            <w:tcBorders>
              <w:top w:val="single" w:color="000000" w:sz="4"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70" w:type="dxa"/>
            <w:left w:w="108" w:type="dxa"/>
            <w:bottom w:w="0" w:type="dxa"/>
            <w:right w:w="108" w:type="dxa"/>
          </w:tblCellMar>
        </w:tblPrEx>
        <w:trPr>
          <w:trHeight w:val="920" w:hRule="atLeast"/>
        </w:trPr>
        <w:tc>
          <w:tcPr>
            <w:tcW w:w="0" w:type="auto"/>
            <w:vMerge w:val="continue"/>
            <w:tcBorders>
              <w:top w:val="nil"/>
              <w:left w:val="single" w:color="000000" w:sz="4" w:space="0"/>
              <w:bottom w:val="nil"/>
              <w:right w:val="single" w:color="000000" w:sz="8" w:space="0"/>
            </w:tcBorders>
          </w:tcPr>
          <w:p>
            <w:pPr>
              <w:spacing w:after="160" w:line="259" w:lineRule="auto"/>
              <w:ind w:left="0" w:firstLine="0"/>
            </w:pPr>
          </w:p>
        </w:tc>
        <w:tc>
          <w:tcPr>
            <w:tcW w:w="1031" w:type="dxa"/>
            <w:vMerge w:val="restart"/>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93" w:firstLine="0"/>
            </w:pPr>
            <w:r>
              <w:t>存量房</w:t>
            </w:r>
          </w:p>
        </w:tc>
        <w:tc>
          <w:tcPr>
            <w:tcW w:w="1038"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firstLine="0"/>
            </w:pPr>
            <w:r>
              <w:t>住房</w:t>
            </w:r>
          </w:p>
        </w:tc>
        <w:tc>
          <w:tcPr>
            <w:tcW w:w="8813" w:type="dxa"/>
            <w:gridSpan w:val="2"/>
            <w:tcBorders>
              <w:top w:val="single" w:color="000000" w:sz="8" w:space="0"/>
              <w:left w:val="single" w:color="000000" w:sz="8" w:space="0"/>
              <w:bottom w:val="single" w:color="000000" w:sz="8" w:space="0"/>
              <w:right w:val="single" w:color="000000" w:sz="8" w:space="0"/>
            </w:tcBorders>
          </w:tcPr>
          <w:p>
            <w:pPr>
              <w:spacing w:after="6" w:line="259" w:lineRule="auto"/>
              <w:ind w:left="1" w:firstLine="0"/>
            </w:pPr>
            <w:r>
              <w:t>1.房屋买卖(包括作价投资入股、偿还债务等应交付经济利益的方式)</w:t>
            </w:r>
          </w:p>
          <w:p>
            <w:pPr>
              <w:spacing w:after="6" w:line="259" w:lineRule="auto"/>
              <w:ind w:left="1" w:firstLine="0"/>
            </w:pPr>
            <w:r>
              <w:t>2.房屋赠与(包括以划转、奖励、继承等没有价格的方式)</w:t>
            </w:r>
          </w:p>
          <w:p>
            <w:pPr>
              <w:spacing w:after="0" w:line="259" w:lineRule="auto"/>
              <w:ind w:left="1" w:firstLine="0"/>
            </w:pPr>
            <w:r>
              <w:t>3.房屋互换</w:t>
            </w:r>
          </w:p>
        </w:tc>
        <w:tc>
          <w:tcPr>
            <w:tcW w:w="2260"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1" w:firstLine="0"/>
            </w:pPr>
            <w:r>
              <w:t>居住用房</w:t>
            </w:r>
          </w:p>
        </w:tc>
      </w:tr>
      <w:tr>
        <w:tblPrEx>
          <w:tblCellMar>
            <w:top w:w="70" w:type="dxa"/>
            <w:left w:w="108" w:type="dxa"/>
            <w:bottom w:w="0" w:type="dxa"/>
            <w:right w:w="108" w:type="dxa"/>
          </w:tblCellMar>
        </w:tblPrEx>
        <w:trPr>
          <w:trHeight w:val="920" w:hRule="atLeast"/>
        </w:trPr>
        <w:tc>
          <w:tcPr>
            <w:tcW w:w="0" w:type="auto"/>
            <w:vMerge w:val="continue"/>
            <w:tcBorders>
              <w:top w:val="nil"/>
              <w:left w:val="single" w:color="000000" w:sz="4" w:space="0"/>
              <w:bottom w:val="single" w:color="000000" w:sz="8" w:space="0"/>
              <w:right w:val="single" w:color="000000" w:sz="8" w:space="0"/>
            </w:tcBorders>
          </w:tcPr>
          <w:p>
            <w:pPr>
              <w:spacing w:after="160" w:line="259" w:lineRule="auto"/>
              <w:ind w:left="0" w:firstLine="0"/>
            </w:pPr>
          </w:p>
        </w:tc>
        <w:tc>
          <w:tcPr>
            <w:tcW w:w="0" w:type="auto"/>
            <w:vMerge w:val="continue"/>
            <w:tcBorders>
              <w:top w:val="nil"/>
              <w:left w:val="single" w:color="000000" w:sz="8" w:space="0"/>
              <w:bottom w:val="single" w:color="000000" w:sz="8" w:space="0"/>
              <w:right w:val="single" w:color="000000" w:sz="8" w:space="0"/>
            </w:tcBorders>
          </w:tcPr>
          <w:p>
            <w:pPr>
              <w:spacing w:after="160" w:line="259" w:lineRule="auto"/>
              <w:ind w:left="0" w:firstLine="0"/>
            </w:pPr>
          </w:p>
        </w:tc>
        <w:tc>
          <w:tcPr>
            <w:tcW w:w="1038"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firstLine="0"/>
            </w:pPr>
            <w:r>
              <w:t>非住房</w:t>
            </w:r>
          </w:p>
        </w:tc>
        <w:tc>
          <w:tcPr>
            <w:tcW w:w="8813" w:type="dxa"/>
            <w:gridSpan w:val="2"/>
            <w:tcBorders>
              <w:top w:val="single" w:color="000000" w:sz="8" w:space="0"/>
              <w:left w:val="single" w:color="000000" w:sz="8" w:space="0"/>
              <w:bottom w:val="single" w:color="000000" w:sz="8" w:space="0"/>
              <w:right w:val="single" w:color="000000" w:sz="8" w:space="0"/>
            </w:tcBorders>
          </w:tcPr>
          <w:p>
            <w:pPr>
              <w:spacing w:after="6" w:line="259" w:lineRule="auto"/>
              <w:ind w:left="1" w:firstLine="0"/>
            </w:pPr>
            <w:r>
              <w:t>1.房屋买卖(包括作价投资入股、偿还债务等应交付经济利益的方式)</w:t>
            </w:r>
          </w:p>
          <w:p>
            <w:pPr>
              <w:spacing w:after="6" w:line="259" w:lineRule="auto"/>
              <w:ind w:left="1" w:firstLine="0"/>
            </w:pPr>
            <w:r>
              <w:t>2.房屋赠与(包括以划转、奖励、继承等没有价格的方式)</w:t>
            </w:r>
          </w:p>
          <w:p>
            <w:pPr>
              <w:spacing w:after="0" w:line="259" w:lineRule="auto"/>
              <w:ind w:left="1" w:firstLine="0"/>
            </w:pPr>
            <w:r>
              <w:t>3.房屋互换</w:t>
            </w:r>
          </w:p>
        </w:tc>
        <w:tc>
          <w:tcPr>
            <w:tcW w:w="2260"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1" w:firstLine="0"/>
            </w:pPr>
            <w:r>
              <w:t>非居住用房</w:t>
            </w:r>
          </w:p>
        </w:tc>
      </w:tr>
    </w:tbl>
    <w:p>
      <w:pPr>
        <w:ind w:left="-5"/>
      </w:pPr>
      <w:r>
        <w:t>填表说明：</w:t>
      </w:r>
    </w:p>
    <w:p>
      <w:pPr>
        <w:ind w:left="-5"/>
      </w:pPr>
      <w:r>
        <w:t>1.本表适用于在中国境内承受土地、房屋权属的单位和个人。</w:t>
      </w:r>
    </w:p>
    <w:p>
      <w:pPr>
        <w:ind w:left="-5"/>
      </w:pPr>
      <w:r>
        <w:t>2.税源编号：系统自动生成，纳税人不必填写。</w:t>
      </w:r>
    </w:p>
    <w:p>
      <w:pPr>
        <w:ind w:left="-5"/>
      </w:pPr>
      <w:r>
        <w:t>3.土地房屋坐落地址：必填。土地使用权转移，应填写土地坐落地址；房屋转移，应填写房屋坐落地址。</w:t>
      </w:r>
    </w:p>
    <w:p>
      <w:pPr>
        <w:ind w:left="-5"/>
      </w:pPr>
      <w:r>
        <w:t>4.不动产单元代码：有不动产权证并载明不动产单元代码的，必填。</w:t>
      </w:r>
    </w:p>
    <w:p>
      <w:pPr>
        <w:ind w:left="-5"/>
      </w:pPr>
      <w:r>
        <w:t>5.合同编号：有土地、房屋权属转移合同并载明合同编号的，必填。</w:t>
      </w:r>
    </w:p>
    <w:p>
      <w:pPr>
        <w:ind w:left="-5"/>
      </w:pPr>
      <w:r>
        <w:t>6.合同签订日期：必填。指承受方与转让方签订土地、房屋权属转移合同的当日，或者承受方取得其他具有土地、房屋权属转移合同性质凭证的当日。</w:t>
      </w:r>
    </w:p>
    <w:p>
      <w:pPr>
        <w:ind w:left="-5"/>
      </w:pPr>
      <w:r>
        <w:t>7.共有方式：必填。根据实际情况，勾选单独所有、按份共有、共同所有。如勾选按份共有，应填写具体转移份额，勾选共同共有，应填写承受土地、房屋权属的其他共同共有人的纳税人名称和纳税人识别号。</w:t>
      </w:r>
    </w:p>
    <w:p>
      <w:pPr>
        <w:ind w:left="-5"/>
      </w:pPr>
      <w:r>
        <w:t>8.权属转移对象：必选。分土地、房屋两类一级指标；土地下的二级指标设国有土地和集体土地；房屋下的二级指标设增量房和存量房；增量房和存量房下的三级指标均设住房和非住房。</w:t>
      </w:r>
    </w:p>
    <w:p>
      <w:pPr>
        <w:ind w:left="-5"/>
      </w:pPr>
      <w:r>
        <w:t>9.权属转移方式：必选。土地按“1.土地使用权出让、2.土地使用权出售、3.土地使用权赠与、4.土地使用权互换”填写；房屋按“1.房屋买卖、2.房屋赠与、3.房屋互换”填写。</w:t>
      </w:r>
    </w:p>
    <w:p>
      <w:pPr>
        <w:ind w:left="-5"/>
      </w:pPr>
      <w:r>
        <w:t>10.用途：必选。土地按“1.住宅用地、2.非住宅用地”填写；房屋按“1、居住用房，2、非居住用房”填写。</w:t>
      </w:r>
    </w:p>
    <w:p>
      <w:pPr>
        <w:ind w:left="-5"/>
      </w:pPr>
      <w:r>
        <w:t>11.成交价格（不含增值税）：必填。按土地、房屋权属转移合同确定的价格（包括应交付的货币以及实物、其他经济利益对应的价款）填写；土地使用权互换、房屋互换的，在本栏次填写土地、房屋的成交价格，同时在“其他减免性质代码和项目名称”中选择土地使用权互换、房屋互换的减免性质代码并填写扣减金额。</w:t>
      </w:r>
    </w:p>
    <w:p>
      <w:pPr>
        <w:ind w:left="-5"/>
      </w:pPr>
      <w:r>
        <w:t>12.权属转移面积：必填。根据土地、房屋权属转移合同确定的转移面积填写。</w:t>
      </w:r>
    </w:p>
    <w:p>
      <w:pPr>
        <w:ind w:left="-5"/>
      </w:pPr>
      <w:r>
        <w:t>13.成交单价：系统自动计算，纳税人无需填写。单位面积的成交价格。</w:t>
      </w:r>
    </w:p>
    <w:p>
      <w:pPr>
        <w:ind w:left="-5"/>
      </w:pPr>
      <w:r>
        <w:t>14.评估价格：必填，可由系统自动带出。是指税务机关参照市场价格，采用房地产价格评估等方法依法合理确定的评估价格。</w:t>
      </w:r>
    </w:p>
    <w:p>
      <w:pPr>
        <w:ind w:left="-5"/>
      </w:pPr>
      <w:r>
        <w:t>15.计税价格：系统自动带出，纳税人无需填写。指由税务机关按照《中华人民共和国契税法》及有关规定确定的成交价格或者核定价格。</w:t>
      </w:r>
    </w:p>
    <w:p>
      <w:pPr>
        <w:ind w:left="-5"/>
      </w:pPr>
      <w:r>
        <w:t>16.适用税率：系统自动带出，纳税人无需填写。根据各省（自治区、直辖市）确定的适用税率填写。申报享受家庭唯一住房或第二套住房等减免税政策的，也应按适用税率填写。如，某省住房买卖适用税率为3%，申报享受个人购买90平米及以下家庭唯一住房减免税政策时，税率应按3%而非优惠税率</w:t>
      </w:r>
    </w:p>
    <w:p>
      <w:pPr>
        <w:ind w:left="-5"/>
      </w:pPr>
      <w:r>
        <w:t>1%填写。</w:t>
      </w:r>
    </w:p>
    <w:p>
      <w:pPr>
        <w:ind w:left="-5"/>
      </w:pPr>
      <w:r>
        <w:t>17.权属登记日期：指承受方取得应税土地、房屋权属的登记日期。在办理土地、房屋权属登记前申报缴纳契税的，不填此项；在办理土地、房屋权属登记后申报缴纳契税的，必填。</w:t>
      </w:r>
    </w:p>
    <w:p>
      <w:pPr>
        <w:ind w:left="-5"/>
      </w:pPr>
      <w:r>
        <w:t>18.居民购房减免性质代码和项目名称：有居民购房减免税情况的，必填。按照税务机关最新制发的减免税政策代码表中最细项减免性质代码填写。</w:t>
      </w:r>
    </w:p>
    <w:p>
      <w:pPr>
        <w:ind w:left="-5"/>
      </w:pPr>
      <w:r>
        <w:t>19.其他减免性质代码和项目名称：有居民购房以外其他减免税情况的，必填。按照税务机关最新制发的减免税政策代码表中最细项减免性质代码填写，并按规定填写扣减金额。</w:t>
      </w:r>
    </w:p>
    <w:p>
      <w:pPr>
        <w:ind w:left="-5"/>
      </w:pPr>
    </w:p>
    <w:p>
      <w:pPr>
        <w:ind w:left="-5"/>
      </w:pPr>
    </w:p>
    <w:p>
      <w:pPr>
        <w:ind w:left="-5"/>
      </w:pPr>
    </w:p>
    <w:p>
      <w:pPr>
        <w:ind w:left="-5"/>
      </w:pPr>
    </w:p>
    <w:p>
      <w:pPr>
        <w:ind w:left="-5"/>
      </w:pPr>
    </w:p>
    <w:p>
      <w:pPr>
        <w:ind w:left="-5"/>
      </w:pPr>
    </w:p>
    <w:p>
      <w:pPr>
        <w:ind w:left="-5"/>
      </w:pPr>
    </w:p>
    <w:p>
      <w:pPr>
        <w:ind w:left="-5"/>
      </w:pPr>
    </w:p>
    <w:p>
      <w:pPr>
        <w:ind w:left="-5"/>
      </w:pPr>
    </w:p>
    <w:p>
      <w:pPr>
        <w:ind w:left="-5"/>
      </w:pPr>
    </w:p>
    <w:p>
      <w:pPr>
        <w:ind w:left="-5"/>
        <w:rPr>
          <w:rFonts w:hint="eastAsia" w:ascii="宋体" w:hAnsi="宋体" w:eastAsia="宋体" w:cs="宋体"/>
          <w:i w:val="0"/>
          <w:caps w:val="0"/>
          <w:color w:val="0070C0"/>
          <w:spacing w:val="0"/>
          <w:sz w:val="24"/>
          <w:szCs w:val="24"/>
          <w:shd w:val="clear" w:fill="FFFFFF"/>
        </w:rPr>
      </w:pPr>
    </w:p>
    <w:p>
      <w:pPr>
        <w:pStyle w:val="3"/>
        <w:ind w:left="857" w:right="967"/>
      </w:pPr>
      <w:r>
        <w:t>印花税税源明细表</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default" w:ascii="宋体" w:hAnsi="宋体" w:eastAsia="宋体" w:cs="宋体"/>
          <w:sz w:val="24"/>
          <w:szCs w:val="24"/>
          <w:lang w:val="en-US" w:eastAsia="zh-CN"/>
        </w:rPr>
      </w:pPr>
      <w:bookmarkStart w:id="68" w:name="_GoBack"/>
      <w:bookmarkEnd w:id="68"/>
      <w:r>
        <w:rPr>
          <w:rFonts w:hint="eastAsia"/>
          <w:lang w:val="en-US" w:eastAsia="zh-CN"/>
        </w:rPr>
        <w:t>另见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"http://ssfb86.com/index/News/detail/newsid/11013.html" </w:instrText>
      </w:r>
      <w:r>
        <w:rPr>
          <w:rFonts w:hint="eastAsia" w:ascii="宋体" w:hAnsi="宋体" w:eastAsia="宋体" w:cs="宋体"/>
          <w:sz w:val="24"/>
          <w:szCs w:val="24"/>
        </w:rPr>
        <w:fldChar w:fldCharType="separate"/>
      </w:r>
      <w:r>
        <w:rPr>
          <w:rStyle w:val="14"/>
          <w:rFonts w:hint="eastAsia" w:ascii="宋体" w:hAnsi="宋体" w:eastAsia="宋体" w:cs="宋体"/>
          <w:sz w:val="24"/>
          <w:szCs w:val="24"/>
        </w:rPr>
        <w:t>国家税务总局公告2022年第14号</w:t>
      </w:r>
      <w:r>
        <w:rPr>
          <w:rFonts w:hint="eastAsia" w:ascii="宋体" w:hAnsi="宋体" w:eastAsia="宋体" w:cs="宋体"/>
          <w:sz w:val="24"/>
          <w:szCs w:val="24"/>
        </w:rPr>
        <w:fldChar w:fldCharType="end"/>
      </w:r>
      <w:r>
        <w:rPr>
          <w:rFonts w:hint="eastAsia" w:cs="宋体"/>
          <w:sz w:val="24"/>
          <w:szCs w:val="24"/>
          <w:lang w:val="en-US" w:eastAsia="zh-CN"/>
        </w:rPr>
        <w:t>附件1</w:t>
      </w:r>
    </w:p>
    <w:p>
      <w:r>
        <w:t>。</w:t>
      </w:r>
    </w:p>
    <w:p/>
    <w:p/>
    <w:p/>
    <w:p>
      <w:pPr>
        <w:pStyle w:val="3"/>
        <w:spacing w:after="51"/>
        <w:ind w:left="857" w:right="1056"/>
      </w:pPr>
      <w:r>
        <w:t>资源税税源明细表</w:t>
      </w:r>
    </w:p>
    <w:p>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"http://ssfb86.com/index/News/detail/newsid/8838.html" </w:instrText>
      </w:r>
      <w:r>
        <w:rPr>
          <w:rFonts w:hint="eastAsia" w:ascii="宋体" w:hAnsi="宋体" w:eastAsia="宋体" w:cs="宋体"/>
          <w:i w:val="0"/>
          <w:caps w:val="0"/>
          <w:color w:val="6E6E6E"/>
          <w:spacing w:val="0"/>
          <w:sz w:val="24"/>
          <w:szCs w:val="24"/>
          <w:u w:val="single"/>
          <w:shd w:val="clear" w:fill="FFFFFF"/>
        </w:rPr>
        <w:fldChar w:fldCharType="separate"/>
      </w:r>
      <w:r>
        <w:rPr>
          <w:rStyle w:val="14"/>
          <w:rFonts w:hint="eastAsia" w:ascii="宋体" w:hAnsi="宋体" w:eastAsia="宋体" w:cs="宋体"/>
          <w:i w:val="0"/>
          <w:caps w:val="0"/>
          <w:color w:val="6E6E6E"/>
          <w:spacing w:val="0"/>
          <w:sz w:val="24"/>
          <w:szCs w:val="24"/>
          <w:u w:val="single"/>
          <w:shd w:val="clear" w:fill="FFFFFF"/>
        </w:rPr>
        <w:t>国家税务总局公告2021年第9号</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附件2</w:t>
      </w:r>
    </w:p>
    <w:p>
      <w:pPr>
        <w:tabs>
          <w:tab w:val="center" w:pos="2729"/>
          <w:tab w:val="center" w:pos="4305"/>
        </w:tabs>
        <w:spacing w:after="141"/>
        <w:ind w:left="0" w:firstLine="0"/>
      </w:pPr>
      <w:r>
        <w:t>税款所属期限：自</w:t>
      </w:r>
      <w:r>
        <w:tab/>
      </w:r>
      <w:r>
        <w:t>年月日至</w:t>
      </w:r>
      <w:r>
        <w:tab/>
      </w:r>
      <w:r>
        <w:t>年月日</w:t>
      </w:r>
    </w:p>
    <w:p>
      <w:pPr>
        <w:spacing w:after="83"/>
      </w:pPr>
      <w:r>
        <w:t>纳税人识别号（统一社会信用代码）：□□□□□□□□□□□□□□□□□□</w:t>
      </w:r>
    </w:p>
    <w:p>
      <w:pPr>
        <w:tabs>
          <w:tab w:val="center" w:pos="10814"/>
        </w:tabs>
        <w:ind w:left="0" w:firstLine="0"/>
      </w:pPr>
      <w:r>
        <w:t>纳税人名称：</w:t>
      </w:r>
      <w:r>
        <w:tab/>
      </w:r>
      <w:r>
        <w:t>金额单位：人民币元（列至角分）</w:t>
      </w:r>
    </w:p>
    <w:tbl>
      <w:tblPr>
        <w:tblStyle w:val="18"/>
        <w:tblW w:w="13967" w:type="dxa"/>
        <w:tblInd w:w="-108" w:type="dxa"/>
        <w:tblLayout w:type="autofit"/>
        <w:tblCellMar>
          <w:top w:w="56" w:type="dxa"/>
          <w:left w:w="136" w:type="dxa"/>
          <w:bottom w:w="0" w:type="dxa"/>
          <w:right w:w="0" w:type="dxa"/>
        </w:tblCellMar>
      </w:tblPr>
      <w:tblGrid>
        <w:gridCol w:w="836"/>
        <w:gridCol w:w="1254"/>
        <w:gridCol w:w="1062"/>
        <w:gridCol w:w="1132"/>
        <w:gridCol w:w="757"/>
        <w:gridCol w:w="444"/>
        <w:gridCol w:w="743"/>
        <w:gridCol w:w="927"/>
        <w:gridCol w:w="307"/>
        <w:gridCol w:w="922"/>
        <w:gridCol w:w="427"/>
        <w:gridCol w:w="561"/>
        <w:gridCol w:w="631"/>
        <w:gridCol w:w="793"/>
        <w:gridCol w:w="514"/>
        <w:gridCol w:w="1087"/>
        <w:gridCol w:w="1570"/>
      </w:tblGrid>
      <w:tr>
        <w:tblPrEx>
          <w:tblCellMar>
            <w:top w:w="56" w:type="dxa"/>
            <w:left w:w="136" w:type="dxa"/>
            <w:bottom w:w="0" w:type="dxa"/>
            <w:right w:w="0" w:type="dxa"/>
          </w:tblCellMar>
        </w:tblPrEx>
        <w:trPr>
          <w:trHeight w:val="449" w:hRule="atLeast"/>
        </w:trPr>
        <w:tc>
          <w:tcPr>
            <w:tcW w:w="836"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254" w:type="dxa"/>
            <w:tcBorders>
              <w:top w:val="single" w:color="000000" w:sz="4" w:space="0"/>
              <w:left w:val="nil"/>
              <w:bottom w:val="single" w:color="000000" w:sz="4" w:space="0"/>
              <w:right w:val="nil"/>
            </w:tcBorders>
          </w:tcPr>
          <w:p>
            <w:pPr>
              <w:spacing w:after="160" w:line="259" w:lineRule="auto"/>
              <w:ind w:left="0" w:firstLine="0"/>
            </w:pPr>
          </w:p>
        </w:tc>
        <w:tc>
          <w:tcPr>
            <w:tcW w:w="1062" w:type="dxa"/>
            <w:tcBorders>
              <w:top w:val="single" w:color="000000" w:sz="4" w:space="0"/>
              <w:left w:val="nil"/>
              <w:bottom w:val="single" w:color="000000" w:sz="4" w:space="0"/>
              <w:right w:val="nil"/>
            </w:tcBorders>
          </w:tcPr>
          <w:p>
            <w:pPr>
              <w:spacing w:after="160" w:line="259" w:lineRule="auto"/>
              <w:ind w:left="0" w:firstLine="0"/>
            </w:pPr>
          </w:p>
        </w:tc>
        <w:tc>
          <w:tcPr>
            <w:tcW w:w="5232" w:type="dxa"/>
            <w:gridSpan w:val="7"/>
            <w:tcBorders>
              <w:top w:val="single" w:color="000000" w:sz="4" w:space="0"/>
              <w:left w:val="nil"/>
              <w:bottom w:val="single" w:color="000000" w:sz="4" w:space="0"/>
              <w:right w:val="nil"/>
            </w:tcBorders>
            <w:vAlign w:val="center"/>
          </w:tcPr>
          <w:p>
            <w:pPr>
              <w:spacing w:after="0" w:line="259" w:lineRule="auto"/>
              <w:ind w:left="3065" w:firstLine="0"/>
            </w:pPr>
            <w:r>
              <w:t>申报计算明细</w:t>
            </w:r>
          </w:p>
        </w:tc>
        <w:tc>
          <w:tcPr>
            <w:tcW w:w="5583" w:type="dxa"/>
            <w:gridSpan w:val="7"/>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136" w:type="dxa"/>
            <w:bottom w:w="0" w:type="dxa"/>
            <w:right w:w="0" w:type="dxa"/>
          </w:tblCellMar>
        </w:tblPrEx>
        <w:trPr>
          <w:trHeight w:val="946" w:hRule="atLeast"/>
        </w:trPr>
        <w:tc>
          <w:tcPr>
            <w:tcW w:w="83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3" w:firstLine="0"/>
            </w:pPr>
            <w:r>
              <w:t>序号</w:t>
            </w:r>
          </w:p>
        </w:tc>
        <w:tc>
          <w:tcPr>
            <w:tcW w:w="12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81" w:firstLine="0"/>
            </w:pPr>
            <w:r>
              <w:t>税目</w:t>
            </w:r>
          </w:p>
        </w:tc>
        <w:tc>
          <w:tcPr>
            <w:tcW w:w="106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76" w:firstLine="0"/>
            </w:pPr>
            <w:r>
              <w:t>子目</w:t>
            </w:r>
          </w:p>
        </w:tc>
        <w:tc>
          <w:tcPr>
            <w:tcW w:w="113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pPr>
            <w:r>
              <w:t>计量单位</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44" w:firstLine="0"/>
              <w:jc w:val="both"/>
            </w:pPr>
            <w:r>
              <w:t>销售数量</w:t>
            </w:r>
          </w:p>
        </w:tc>
        <w:tc>
          <w:tcPr>
            <w:tcW w:w="1670" w:type="dxa"/>
            <w:gridSpan w:val="2"/>
            <w:tcBorders>
              <w:top w:val="single" w:color="000000" w:sz="4" w:space="0"/>
              <w:left w:val="single" w:color="000000" w:sz="4" w:space="0"/>
              <w:bottom w:val="single" w:color="000000" w:sz="4" w:space="0"/>
              <w:right w:val="single" w:color="000000" w:sz="4" w:space="0"/>
            </w:tcBorders>
          </w:tcPr>
          <w:p>
            <w:pPr>
              <w:spacing w:after="18" w:line="259" w:lineRule="auto"/>
              <w:ind w:left="175" w:firstLine="0"/>
            </w:pPr>
            <w:r>
              <w:t>准予扣减的</w:t>
            </w:r>
          </w:p>
          <w:p>
            <w:pPr>
              <w:spacing w:after="0" w:line="259" w:lineRule="auto"/>
              <w:ind w:left="0" w:firstLine="0"/>
              <w:jc w:val="center"/>
            </w:pPr>
            <w:r>
              <w:t>外购应税产品购进数量</w:t>
            </w:r>
          </w:p>
        </w:tc>
        <w:tc>
          <w:tcPr>
            <w:tcW w:w="12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计税销售数量</w:t>
            </w:r>
          </w:p>
        </w:tc>
        <w:tc>
          <w:tcPr>
            <w:tcW w:w="988"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43" w:firstLine="0"/>
              <w:jc w:val="both"/>
            </w:pPr>
            <w:r>
              <w:t>销售额</w:t>
            </w:r>
          </w:p>
        </w:tc>
        <w:tc>
          <w:tcPr>
            <w:tcW w:w="142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准予扣除的运杂费</w:t>
            </w:r>
          </w:p>
        </w:tc>
        <w:tc>
          <w:tcPr>
            <w:tcW w:w="1601" w:type="dxa"/>
            <w:gridSpan w:val="2"/>
            <w:tcBorders>
              <w:top w:val="single" w:color="000000" w:sz="4" w:space="0"/>
              <w:left w:val="single" w:color="000000" w:sz="4" w:space="0"/>
              <w:bottom w:val="single" w:color="000000" w:sz="4" w:space="0"/>
              <w:right w:val="single" w:color="000000" w:sz="4" w:space="0"/>
            </w:tcBorders>
          </w:tcPr>
          <w:p>
            <w:pPr>
              <w:spacing w:after="18" w:line="259" w:lineRule="auto"/>
              <w:ind w:left="139" w:firstLine="0"/>
            </w:pPr>
            <w:r>
              <w:t>准予扣减的</w:t>
            </w:r>
          </w:p>
          <w:p>
            <w:pPr>
              <w:spacing w:after="0" w:line="259" w:lineRule="auto"/>
              <w:ind w:left="0" w:firstLine="0"/>
              <w:jc w:val="center"/>
            </w:pPr>
            <w:r>
              <w:t>外购应税产品购进金额</w:t>
            </w:r>
          </w:p>
        </w:tc>
        <w:tc>
          <w:tcPr>
            <w:tcW w:w="157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5" w:firstLine="0"/>
            </w:pPr>
            <w:r>
              <w:t>计税销售额</w:t>
            </w:r>
          </w:p>
        </w:tc>
      </w:tr>
      <w:tr>
        <w:tblPrEx>
          <w:tblCellMar>
            <w:top w:w="56" w:type="dxa"/>
            <w:left w:w="136" w:type="dxa"/>
            <w:bottom w:w="0" w:type="dxa"/>
            <w:right w:w="0" w:type="dxa"/>
          </w:tblCellMar>
        </w:tblPrEx>
        <w:trPr>
          <w:trHeight w:val="455"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0" w:firstLine="0"/>
              <w:jc w:val="center"/>
            </w:pPr>
            <w:r>
              <w:t>1</w:t>
            </w:r>
          </w:p>
        </w:tc>
        <w:tc>
          <w:tcPr>
            <w:tcW w:w="106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52" w:firstLine="0"/>
              <w:jc w:val="center"/>
            </w:pPr>
            <w:r>
              <w:t>2</w:t>
            </w:r>
          </w:p>
        </w:tc>
        <w:tc>
          <w:tcPr>
            <w:tcW w:w="113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52" w:firstLine="0"/>
              <w:jc w:val="center"/>
            </w:pPr>
            <w:r>
              <w:t>3</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8" w:firstLine="0"/>
              <w:jc w:val="center"/>
            </w:pPr>
            <w:r>
              <w:t>4</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9" w:firstLine="0"/>
              <w:jc w:val="center"/>
            </w:pPr>
            <w:r>
              <w:t>5</w:t>
            </w:r>
          </w:p>
        </w:tc>
        <w:tc>
          <w:tcPr>
            <w:tcW w:w="12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6" w:firstLine="0"/>
              <w:jc w:val="center"/>
            </w:pPr>
            <w:r>
              <w:t>6=4-5</w:t>
            </w:r>
          </w:p>
        </w:tc>
        <w:tc>
          <w:tcPr>
            <w:tcW w:w="988"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8" w:firstLine="0"/>
              <w:jc w:val="center"/>
            </w:pPr>
            <w:r>
              <w:t>7</w:t>
            </w:r>
          </w:p>
        </w:tc>
        <w:tc>
          <w:tcPr>
            <w:tcW w:w="142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6" w:firstLine="0"/>
              <w:jc w:val="center"/>
            </w:pPr>
            <w:r>
              <w:t>8</w:t>
            </w: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7" w:firstLine="0"/>
              <w:jc w:val="center"/>
            </w:pPr>
            <w:r>
              <w:t>9</w:t>
            </w:r>
          </w:p>
        </w:tc>
        <w:tc>
          <w:tcPr>
            <w:tcW w:w="157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7" w:firstLine="0"/>
              <w:jc w:val="center"/>
            </w:pPr>
            <w:r>
              <w:t>10=7-8-9</w:t>
            </w:r>
          </w:p>
        </w:tc>
      </w:tr>
      <w:tr>
        <w:tblPrEx>
          <w:tblCellMar>
            <w:top w:w="56" w:type="dxa"/>
            <w:left w:w="136" w:type="dxa"/>
            <w:bottom w:w="0" w:type="dxa"/>
            <w:right w:w="0" w:type="dxa"/>
          </w:tblCellMar>
        </w:tblPrEx>
        <w:trPr>
          <w:trHeight w:val="397" w:hRule="atLeast"/>
        </w:trPr>
        <w:tc>
          <w:tcPr>
            <w:tcW w:w="83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38" w:firstLine="0"/>
              <w:jc w:val="center"/>
            </w:pPr>
            <w:r>
              <w:t>1</w:t>
            </w:r>
          </w:p>
        </w:tc>
        <w:tc>
          <w:tcPr>
            <w:tcW w:w="125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6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3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0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7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2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88"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2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0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136" w:type="dxa"/>
            <w:bottom w:w="0" w:type="dxa"/>
            <w:right w:w="0" w:type="dxa"/>
          </w:tblCellMar>
        </w:tblPrEx>
        <w:trPr>
          <w:trHeight w:val="397" w:hRule="atLeast"/>
        </w:trPr>
        <w:tc>
          <w:tcPr>
            <w:tcW w:w="83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38" w:firstLine="0"/>
              <w:jc w:val="center"/>
            </w:pPr>
            <w:r>
              <w:t>2</w:t>
            </w:r>
          </w:p>
        </w:tc>
        <w:tc>
          <w:tcPr>
            <w:tcW w:w="125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6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3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0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7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2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88"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2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0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136" w:type="dxa"/>
            <w:bottom w:w="0" w:type="dxa"/>
            <w:right w:w="0" w:type="dxa"/>
          </w:tblCellMar>
        </w:tblPrEx>
        <w:trPr>
          <w:trHeight w:val="397" w:hRule="atLeast"/>
        </w:trPr>
        <w:tc>
          <w:tcPr>
            <w:tcW w:w="836" w:type="dxa"/>
            <w:tcBorders>
              <w:top w:val="single" w:color="000000" w:sz="4" w:space="0"/>
              <w:left w:val="single" w:color="000000" w:sz="4" w:space="0"/>
              <w:bottom w:val="single" w:color="000000" w:sz="4" w:space="0"/>
              <w:right w:val="single" w:color="000000" w:sz="4" w:space="0"/>
            </w:tcBorders>
          </w:tcPr>
          <w:p>
            <w:pPr>
              <w:spacing w:after="0" w:line="259" w:lineRule="auto"/>
              <w:ind w:left="73" w:firstLine="0"/>
            </w:pPr>
            <w:r>
              <w:t>合计</w:t>
            </w:r>
          </w:p>
        </w:tc>
        <w:tc>
          <w:tcPr>
            <w:tcW w:w="125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6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3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0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7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2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88"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2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0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136" w:type="dxa"/>
            <w:bottom w:w="0" w:type="dxa"/>
            <w:right w:w="0" w:type="dxa"/>
          </w:tblCellMar>
        </w:tblPrEx>
        <w:trPr>
          <w:trHeight w:val="493" w:hRule="atLeast"/>
        </w:trPr>
        <w:tc>
          <w:tcPr>
            <w:tcW w:w="836"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254" w:type="dxa"/>
            <w:tcBorders>
              <w:top w:val="single" w:color="000000" w:sz="4" w:space="0"/>
              <w:left w:val="nil"/>
              <w:bottom w:val="single" w:color="000000" w:sz="4" w:space="0"/>
              <w:right w:val="nil"/>
            </w:tcBorders>
          </w:tcPr>
          <w:p>
            <w:pPr>
              <w:spacing w:after="160" w:line="259" w:lineRule="auto"/>
              <w:ind w:left="0" w:firstLine="0"/>
            </w:pPr>
          </w:p>
        </w:tc>
        <w:tc>
          <w:tcPr>
            <w:tcW w:w="1062" w:type="dxa"/>
            <w:tcBorders>
              <w:top w:val="single" w:color="000000" w:sz="4" w:space="0"/>
              <w:left w:val="nil"/>
              <w:bottom w:val="single" w:color="000000" w:sz="4" w:space="0"/>
              <w:right w:val="nil"/>
            </w:tcBorders>
          </w:tcPr>
          <w:p>
            <w:pPr>
              <w:spacing w:after="160" w:line="259" w:lineRule="auto"/>
              <w:ind w:left="0" w:firstLine="0"/>
            </w:pPr>
          </w:p>
        </w:tc>
        <w:tc>
          <w:tcPr>
            <w:tcW w:w="5232" w:type="dxa"/>
            <w:gridSpan w:val="7"/>
            <w:tcBorders>
              <w:top w:val="single" w:color="000000" w:sz="4" w:space="0"/>
              <w:left w:val="nil"/>
              <w:bottom w:val="single" w:color="000000" w:sz="4" w:space="0"/>
              <w:right w:val="nil"/>
            </w:tcBorders>
            <w:vAlign w:val="center"/>
          </w:tcPr>
          <w:p>
            <w:pPr>
              <w:spacing w:after="0" w:line="259" w:lineRule="auto"/>
              <w:ind w:left="2959" w:firstLine="0"/>
            </w:pPr>
            <w:r>
              <w:t>减免税计算明细</w:t>
            </w:r>
          </w:p>
        </w:tc>
        <w:tc>
          <w:tcPr>
            <w:tcW w:w="5583" w:type="dxa"/>
            <w:gridSpan w:val="7"/>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136" w:type="dxa"/>
            <w:bottom w:w="0" w:type="dxa"/>
            <w:right w:w="0" w:type="dxa"/>
          </w:tblCellMar>
        </w:tblPrEx>
        <w:trPr>
          <w:trHeight w:val="634" w:hRule="atLeast"/>
        </w:trPr>
        <w:tc>
          <w:tcPr>
            <w:tcW w:w="83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3" w:firstLine="0"/>
            </w:pPr>
            <w:r>
              <w:t>序号</w:t>
            </w:r>
          </w:p>
        </w:tc>
        <w:tc>
          <w:tcPr>
            <w:tcW w:w="12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81" w:firstLine="0"/>
            </w:pPr>
            <w:r>
              <w:t>税目</w:t>
            </w:r>
          </w:p>
        </w:tc>
        <w:tc>
          <w:tcPr>
            <w:tcW w:w="106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93" w:firstLine="0"/>
            </w:pPr>
            <w:r>
              <w:t>子目</w:t>
            </w:r>
          </w:p>
        </w:tc>
        <w:tc>
          <w:tcPr>
            <w:tcW w:w="188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减免性质代码和项目名称</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6" w:firstLine="0"/>
              <w:jc w:val="both"/>
            </w:pPr>
            <w:r>
              <w:t>计量单位</w:t>
            </w:r>
          </w:p>
        </w:tc>
        <w:tc>
          <w:tcPr>
            <w:tcW w:w="1234"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减免税销售数量</w:t>
            </w:r>
          </w:p>
        </w:tc>
        <w:tc>
          <w:tcPr>
            <w:tcW w:w="922" w:type="dxa"/>
            <w:tcBorders>
              <w:top w:val="single" w:color="000000" w:sz="4" w:space="0"/>
              <w:left w:val="single" w:color="000000" w:sz="4" w:space="0"/>
              <w:bottom w:val="single" w:color="000000" w:sz="4" w:space="0"/>
              <w:right w:val="nil"/>
            </w:tcBorders>
          </w:tcPr>
          <w:p>
            <w:pPr>
              <w:spacing w:after="0" w:line="259" w:lineRule="auto"/>
              <w:ind w:left="0" w:right="-67" w:firstLine="0"/>
              <w:jc w:val="right"/>
            </w:pPr>
            <w:r>
              <w:t>减免税销售额</w:t>
            </w:r>
          </w:p>
        </w:tc>
        <w:tc>
          <w:tcPr>
            <w:tcW w:w="427"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192"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41" w:firstLine="0"/>
              <w:jc w:val="both"/>
            </w:pPr>
            <w:r>
              <w:t>适用税率</w:t>
            </w:r>
          </w:p>
        </w:tc>
        <w:tc>
          <w:tcPr>
            <w:tcW w:w="1307"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97" w:firstLine="0"/>
            </w:pPr>
            <w:r>
              <w:t>减征比例</w:t>
            </w:r>
          </w:p>
        </w:tc>
        <w:tc>
          <w:tcPr>
            <w:tcW w:w="2657"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1" w:firstLine="0"/>
              <w:jc w:val="center"/>
            </w:pPr>
            <w:r>
              <w:t>本期减免税额</w:t>
            </w:r>
          </w:p>
        </w:tc>
      </w:tr>
      <w:tr>
        <w:tblPrEx>
          <w:tblCellMar>
            <w:top w:w="56" w:type="dxa"/>
            <w:left w:w="136" w:type="dxa"/>
            <w:bottom w:w="0" w:type="dxa"/>
            <w:right w:w="0" w:type="dxa"/>
          </w:tblCellMar>
        </w:tblPrEx>
        <w:trPr>
          <w:trHeight w:val="32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4" w:firstLine="0"/>
              <w:jc w:val="center"/>
            </w:pPr>
            <w:r>
              <w:rPr>
                <w:sz w:val="24"/>
              </w:rPr>
              <w:t>1</w:t>
            </w:r>
          </w:p>
        </w:tc>
        <w:tc>
          <w:tcPr>
            <w:tcW w:w="106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22" w:firstLine="0"/>
              <w:jc w:val="center"/>
            </w:pPr>
            <w:r>
              <w:rPr>
                <w:sz w:val="24"/>
              </w:rPr>
              <w:t>2</w:t>
            </w:r>
          </w:p>
        </w:tc>
        <w:tc>
          <w:tcPr>
            <w:tcW w:w="1889"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21" w:firstLine="0"/>
              <w:jc w:val="center"/>
            </w:pPr>
            <w:r>
              <w:rPr>
                <w:sz w:val="24"/>
              </w:rPr>
              <w:t>3</w:t>
            </w:r>
          </w:p>
        </w:tc>
        <w:tc>
          <w:tcPr>
            <w:tcW w:w="1187"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9" w:firstLine="0"/>
              <w:jc w:val="center"/>
            </w:pPr>
            <w:r>
              <w:rPr>
                <w:sz w:val="24"/>
              </w:rPr>
              <w:t>4</w:t>
            </w:r>
          </w:p>
        </w:tc>
        <w:tc>
          <w:tcPr>
            <w:tcW w:w="123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6" w:firstLine="0"/>
              <w:jc w:val="center"/>
            </w:pPr>
            <w:r>
              <w:rPr>
                <w:sz w:val="24"/>
              </w:rPr>
              <w:t>5</w:t>
            </w:r>
          </w:p>
        </w:tc>
        <w:tc>
          <w:tcPr>
            <w:tcW w:w="922" w:type="dxa"/>
            <w:vMerge w:val="restart"/>
            <w:tcBorders>
              <w:top w:val="single" w:color="000000" w:sz="4" w:space="0"/>
              <w:left w:val="single" w:color="000000" w:sz="4" w:space="0"/>
              <w:bottom w:val="single" w:color="000000" w:sz="4" w:space="0"/>
              <w:right w:val="nil"/>
            </w:tcBorders>
            <w:vAlign w:val="center"/>
          </w:tcPr>
          <w:p>
            <w:pPr>
              <w:spacing w:after="0" w:line="259" w:lineRule="auto"/>
              <w:ind w:left="290" w:firstLine="0"/>
              <w:jc w:val="center"/>
            </w:pPr>
            <w:r>
              <w:rPr>
                <w:sz w:val="24"/>
              </w:rPr>
              <w:t>6</w:t>
            </w:r>
          </w:p>
        </w:tc>
        <w:tc>
          <w:tcPr>
            <w:tcW w:w="427" w:type="dxa"/>
            <w:vMerge w:val="restart"/>
            <w:tcBorders>
              <w:top w:val="single" w:color="000000" w:sz="4" w:space="0"/>
              <w:left w:val="nil"/>
              <w:bottom w:val="single" w:color="000000" w:sz="4" w:space="0"/>
              <w:right w:val="single" w:color="000000" w:sz="4" w:space="0"/>
            </w:tcBorders>
          </w:tcPr>
          <w:p>
            <w:pPr>
              <w:spacing w:after="160" w:line="259" w:lineRule="auto"/>
              <w:ind w:left="0" w:firstLine="0"/>
            </w:pPr>
          </w:p>
        </w:tc>
        <w:tc>
          <w:tcPr>
            <w:tcW w:w="1192"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4" w:firstLine="0"/>
              <w:jc w:val="center"/>
            </w:pPr>
            <w:r>
              <w:rPr>
                <w:sz w:val="24"/>
              </w:rPr>
              <w:t>7</w:t>
            </w:r>
          </w:p>
        </w:tc>
        <w:tc>
          <w:tcPr>
            <w:tcW w:w="1307"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37" w:firstLine="0"/>
              <w:jc w:val="center"/>
            </w:pPr>
            <w:r>
              <w:rPr>
                <w:sz w:val="24"/>
              </w:rPr>
              <w:t>8</w:t>
            </w:r>
          </w:p>
        </w:tc>
        <w:tc>
          <w:tcPr>
            <w:tcW w:w="2657"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37" w:firstLine="0"/>
              <w:jc w:val="center"/>
            </w:pPr>
            <w:r>
              <w:t>9①=5×7×8</w:t>
            </w:r>
          </w:p>
        </w:tc>
      </w:tr>
      <w:tr>
        <w:tblPrEx>
          <w:tblCellMar>
            <w:top w:w="56" w:type="dxa"/>
            <w:left w:w="136"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single" w:color="000000" w:sz="4" w:space="0"/>
            </w:tcBorders>
          </w:tcPr>
          <w:p>
            <w:pPr>
              <w:spacing w:after="160" w:line="259" w:lineRule="auto"/>
              <w:ind w:left="0" w:firstLine="0"/>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657"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37" w:firstLine="0"/>
              <w:jc w:val="center"/>
            </w:pPr>
            <w:r>
              <w:t>9②=6×7×8</w:t>
            </w:r>
          </w:p>
        </w:tc>
      </w:tr>
      <w:tr>
        <w:tblPrEx>
          <w:tblCellMar>
            <w:top w:w="56" w:type="dxa"/>
            <w:left w:w="136" w:type="dxa"/>
            <w:bottom w:w="0" w:type="dxa"/>
            <w:right w:w="0" w:type="dxa"/>
          </w:tblCellMar>
        </w:tblPrEx>
        <w:trPr>
          <w:trHeight w:val="322" w:hRule="atLeast"/>
        </w:trPr>
        <w:tc>
          <w:tcPr>
            <w:tcW w:w="83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38" w:firstLine="0"/>
              <w:jc w:val="center"/>
            </w:pPr>
            <w:r>
              <w:t>1</w:t>
            </w:r>
          </w:p>
        </w:tc>
        <w:tc>
          <w:tcPr>
            <w:tcW w:w="125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6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88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8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3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2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427"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192"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0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65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136" w:type="dxa"/>
            <w:bottom w:w="0" w:type="dxa"/>
            <w:right w:w="0" w:type="dxa"/>
          </w:tblCellMar>
        </w:tblPrEx>
        <w:trPr>
          <w:trHeight w:val="322" w:hRule="atLeast"/>
        </w:trPr>
        <w:tc>
          <w:tcPr>
            <w:tcW w:w="83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38" w:firstLine="0"/>
              <w:jc w:val="center"/>
            </w:pPr>
            <w:r>
              <w:t>2</w:t>
            </w:r>
          </w:p>
        </w:tc>
        <w:tc>
          <w:tcPr>
            <w:tcW w:w="125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6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88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8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3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2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427"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192"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0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65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136" w:type="dxa"/>
            <w:bottom w:w="0" w:type="dxa"/>
            <w:right w:w="0" w:type="dxa"/>
          </w:tblCellMar>
        </w:tblPrEx>
        <w:trPr>
          <w:trHeight w:val="334" w:hRule="atLeast"/>
        </w:trPr>
        <w:tc>
          <w:tcPr>
            <w:tcW w:w="836" w:type="dxa"/>
            <w:tcBorders>
              <w:top w:val="single" w:color="000000" w:sz="4" w:space="0"/>
              <w:left w:val="single" w:color="000000" w:sz="4" w:space="0"/>
              <w:bottom w:val="single" w:color="000000" w:sz="4" w:space="0"/>
              <w:right w:val="single" w:color="000000" w:sz="4" w:space="0"/>
            </w:tcBorders>
          </w:tcPr>
          <w:p>
            <w:pPr>
              <w:spacing w:after="0" w:line="259" w:lineRule="auto"/>
              <w:ind w:left="32" w:firstLine="0"/>
            </w:pPr>
            <w:r>
              <w:t>合计</w:t>
            </w:r>
          </w:p>
        </w:tc>
        <w:tc>
          <w:tcPr>
            <w:tcW w:w="125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6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88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8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3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2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427"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192"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0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657"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0" w:line="259" w:lineRule="auto"/>
        <w:ind w:left="0" w:right="4" w:firstLine="0"/>
        <w:jc w:val="center"/>
      </w:pPr>
      <w:r>
        <w:rPr>
          <w:rFonts w:ascii="Times New Roman" w:hAnsi="Times New Roman" w:eastAsia="Times New Roman" w:cs="Times New Roman"/>
          <w:sz w:val="18"/>
        </w:rPr>
        <w:t>14</w:t>
      </w:r>
    </w:p>
    <w:p>
      <w:pPr>
        <w:ind w:right="5354"/>
      </w:pPr>
      <w:r>
        <w:t>填表说明：税款所属期限：纳税人申报资源税所属期的起止时间，应填写具体的年、月、日。</w:t>
      </w:r>
    </w:p>
    <w:p>
      <w:pPr>
        <w:spacing w:after="3" w:line="262" w:lineRule="auto"/>
      </w:pPr>
      <w:r>
        <w:rPr>
          <w:u w:val="single" w:color="000000"/>
        </w:rPr>
        <w:t>申报计算明细</w:t>
      </w:r>
    </w:p>
    <w:p>
      <w:r>
        <w:t>1.申报从量计征税目的资源税纳税人需填写1-6栏。申报从价计征税目的资源税纳税人需填写1-4、7-10栏。无发生数额的，应填写0。不涉及外购应税产品购进数量扣减的，第5栏填0；不涉及运杂费扣除的，第8栏填写0；不涉及外购应税产品购进金额扣减的，第9栏填写0。</w:t>
      </w:r>
    </w:p>
    <w:p>
      <w:r>
        <w:t>2．第1栏“税目”：按照《中华人民共和国资源税法》后附《资源税税目税率表》规定的税目填写。多个税目的，可增加行次。</w:t>
      </w:r>
    </w:p>
    <w:p>
      <w:r>
        <w:t>3. 第2栏“子目”：填写同一税目下不同的征税对象或明细项目，如“原矿”“选矿”等。</w:t>
      </w:r>
    </w:p>
    <w:p>
      <w:r>
        <w:t>4．第3栏“计量单位”：填写计税销售数量的计量单位，如“吨”“立方米”等。</w:t>
      </w:r>
    </w:p>
    <w:p>
      <w:pPr>
        <w:numPr>
          <w:ilvl w:val="0"/>
          <w:numId w:val="1"/>
        </w:numPr>
        <w:ind w:hanging="314"/>
      </w:pPr>
      <w:r>
        <w:t>第4栏“销售数量”：填写纳税人当期应税产品的销售数量，包括实际销售和自用两部分。实际销售的应税产品销售数量按其增值税发票等票据注明的数量填写或计算填写；票据上未注明数量的，填写与应税产品销售额对应的销售数量。自用的应税产品销售数量据实填写。</w:t>
      </w:r>
    </w:p>
    <w:p>
      <w:pPr>
        <w:numPr>
          <w:ilvl w:val="0"/>
          <w:numId w:val="1"/>
        </w:numPr>
        <w:ind w:hanging="314"/>
      </w:pPr>
      <w:r>
        <w:t>第5栏“准予扣减的外购应税产品购进数量”：填写按规定准予扣减的外购应税产品购进数量。扣减限额以第6栏“计税销售数量”减至0为限，当期不足扣减或未扣减的，可结转下期扣减。</w:t>
      </w:r>
    </w:p>
    <w:p>
      <w:pPr>
        <w:numPr>
          <w:ilvl w:val="0"/>
          <w:numId w:val="1"/>
        </w:numPr>
        <w:ind w:hanging="314"/>
      </w:pPr>
      <w:r>
        <w:t>第7栏“销售额”：填写纳税人当期应税产品的销售额，包括实际销售和自用两部分。实际销售的应税产品销售额按其增值税发票等票据注明的金额填写或计算填写。自用的应税产品销售额按规定计算填写。</w:t>
      </w:r>
    </w:p>
    <w:p>
      <w:pPr>
        <w:numPr>
          <w:ilvl w:val="0"/>
          <w:numId w:val="1"/>
        </w:numPr>
        <w:ind w:hanging="314"/>
      </w:pPr>
      <w:r>
        <w:t>第8栏“准予扣除的运杂费”：填写按规定准予扣除的运杂费用。</w:t>
      </w:r>
    </w:p>
    <w:p>
      <w:pPr>
        <w:numPr>
          <w:ilvl w:val="0"/>
          <w:numId w:val="1"/>
        </w:numPr>
        <w:ind w:hanging="314"/>
      </w:pPr>
      <w:r>
        <w:t>第9栏“准予扣减的外购应税产品购进金额”：填写按规定准予扣减的外购应税产品购进金额。当期不足扣减或未扣减的，可结转下期扣减。</w:t>
      </w:r>
    </w:p>
    <w:p>
      <w:r>
        <w:t>10．第8栏“准予扣减的运杂费”、第9栏“准予扣减的外购应税产品购进金额”扣减限额之和以第10栏“计税销售额”减至0为限。</w:t>
      </w:r>
    </w:p>
    <w:p>
      <w:pPr>
        <w:spacing w:after="3" w:line="262" w:lineRule="auto"/>
      </w:pPr>
      <w:r>
        <w:rPr>
          <w:u w:val="single" w:color="000000"/>
        </w:rPr>
        <w:t>减免税计算明细</w:t>
      </w:r>
    </w:p>
    <w:p>
      <w:r>
        <w:t>1．适用于有减免资源税项目（增值税小规模纳税人减征政策除外）的纳税人填写。如不涉及减免税事项，纳税人不需填写，系统会将“本期减免税额” 默认为0。</w:t>
      </w:r>
    </w:p>
    <w:p>
      <w:r>
        <w:t>2．第1栏“税目”：按照《中华人民共和国资源税法》后附《资源税税目税率表》规定的税目填写。多个税目的，可增加行次。</w:t>
      </w:r>
    </w:p>
    <w:p>
      <w:r>
        <w:t>3．第2栏“子目”：同一税目适用的减免性质代码、税率不同的，视为不同的子目，按相应的减免税销售额和销售数量分行填写。</w:t>
      </w:r>
    </w:p>
    <w:p>
      <w:r>
        <w:t>4. 第3栏“减免性质代码和项目名称”：有减免税情况的必填，按照税务机关最新制发的减免税政策代码表中最细项减免性质代码填写。</w:t>
      </w:r>
    </w:p>
    <w:p>
      <w:r>
        <w:t>5．第4栏 “计量单位”：填写计税销售数量的计量单位，如“吨”“立方米”等。</w:t>
      </w:r>
    </w:p>
    <w:p>
      <w:r>
        <w:t>6．第5栏“减免税销售数量”：填写减免资源税项目对应的应税产品销售数量，申报从量计征税目和从价计征税目的纳税人均应填写。</w:t>
      </w:r>
    </w:p>
    <w:p>
      <w:r>
        <w:t>7．第6栏“减免税销售额”：填写减免资源税项目对应的应税产品销售收入，由申报从价计征税目的纳税人填写。</w:t>
      </w:r>
    </w:p>
    <w:p>
      <w:r>
        <w:t>8．第7栏“适用税率”：填写《中华人民共和国资源税法》后附《资源税税目税率表》规定的应税产品具体适用税率或各省、自治区、直辖市公布的应税产品具体适用税率。从价计征税目的适用税率为比例税率，如原油资源税率为6%，即填6%；从量计征税目的适用税率为定额税率，如某税目每立方米</w:t>
      </w:r>
    </w:p>
    <w:p>
      <w:r>
        <w:t>3元，即填3。</w:t>
      </w:r>
    </w:p>
    <w:p>
      <w:r>
        <w:t>9．第8栏“减征比例”：填写减免税额占应纳税额的比例，免税项目的减征比例按100%填写。</w:t>
      </w:r>
    </w:p>
    <w:p>
      <w:r>
        <w:t>10．第9栏“本期减免税额”：填写本期应纳税额中按规定应予减免的部分。申报从量计征税目的纳税人适用的计算公式为：9①=5×7×8。申报从价计征税目的纳税人适用的计算公式为：9②=6×7×8。</w:t>
      </w:r>
    </w:p>
    <w:p/>
    <w:p/>
    <w:p/>
    <w:p/>
    <w:p/>
    <w:p/>
    <w:p/>
    <w:p>
      <w:pPr>
        <w:rPr>
          <w:rFonts w:hint="eastAsia" w:ascii="宋体" w:hAnsi="宋体" w:eastAsia="宋体" w:cs="宋体"/>
          <w:i w:val="0"/>
          <w:caps w:val="0"/>
          <w:color w:val="0070C0"/>
          <w:spacing w:val="0"/>
          <w:sz w:val="24"/>
          <w:szCs w:val="24"/>
          <w:shd w:val="clear" w:fill="FFFFFF"/>
        </w:rPr>
      </w:pP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"http://ssfb86.com/index/News/detail/newsid/8838.html" </w:instrText>
      </w:r>
      <w:r>
        <w:rPr>
          <w:rFonts w:hint="eastAsia" w:ascii="宋体" w:hAnsi="宋体" w:eastAsia="宋体" w:cs="宋体"/>
          <w:i w:val="0"/>
          <w:caps w:val="0"/>
          <w:color w:val="6E6E6E"/>
          <w:spacing w:val="0"/>
          <w:sz w:val="24"/>
          <w:szCs w:val="24"/>
          <w:u w:val="single"/>
          <w:shd w:val="clear" w:fill="FFFFFF"/>
        </w:rPr>
        <w:fldChar w:fldCharType="separate"/>
      </w:r>
      <w:r>
        <w:rPr>
          <w:rStyle w:val="14"/>
          <w:rFonts w:hint="eastAsia" w:ascii="宋体" w:hAnsi="宋体" w:eastAsia="宋体" w:cs="宋体"/>
          <w:i w:val="0"/>
          <w:caps w:val="0"/>
          <w:color w:val="6E6E6E"/>
          <w:spacing w:val="0"/>
          <w:sz w:val="24"/>
          <w:szCs w:val="24"/>
          <w:u w:val="single"/>
          <w:shd w:val="clear" w:fill="FFFFFF"/>
        </w:rPr>
        <w:t>国家税务总局公告2021年第9号</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附件2</w:t>
      </w:r>
    </w:p>
    <w:p>
      <w:pPr>
        <w:rPr>
          <w:rFonts w:hint="eastAsia" w:ascii="宋体" w:hAnsi="宋体" w:eastAsia="宋体" w:cs="宋体"/>
          <w:i w:val="0"/>
          <w:caps w:val="0"/>
          <w:color w:val="0070C0"/>
          <w:spacing w:val="0"/>
          <w:sz w:val="24"/>
          <w:szCs w:val="24"/>
          <w:shd w:val="clear" w:fill="FFFFFF"/>
        </w:rPr>
      </w:pPr>
    </w:p>
    <w:p>
      <w:pPr>
        <w:pStyle w:val="3"/>
        <w:spacing w:after="51"/>
        <w:ind w:left="857" w:right="1056"/>
      </w:pPr>
      <w:r>
        <w:t>耕地占用税税源明细表</w:t>
      </w:r>
    </w:p>
    <w:p>
      <w:pPr>
        <w:spacing w:after="88"/>
        <w:ind w:left="363"/>
      </w:pPr>
      <w:r>
        <w:t>纳税人识别号（统一社会信用代码）：□□□□□□□□□□□□□□□□□□</w:t>
      </w:r>
    </w:p>
    <w:p>
      <w:pPr>
        <w:tabs>
          <w:tab w:val="center" w:pos="11586"/>
        </w:tabs>
        <w:ind w:left="0" w:firstLine="0"/>
      </w:pPr>
      <w:r>
        <w:t>纳税人名称：</w:t>
      </w:r>
      <w:r>
        <w:tab/>
      </w:r>
      <w:r>
        <w:t>面积单位：平方米；金额单位：人民币元（列至角分）</w:t>
      </w:r>
    </w:p>
    <w:tbl>
      <w:tblPr>
        <w:tblStyle w:val="18"/>
        <w:tblW w:w="14174" w:type="dxa"/>
        <w:tblInd w:w="245" w:type="dxa"/>
        <w:tblLayout w:type="autofit"/>
        <w:tblCellMar>
          <w:top w:w="55" w:type="dxa"/>
          <w:left w:w="108" w:type="dxa"/>
          <w:bottom w:w="0" w:type="dxa"/>
          <w:right w:w="62" w:type="dxa"/>
        </w:tblCellMar>
      </w:tblPr>
      <w:tblGrid>
        <w:gridCol w:w="1380"/>
        <w:gridCol w:w="2577"/>
        <w:gridCol w:w="2268"/>
        <w:gridCol w:w="1259"/>
        <w:gridCol w:w="995"/>
        <w:gridCol w:w="264"/>
        <w:gridCol w:w="1570"/>
        <w:gridCol w:w="2157"/>
        <w:gridCol w:w="1704"/>
      </w:tblGrid>
      <w:tr>
        <w:tblPrEx>
          <w:tblCellMar>
            <w:top w:w="55" w:type="dxa"/>
            <w:left w:w="108" w:type="dxa"/>
            <w:bottom w:w="0" w:type="dxa"/>
            <w:right w:w="62" w:type="dxa"/>
          </w:tblCellMar>
        </w:tblPrEx>
        <w:trPr>
          <w:trHeight w:val="71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t>占地方式</w:t>
            </w:r>
          </w:p>
        </w:tc>
        <w:tc>
          <w:tcPr>
            <w:tcW w:w="2577" w:type="dxa"/>
            <w:vMerge w:val="restart"/>
            <w:tcBorders>
              <w:top w:val="single" w:color="000000" w:sz="4" w:space="0"/>
              <w:left w:val="single" w:color="000000" w:sz="4" w:space="0"/>
              <w:bottom w:val="single" w:color="000000" w:sz="4" w:space="0"/>
              <w:right w:val="single" w:color="000000" w:sz="4" w:space="0"/>
            </w:tcBorders>
            <w:vAlign w:val="center"/>
          </w:tcPr>
          <w:p>
            <w:pPr>
              <w:spacing w:after="18" w:line="259" w:lineRule="auto"/>
              <w:ind w:left="0" w:firstLine="0"/>
            </w:pPr>
            <w:r>
              <w:t>1.经批准按批次转用□</w:t>
            </w:r>
          </w:p>
          <w:p>
            <w:pPr>
              <w:spacing w:after="18" w:line="259" w:lineRule="auto"/>
              <w:ind w:left="0" w:firstLine="0"/>
              <w:jc w:val="both"/>
            </w:pPr>
            <w:r>
              <w:t>2.经批准单独选址转用□</w:t>
            </w:r>
          </w:p>
          <w:p>
            <w:pPr>
              <w:spacing w:after="0" w:line="259" w:lineRule="auto"/>
              <w:ind w:left="0" w:firstLine="0"/>
            </w:pPr>
            <w:r>
              <w:t>3.经批准临时占用□</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5" w:firstLine="0"/>
            </w:pPr>
            <w:r>
              <w:t>项目（批次）名称</w:t>
            </w:r>
          </w:p>
        </w:tc>
        <w:tc>
          <w:tcPr>
            <w:tcW w:w="225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78" w:firstLine="0"/>
            </w:pPr>
            <w:r>
              <w:t>批准占地文号</w:t>
            </w:r>
          </w:p>
        </w:tc>
        <w:tc>
          <w:tcPr>
            <w:tcW w:w="386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8" w:type="dxa"/>
            <w:bottom w:w="0" w:type="dxa"/>
            <w:right w:w="62" w:type="dxa"/>
          </w:tblCellMar>
        </w:tblPrEx>
        <w:trPr>
          <w:trHeight w:val="775"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7" w:firstLine="0"/>
              <w:jc w:val="center"/>
            </w:pPr>
            <w:r>
              <w:t>批准占地部门</w:t>
            </w:r>
          </w:p>
        </w:tc>
        <w:tc>
          <w:tcPr>
            <w:tcW w:w="225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1" w:firstLine="0"/>
              <w:jc w:val="both"/>
            </w:pPr>
            <w:r>
              <w:t>经批准占地面积</w:t>
            </w:r>
          </w:p>
        </w:tc>
        <w:tc>
          <w:tcPr>
            <w:tcW w:w="386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8" w:type="dxa"/>
            <w:bottom w:w="0" w:type="dxa"/>
            <w:right w:w="62" w:type="dxa"/>
          </w:tblCellMar>
        </w:tblPrEx>
        <w:trPr>
          <w:trHeight w:val="94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收到书面通知日期（或收到经批准改变原占地用途日期）</w:t>
            </w:r>
          </w:p>
        </w:tc>
        <w:tc>
          <w:tcPr>
            <w:tcW w:w="225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5" w:firstLine="0"/>
              <w:jc w:val="center"/>
            </w:pPr>
            <w:r>
              <w:t>年月日</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9" w:firstLine="0"/>
              <w:jc w:val="center"/>
            </w:pPr>
            <w:r>
              <w:t>批准时间</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51" w:firstLine="0"/>
              <w:jc w:val="center"/>
            </w:pPr>
            <w:r>
              <w:t>年月日</w:t>
            </w:r>
          </w:p>
        </w:tc>
      </w:tr>
      <w:tr>
        <w:tblPrEx>
          <w:tblCellMar>
            <w:top w:w="55" w:type="dxa"/>
            <w:left w:w="108" w:type="dxa"/>
            <w:bottom w:w="0" w:type="dxa"/>
            <w:right w:w="62" w:type="dxa"/>
          </w:tblCellMar>
        </w:tblPrEx>
        <w:trPr>
          <w:trHeight w:val="946"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57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t>4.未批先占□</w:t>
            </w:r>
          </w:p>
        </w:tc>
        <w:tc>
          <w:tcPr>
            <w:tcW w:w="2268"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79"/>
            </w:pPr>
            <w:r>
              <w:t>认定的实际占地日期（或认定的未经批准改变原占地用途日期）</w:t>
            </w:r>
          </w:p>
        </w:tc>
        <w:tc>
          <w:tcPr>
            <w:tcW w:w="4088" w:type="dxa"/>
            <w:gridSpan w:val="4"/>
            <w:tcBorders>
              <w:top w:val="single" w:color="000000" w:sz="4" w:space="0"/>
              <w:left w:val="single" w:color="000000" w:sz="4" w:space="0"/>
              <w:bottom w:val="single" w:color="000000" w:sz="4" w:space="0"/>
              <w:right w:val="single" w:color="000000" w:sz="4" w:space="0"/>
            </w:tcBorders>
            <w:vAlign w:val="center"/>
          </w:tcPr>
          <w:p>
            <w:pPr>
              <w:tabs>
                <w:tab w:val="center" w:pos="1358"/>
                <w:tab w:val="center" w:pos="1987"/>
                <w:tab w:val="center" w:pos="2512"/>
              </w:tabs>
              <w:spacing w:after="0" w:line="259" w:lineRule="auto"/>
              <w:ind w:left="0" w:firstLine="0"/>
            </w:pPr>
            <w:r>
              <w:rPr>
                <w:rFonts w:ascii="Calibri" w:hAnsi="Calibri" w:eastAsia="Calibri" w:cs="Calibri"/>
                <w:sz w:val="22"/>
              </w:rPr>
              <w:tab/>
            </w:r>
            <w:r>
              <w:t>年</w:t>
            </w:r>
            <w:r>
              <w:tab/>
            </w:r>
            <w:r>
              <w:t>月</w:t>
            </w:r>
            <w:r>
              <w:tab/>
            </w:r>
            <w:r>
              <w:t>日</w:t>
            </w:r>
          </w:p>
        </w:tc>
        <w:tc>
          <w:tcPr>
            <w:tcW w:w="215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4" w:firstLine="0"/>
              <w:jc w:val="both"/>
            </w:pPr>
            <w:r>
              <w:t>认定的实际占地面积</w:t>
            </w:r>
          </w:p>
        </w:tc>
        <w:tc>
          <w:tcPr>
            <w:tcW w:w="170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8" w:type="dxa"/>
            <w:bottom w:w="0" w:type="dxa"/>
            <w:right w:w="62" w:type="dxa"/>
          </w:tblCellMar>
        </w:tblPrEx>
        <w:trPr>
          <w:trHeight w:val="610"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t>损毁耕地</w:t>
            </w:r>
          </w:p>
        </w:tc>
        <w:tc>
          <w:tcPr>
            <w:tcW w:w="484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jc w:val="center"/>
            </w:pPr>
            <w:r>
              <w:t>挖损□ 采矿塌陷□ 压占□ 污染□</w:t>
            </w:r>
          </w:p>
        </w:tc>
        <w:tc>
          <w:tcPr>
            <w:tcW w:w="225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5" w:firstLine="0"/>
              <w:jc w:val="both"/>
            </w:pPr>
            <w:r>
              <w:t>认定的损毁耕地日期</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3" w:firstLine="0"/>
              <w:jc w:val="center"/>
            </w:pPr>
            <w:r>
              <w:t>年月日</w:t>
            </w:r>
          </w:p>
        </w:tc>
        <w:tc>
          <w:tcPr>
            <w:tcW w:w="215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4" w:firstLine="0"/>
              <w:jc w:val="both"/>
            </w:pPr>
            <w:r>
              <w:t>认定的损毁耕地面积</w:t>
            </w:r>
          </w:p>
        </w:tc>
        <w:tc>
          <w:tcPr>
            <w:tcW w:w="170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8" w:type="dxa"/>
            <w:bottom w:w="0" w:type="dxa"/>
            <w:right w:w="62" w:type="dxa"/>
          </w:tblCellMar>
        </w:tblPrEx>
        <w:trPr>
          <w:trHeight w:val="790"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t>税源编号</w:t>
            </w:r>
          </w:p>
        </w:tc>
        <w:tc>
          <w:tcPr>
            <w:tcW w:w="257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8" w:firstLine="0"/>
              <w:jc w:val="center"/>
            </w:pPr>
            <w:r>
              <w:t>占地位置</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50" w:firstLine="0"/>
              <w:jc w:val="center"/>
            </w:pPr>
            <w:r>
              <w:t>占地用途</w:t>
            </w:r>
          </w:p>
        </w:tc>
        <w:tc>
          <w:tcPr>
            <w:tcW w:w="125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1" w:firstLine="0"/>
            </w:pPr>
            <w:r>
              <w:t>征收品目</w:t>
            </w:r>
          </w:p>
        </w:tc>
        <w:tc>
          <w:tcPr>
            <w:tcW w:w="125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0" w:firstLine="0"/>
            </w:pPr>
            <w:r>
              <w:t>适用税额</w:t>
            </w:r>
          </w:p>
        </w:tc>
        <w:tc>
          <w:tcPr>
            <w:tcW w:w="157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57" w:firstLine="0"/>
            </w:pPr>
            <w:r>
              <w:t>计税面积</w:t>
            </w:r>
          </w:p>
        </w:tc>
        <w:tc>
          <w:tcPr>
            <w:tcW w:w="215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减免性质代码和项目名称</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19" w:firstLine="0"/>
            </w:pPr>
            <w:r>
              <w:t>减免税面积</w:t>
            </w:r>
          </w:p>
        </w:tc>
      </w:tr>
      <w:tr>
        <w:tblPrEx>
          <w:tblCellMar>
            <w:top w:w="55" w:type="dxa"/>
            <w:left w:w="108" w:type="dxa"/>
            <w:bottom w:w="0" w:type="dxa"/>
            <w:right w:w="62" w:type="dxa"/>
          </w:tblCellMar>
        </w:tblPrEx>
        <w:trPr>
          <w:trHeight w:val="507" w:hRule="atLeast"/>
        </w:trPr>
        <w:tc>
          <w:tcPr>
            <w:tcW w:w="13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7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5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5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15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8" w:type="dxa"/>
            <w:bottom w:w="0" w:type="dxa"/>
            <w:right w:w="62" w:type="dxa"/>
          </w:tblCellMar>
        </w:tblPrEx>
        <w:trPr>
          <w:trHeight w:val="610" w:hRule="atLeast"/>
        </w:trPr>
        <w:tc>
          <w:tcPr>
            <w:tcW w:w="13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7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5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5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15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8" w:type="dxa"/>
            <w:bottom w:w="0" w:type="dxa"/>
            <w:right w:w="62" w:type="dxa"/>
          </w:tblCellMar>
        </w:tblPrEx>
        <w:trPr>
          <w:trHeight w:val="610" w:hRule="atLeast"/>
        </w:trPr>
        <w:tc>
          <w:tcPr>
            <w:tcW w:w="13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7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5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5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15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r>
        <w:t>填表说明：</w:t>
      </w:r>
    </w:p>
    <w:p>
      <w:r>
        <w:t>1.本申报表适用于在中华人民共和国境内占用耕地建设建筑物、构筑物或者从事非农业建设的单位和个人。耕地占用税纳税人应当在纳税义务发生之日起30日内填报本表，向耕地所在地税务机关申报纳税。</w:t>
      </w:r>
    </w:p>
    <w:p>
      <w:r>
        <w:t>2.占地方式：必选。根据实际情况选择“经批准按批次转用”“经批准单独选址转用”“经批准临时占用”“未批先占”四项之一，限选一项。当选择“经批准按批次转用”“经批准单独选址转用”“经批准临时占用”三项时，项目（批次）名称、批准占地文号、批准占地部门、经批准占地面积、收到书面通知日期（或收到经批准改变原占地用途日期）、批准时间为必填项；选择“未批先占”时，认定的实际占地日期（或认定的未经批准改变原占地用途日期）、认定的实际占地面积为必填项。</w:t>
      </w:r>
    </w:p>
    <w:p>
      <w:r>
        <w:t>3.项目（批次）名称：经批准按批次转用、经批准单独选址转用、经批准临时占用等占地方式，必填。按照农用地转用审批文件中标明的项目或批次名称填写。</w:t>
      </w:r>
    </w:p>
    <w:p>
      <w:r>
        <w:t>4.批准占地文号：经批准按批次转用、经批准单独选址转用、经批准临时占用等占地方式，必填。填写批准占地的农用地转用审批文件的文号。</w:t>
      </w:r>
    </w:p>
    <w:p>
      <w:r>
        <w:t>5.批准占地部门：经批准按批次转用、经批准单独选址转用、经批准临时占用等占地方式，必填。填写批准占地的审批农用地转用的政府部门名称。</w:t>
      </w:r>
    </w:p>
    <w:p>
      <w:r>
        <w:t>6.经批准占地面积：经批准按批次转用、经批准单独选址转用、经批准临时占用等占地方式，必填。填写农用地转用审批文件中批准的农用地转用面积。</w:t>
      </w:r>
    </w:p>
    <w:p>
      <w:r>
        <w:t>7.收到书面通知日期（或收到经批准改变原占地用途日期）：经批准按批次转用、经批准单独选址转用、经批准临时占用等占地方式，必填。收到书面通知日期是指纳税人收到自然资源主管部门办理占用耕地手续的书面通知的当日；收到经批准改变原占地用途日期是指纳税人收到经批准改变原占地用途的批准文件的当日。</w:t>
      </w:r>
    </w:p>
    <w:p>
      <w:r>
        <w:t>8.批准时间：经批准按批次转用、经批准单独选址转用、经批准临时占用等占地方式，必填。填写农用地转用审批文件的批准日期。</w:t>
      </w:r>
    </w:p>
    <w:p>
      <w:r>
        <w:t>9.认定的实际占地日期（或认定的未经批准改变原占地用途日期）: 未批先占的，必填。按照《中华人民共和国耕地占用税法实施办法》（以下简称《实施办法》）第二十七条规定自然资源主管部门认定的纳税人实际占用耕地的当日填写；认定的未经批准改变原占地用途日期是指未经批准改变原占地用途的，经自然资源主管部门认定的纳税人改变原占地用途的当日。</w:t>
      </w:r>
    </w:p>
    <w:p>
      <w:r>
        <w:t>10.认定的实际占地面积：未批先占的，必填。按照《实施办法》第三十一条规定自然资源等相关部门认定的纳税人实际占用的面积填写。</w:t>
      </w:r>
    </w:p>
    <w:p>
      <w:r>
        <w:t>11.损毁耕地: 选填。按照《实施办法》第十九条确定的挖损、采矿塌陷、压占、污染四项损毁耕地行为进行选择，可多选。</w:t>
      </w:r>
    </w:p>
    <w:p>
      <w:r>
        <w:t>12.认定的损毁耕地日期：损毁耕地的，必填。按照《实施办法》第二十七条规定自然资源、农业农村等相关部门认定损毁耕地的日期填写。</w:t>
      </w:r>
    </w:p>
    <w:p>
      <w:r>
        <w:t>13.认定的损毁耕地面积：损毁耕地的，必填。按照《实施办法》第三十一条规定自然资源等相关部门认定的纳税人损毁耕地的面积填写。</w:t>
      </w:r>
    </w:p>
    <w:p>
      <w:r>
        <w:t>14.税源编号：系统自动生成，纳税人无需填写。</w:t>
      </w:r>
    </w:p>
    <w:p>
      <w:r>
        <w:t>15.占地位置：必填。占用应税土地所在的市、县、乡（镇）、村、组、路详细地址位置。</w:t>
      </w:r>
    </w:p>
    <w:p>
      <w:r>
        <w:t>16.占地用途：必填。（1）经批准占用：土地储备、交通基础设施建设、水利工程、工业建设、商业建设、住宅建设、农村居民建房、军事设施、学校、幼儿园、社会福利机构、医疗机构、其他；（2）未经批准占用：交通基础设施建设、工业建设、商业建设、住宅建设、农村居民建房、军事设施、学校、幼儿园、社会福利机构、医疗机构、其他。</w:t>
      </w:r>
    </w:p>
    <w:p>
      <w:r>
        <w:t>17.征收品目：必填。按被占用土地的占地类型选择：耕地_基本农田、耕地_非基本农田、园地、林地、草地、农田水利用地、养殖水面、渔业水域滩涂、苇田、其他。</w:t>
      </w:r>
    </w:p>
    <w:p>
      <w:r>
        <w:t>18.适用税额：指该地类在当地适用的单位税额，按征收品目和征收子目对应的单位适用税额填写，由各省税务机关自行配置。</w:t>
      </w:r>
    </w:p>
    <w:p>
      <w:r>
        <w:t>19.计税面积：必填。按被占用土地的占地位置、占地用途、征收品目划分，填写本条税源对应的应税土地面积，单位为平方米。</w:t>
      </w:r>
    </w:p>
    <w:p>
      <w:r>
        <w:t>20.减免性质代码和项目名称：有减免税情况的，必填。按照税务机关最新制发的减免税政策代码表中最细项减免性质代码填写。</w:t>
      </w:r>
    </w:p>
    <w:p>
      <w:r>
        <w:t>21.减免税面积：有减免税情况的，必填。填写本条税源对应的符合减免税政策的占地面积。</w:t>
      </w:r>
    </w:p>
    <w:p>
      <w:pPr>
        <w:sectPr>
          <w:footerReference r:id="rId7" w:type="first"/>
          <w:footerReference r:id="rId5" w:type="default"/>
          <w:footerReference r:id="rId6" w:type="even"/>
          <w:pgSz w:w="16838" w:h="11906" w:orient="landscape"/>
          <w:pgMar w:top="870" w:right="974" w:bottom="1227" w:left="1087" w:header="720" w:footer="495" w:gutter="0"/>
          <w:cols w:space="720" w:num="1"/>
        </w:sectPr>
      </w:pPr>
    </w:p>
    <w:p>
      <w:pPr>
        <w:tabs>
          <w:tab w:val="center" w:pos="2729"/>
          <w:tab w:val="center" w:pos="4305"/>
        </w:tabs>
        <w:spacing w:after="126" w:line="259" w:lineRule="auto"/>
        <w:ind w:left="0" w:firstLine="0"/>
        <w:rPr>
          <w:color w:val="262626"/>
        </w:rPr>
      </w:pP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"http://ssfb86.com/index/News/detail/newsid/8838.html" </w:instrText>
      </w:r>
      <w:r>
        <w:rPr>
          <w:rFonts w:hint="eastAsia" w:ascii="宋体" w:hAnsi="宋体" w:eastAsia="宋体" w:cs="宋体"/>
          <w:i w:val="0"/>
          <w:caps w:val="0"/>
          <w:color w:val="6E6E6E"/>
          <w:spacing w:val="0"/>
          <w:sz w:val="24"/>
          <w:szCs w:val="24"/>
          <w:u w:val="single"/>
          <w:shd w:val="clear" w:fill="FFFFFF"/>
        </w:rPr>
        <w:fldChar w:fldCharType="separate"/>
      </w:r>
      <w:r>
        <w:rPr>
          <w:rStyle w:val="14"/>
          <w:rFonts w:hint="eastAsia" w:ascii="宋体" w:hAnsi="宋体" w:eastAsia="宋体" w:cs="宋体"/>
          <w:i w:val="0"/>
          <w:caps w:val="0"/>
          <w:color w:val="6E6E6E"/>
          <w:spacing w:val="0"/>
          <w:sz w:val="24"/>
          <w:szCs w:val="24"/>
          <w:u w:val="single"/>
          <w:shd w:val="clear" w:fill="FFFFFF"/>
        </w:rPr>
        <w:t>国家税务总局公告2021年第9号</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附件2</w:t>
      </w:r>
    </w:p>
    <w:p>
      <w:pPr>
        <w:pStyle w:val="3"/>
        <w:spacing w:after="0"/>
        <w:ind w:left="501" w:firstLine="0"/>
      </w:pPr>
      <w:r>
        <w:rPr>
          <w:color w:val="262626"/>
        </w:rPr>
        <w:t>土地增值税税源明细表</w:t>
      </w:r>
    </w:p>
    <w:p>
      <w:pPr>
        <w:tabs>
          <w:tab w:val="center" w:pos="2729"/>
          <w:tab w:val="center" w:pos="4305"/>
        </w:tabs>
        <w:spacing w:after="126" w:line="259" w:lineRule="auto"/>
        <w:ind w:left="0" w:firstLine="0"/>
        <w:rPr>
          <w:color w:val="262626"/>
        </w:rPr>
      </w:pPr>
    </w:p>
    <w:p>
      <w:pPr>
        <w:tabs>
          <w:tab w:val="center" w:pos="2729"/>
          <w:tab w:val="center" w:pos="4305"/>
        </w:tabs>
        <w:spacing w:after="126" w:line="259" w:lineRule="auto"/>
        <w:ind w:left="0" w:firstLine="0"/>
      </w:pPr>
      <w:r>
        <w:fldChar w:fldCharType="begin"/>
      </w:r>
      <w:r>
        <w:instrText xml:space="preserve"> HYPERLINK "税款所属期" \l "_【问题】" </w:instrText>
      </w:r>
      <w:r>
        <w:fldChar w:fldCharType="separate"/>
      </w:r>
      <w:r>
        <w:rPr>
          <w:rStyle w:val="14"/>
        </w:rPr>
        <w:t>税款所属期限</w:t>
      </w:r>
      <w:r>
        <w:rPr>
          <w:rStyle w:val="14"/>
        </w:rPr>
        <w:fldChar w:fldCharType="end"/>
      </w:r>
      <w:r>
        <w:rPr>
          <w:color w:val="262626"/>
        </w:rPr>
        <w:t>：自</w:t>
      </w:r>
      <w:r>
        <w:rPr>
          <w:color w:val="262626"/>
        </w:rPr>
        <w:tab/>
      </w:r>
      <w:r>
        <w:rPr>
          <w:color w:val="262626"/>
        </w:rPr>
        <w:t>年月日至</w:t>
      </w:r>
      <w:r>
        <w:rPr>
          <w:color w:val="262626"/>
        </w:rPr>
        <w:tab/>
      </w:r>
      <w:r>
        <w:rPr>
          <w:color w:val="262626"/>
        </w:rPr>
        <w:t>年月日</w:t>
      </w:r>
    </w:p>
    <w:p>
      <w:pPr>
        <w:spacing w:after="100"/>
      </w:pPr>
      <w:r>
        <w:fldChar w:fldCharType="begin"/>
      </w:r>
      <w:r>
        <w:instrText xml:space="preserve"> HYPERLINK "纳税人" \l "_【问题】" </w:instrText>
      </w:r>
      <w:r>
        <w:fldChar w:fldCharType="separate"/>
      </w:r>
      <w:r>
        <w:rPr>
          <w:rStyle w:val="14"/>
        </w:rPr>
        <w:t>纳税人</w:t>
      </w:r>
      <w:r>
        <w:rPr>
          <w:rStyle w:val="14"/>
        </w:rPr>
        <w:fldChar w:fldCharType="end"/>
      </w:r>
      <w:r>
        <w:rPr>
          <w:color w:val="262626"/>
        </w:rPr>
        <w:t>识别号（统一社会信用代码）：</w:t>
      </w:r>
      <w:r>
        <w:t>□□□□□□□□□□□□□□□□□□</w:t>
      </w:r>
    </w:p>
    <w:p>
      <w:pPr>
        <w:tabs>
          <w:tab w:val="right" w:pos="9670"/>
        </w:tabs>
        <w:spacing w:after="0" w:line="259" w:lineRule="auto"/>
        <w:ind w:left="0" w:firstLine="0"/>
      </w:pPr>
      <w:r>
        <w:rPr>
          <w:color w:val="262626"/>
        </w:rPr>
        <w:t>纳税人名称：</w:t>
      </w:r>
      <w:r>
        <w:rPr>
          <w:color w:val="262626"/>
        </w:rPr>
        <w:tab/>
      </w:r>
      <w:r>
        <w:rPr>
          <w:color w:val="333333"/>
        </w:rPr>
        <w:t>金额单位：人民币元（列至角分）；面积单位：平方米</w:t>
      </w:r>
    </w:p>
    <w:tbl>
      <w:tblPr>
        <w:tblStyle w:val="18"/>
        <w:tblW w:w="10200" w:type="dxa"/>
        <w:tblInd w:w="-15" w:type="dxa"/>
        <w:tblLayout w:type="autofit"/>
        <w:tblCellMar>
          <w:top w:w="77" w:type="dxa"/>
          <w:left w:w="15" w:type="dxa"/>
          <w:bottom w:w="0" w:type="dxa"/>
          <w:right w:w="17" w:type="dxa"/>
        </w:tblCellMar>
      </w:tblPr>
      <w:tblGrid>
        <w:gridCol w:w="1053"/>
        <w:gridCol w:w="71"/>
        <w:gridCol w:w="498"/>
        <w:gridCol w:w="418"/>
        <w:gridCol w:w="164"/>
        <w:gridCol w:w="979"/>
        <w:gridCol w:w="341"/>
        <w:gridCol w:w="600"/>
        <w:gridCol w:w="481"/>
        <w:gridCol w:w="1199"/>
        <w:gridCol w:w="240"/>
        <w:gridCol w:w="1181"/>
        <w:gridCol w:w="215"/>
        <w:gridCol w:w="1021"/>
        <w:gridCol w:w="539"/>
        <w:gridCol w:w="1200"/>
      </w:tblGrid>
      <w:tr>
        <w:tblPrEx>
          <w:tblCellMar>
            <w:top w:w="77" w:type="dxa"/>
            <w:left w:w="15" w:type="dxa"/>
            <w:bottom w:w="0" w:type="dxa"/>
            <w:right w:w="17" w:type="dxa"/>
          </w:tblCellMar>
        </w:tblPrEx>
        <w:trPr>
          <w:trHeight w:val="430" w:hRule="atLeast"/>
        </w:trPr>
        <w:tc>
          <w:tcPr>
            <w:tcW w:w="10200" w:type="dxa"/>
            <w:gridSpan w:val="1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0" w:firstLine="0"/>
              <w:jc w:val="center"/>
            </w:pPr>
            <w:r>
              <w:fldChar w:fldCharType="begin"/>
            </w:r>
            <w:r>
              <w:instrText xml:space="preserve"> HYPERLINK \l "_【问题】本表，有哪些注意事项？" </w:instrText>
            </w:r>
            <w:r>
              <w:fldChar w:fldCharType="separate"/>
            </w:r>
            <w:r>
              <w:rPr>
                <w:rStyle w:val="14"/>
              </w:rPr>
              <w:t>土地增值税项目登记表</w:t>
            </w:r>
            <w:r>
              <w:rPr>
                <w:rStyle w:val="14"/>
              </w:rPr>
              <w:fldChar w:fldCharType="end"/>
            </w:r>
            <w:r>
              <w:rPr>
                <w:color w:val="262626"/>
              </w:rPr>
              <w:t>（从事房地产开发的纳税人适用）</w:t>
            </w:r>
          </w:p>
        </w:tc>
      </w:tr>
      <w:tr>
        <w:tblPrEx>
          <w:tblCellMar>
            <w:top w:w="77" w:type="dxa"/>
            <w:left w:w="15" w:type="dxa"/>
            <w:bottom w:w="0" w:type="dxa"/>
            <w:right w:w="17" w:type="dxa"/>
          </w:tblCellMar>
        </w:tblPrEx>
        <w:trPr>
          <w:trHeight w:val="430" w:hRule="atLeast"/>
        </w:trPr>
        <w:tc>
          <w:tcPr>
            <w:tcW w:w="2040"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center"/>
            </w:pPr>
            <w:r>
              <w:fldChar w:fldCharType="begin"/>
            </w:r>
            <w:r>
              <w:instrText xml:space="preserve"> HYPERLINK "项目名称" \l "_【问题】" </w:instrText>
            </w:r>
            <w:r>
              <w:fldChar w:fldCharType="separate"/>
            </w:r>
            <w:r>
              <w:rPr>
                <w:rStyle w:val="14"/>
              </w:rPr>
              <w:t>项目名称</w:t>
            </w:r>
            <w:r>
              <w:rPr>
                <w:rStyle w:val="14"/>
              </w:rPr>
              <w:fldChar w:fldCharType="end"/>
            </w:r>
          </w:p>
        </w:tc>
        <w:tc>
          <w:tcPr>
            <w:tcW w:w="3764"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2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75" w:firstLine="0"/>
            </w:pPr>
            <w:r>
              <w:rPr>
                <w:color w:val="262626"/>
              </w:rPr>
              <w:t>项目地址</w:t>
            </w:r>
          </w:p>
        </w:tc>
        <w:tc>
          <w:tcPr>
            <w:tcW w:w="2975"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430" w:hRule="atLeast"/>
        </w:trPr>
        <w:tc>
          <w:tcPr>
            <w:tcW w:w="5804" w:type="dxa"/>
            <w:gridSpan w:val="10"/>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rPr>
                <w:color w:val="262626"/>
              </w:rPr>
              <w:t>土地使用权受让（行政划拨）合同号</w:t>
            </w:r>
          </w:p>
        </w:tc>
        <w:tc>
          <w:tcPr>
            <w:tcW w:w="4396" w:type="dxa"/>
            <w:gridSpan w:val="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 w:firstLine="0"/>
              <w:jc w:val="center"/>
            </w:pPr>
            <w:r>
              <w:rPr>
                <w:color w:val="262626"/>
              </w:rPr>
              <w:t>受让（行政划拨）时间</w:t>
            </w:r>
          </w:p>
        </w:tc>
      </w:tr>
      <w:tr>
        <w:tblPrEx>
          <w:tblCellMar>
            <w:top w:w="77" w:type="dxa"/>
            <w:left w:w="15" w:type="dxa"/>
            <w:bottom w:w="0" w:type="dxa"/>
            <w:right w:w="17" w:type="dxa"/>
          </w:tblCellMar>
        </w:tblPrEx>
        <w:trPr>
          <w:trHeight w:val="430" w:hRule="atLeast"/>
        </w:trPr>
        <w:tc>
          <w:tcPr>
            <w:tcW w:w="5804" w:type="dxa"/>
            <w:gridSpan w:val="10"/>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396"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430" w:hRule="atLeast"/>
        </w:trPr>
        <w:tc>
          <w:tcPr>
            <w:tcW w:w="5804" w:type="dxa"/>
            <w:gridSpan w:val="10"/>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396"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692" w:hRule="atLeast"/>
        </w:trPr>
        <w:tc>
          <w:tcPr>
            <w:tcW w:w="162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fldChar w:fldCharType="begin"/>
            </w:r>
            <w:r>
              <w:instrText xml:space="preserve"> HYPERLINK "建设项目起讫时间" \l "_【问题】" </w:instrText>
            </w:r>
            <w:r>
              <w:fldChar w:fldCharType="separate"/>
            </w:r>
            <w:r>
              <w:rPr>
                <w:rStyle w:val="14"/>
              </w:rPr>
              <w:t>建设项目起讫时间</w:t>
            </w:r>
            <w:r>
              <w:rPr>
                <w:rStyle w:val="14"/>
              </w:rPr>
              <w:fldChar w:fldCharType="end"/>
            </w:r>
          </w:p>
        </w:tc>
        <w:tc>
          <w:tcPr>
            <w:tcW w:w="1561"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621"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 w:firstLine="0"/>
              <w:jc w:val="center"/>
            </w:pPr>
            <w:r>
              <w:fldChar w:fldCharType="begin"/>
            </w:r>
            <w:r>
              <w:instrText xml:space="preserve"> HYPERLINK "总预算成本" \l "_【问题】" </w:instrText>
            </w:r>
            <w:r>
              <w:fldChar w:fldCharType="separate"/>
            </w:r>
            <w:r>
              <w:rPr>
                <w:rStyle w:val="14"/>
              </w:rPr>
              <w:t>总预算成本</w:t>
            </w:r>
            <w:r>
              <w:rPr>
                <w:rStyle w:val="14"/>
              </w:rPr>
              <w:fldChar w:fldCharType="end"/>
            </w:r>
          </w:p>
        </w:tc>
        <w:tc>
          <w:tcPr>
            <w:tcW w:w="142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3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fldChar w:fldCharType="begin"/>
            </w:r>
            <w:r>
              <w:instrText xml:space="preserve"> HYPERLINK "单位预算成本" \l "_【问题】" </w:instrText>
            </w:r>
            <w:r>
              <w:fldChar w:fldCharType="separate"/>
            </w:r>
            <w:r>
              <w:rPr>
                <w:rStyle w:val="14"/>
              </w:rPr>
              <w:t>单位预算成本</w:t>
            </w:r>
            <w:r>
              <w:rPr>
                <w:rStyle w:val="14"/>
              </w:rPr>
              <w:fldChar w:fldCharType="end"/>
            </w:r>
          </w:p>
        </w:tc>
        <w:tc>
          <w:tcPr>
            <w:tcW w:w="173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692" w:hRule="atLeast"/>
        </w:trPr>
        <w:tc>
          <w:tcPr>
            <w:tcW w:w="162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color w:val="262626"/>
              </w:rPr>
              <w:t>项目详细坐落地点</w:t>
            </w:r>
          </w:p>
        </w:tc>
        <w:tc>
          <w:tcPr>
            <w:tcW w:w="8578" w:type="dxa"/>
            <w:gridSpan w:val="1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692" w:hRule="atLeast"/>
        </w:trPr>
        <w:tc>
          <w:tcPr>
            <w:tcW w:w="1622"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60" w:firstLine="0"/>
              <w:jc w:val="both"/>
            </w:pPr>
            <w:r>
              <w:rPr>
                <w:color w:val="262626"/>
              </w:rPr>
              <w:t>开发土地总面积</w:t>
            </w:r>
          </w:p>
        </w:tc>
        <w:tc>
          <w:tcPr>
            <w:tcW w:w="1561"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621"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center"/>
            </w:pPr>
            <w:r>
              <w:fldChar w:fldCharType="begin"/>
            </w:r>
            <w:r>
              <w:instrText xml:space="preserve"> HYPERLINK "开发建筑总面积单位" \l "_【问题】" </w:instrText>
            </w:r>
            <w:r>
              <w:fldChar w:fldCharType="separate"/>
            </w:r>
            <w:r>
              <w:rPr>
                <w:rStyle w:val="14"/>
              </w:rPr>
              <w:t>开发建筑总面积</w:t>
            </w:r>
            <w:r>
              <w:rPr>
                <w:rStyle w:val="14"/>
              </w:rPr>
              <w:fldChar w:fldCharType="end"/>
            </w:r>
          </w:p>
        </w:tc>
        <w:tc>
          <w:tcPr>
            <w:tcW w:w="1421" w:type="dxa"/>
            <w:gridSpan w:val="2"/>
            <w:tcBorders>
              <w:top w:val="single" w:color="000000" w:sz="4" w:space="0"/>
              <w:left w:val="single" w:color="000000" w:sz="4" w:space="0"/>
              <w:bottom w:val="single" w:color="000000" w:sz="4" w:space="0"/>
              <w:right w:val="single" w:color="000000" w:sz="6" w:space="0"/>
            </w:tcBorders>
          </w:tcPr>
          <w:p>
            <w:pPr>
              <w:spacing w:after="160" w:line="259" w:lineRule="auto"/>
              <w:ind w:left="0" w:firstLine="0"/>
            </w:pPr>
          </w:p>
        </w:tc>
        <w:tc>
          <w:tcPr>
            <w:tcW w:w="1236" w:type="dxa"/>
            <w:gridSpan w:val="2"/>
            <w:tcBorders>
              <w:top w:val="single" w:color="000000" w:sz="4" w:space="0"/>
              <w:left w:val="single" w:color="000000" w:sz="6" w:space="0"/>
              <w:bottom w:val="single" w:color="000000" w:sz="4" w:space="0"/>
              <w:right w:val="single" w:color="000000" w:sz="4" w:space="0"/>
            </w:tcBorders>
          </w:tcPr>
          <w:p>
            <w:pPr>
              <w:spacing w:after="0" w:line="259" w:lineRule="auto"/>
              <w:ind w:left="0" w:firstLine="0"/>
              <w:jc w:val="center"/>
            </w:pPr>
            <w:r>
              <w:fldChar w:fldCharType="begin"/>
            </w:r>
            <w:r>
              <w:instrText xml:space="preserve"> HYPERLINK "房地产转让合同名称" \l "_【问题】" </w:instrText>
            </w:r>
            <w:r>
              <w:fldChar w:fldCharType="separate"/>
            </w:r>
            <w:r>
              <w:rPr>
                <w:rStyle w:val="14"/>
              </w:rPr>
              <w:t>房地产转让合同名称</w:t>
            </w:r>
            <w:r>
              <w:rPr>
                <w:rStyle w:val="14"/>
              </w:rPr>
              <w:fldChar w:fldCharType="end"/>
            </w:r>
          </w:p>
        </w:tc>
        <w:tc>
          <w:tcPr>
            <w:tcW w:w="1739"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430" w:hRule="atLeast"/>
        </w:trPr>
        <w:tc>
          <w:tcPr>
            <w:tcW w:w="112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7" w:firstLine="0"/>
              <w:jc w:val="both"/>
            </w:pPr>
            <w:r>
              <w:rPr>
                <w:color w:val="262626"/>
              </w:rPr>
              <w:t>转让次序</w:t>
            </w:r>
          </w:p>
        </w:tc>
        <w:tc>
          <w:tcPr>
            <w:tcW w:w="3000" w:type="dxa"/>
            <w:gridSpan w:val="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25" w:firstLine="0"/>
            </w:pPr>
            <w:r>
              <w:rPr>
                <w:color w:val="262626"/>
              </w:rPr>
              <w:t>转让土地面积（按次填写）</w:t>
            </w:r>
          </w:p>
        </w:tc>
        <w:tc>
          <w:tcPr>
            <w:tcW w:w="3101" w:type="dxa"/>
            <w:gridSpan w:val="4"/>
            <w:tcBorders>
              <w:top w:val="single" w:color="000000" w:sz="4" w:space="0"/>
              <w:left w:val="single" w:color="000000" w:sz="4" w:space="0"/>
              <w:bottom w:val="single" w:color="000000" w:sz="4" w:space="0"/>
              <w:right w:val="single" w:color="000000" w:sz="6" w:space="0"/>
            </w:tcBorders>
            <w:vAlign w:val="center"/>
          </w:tcPr>
          <w:p>
            <w:pPr>
              <w:spacing w:after="0" w:line="259" w:lineRule="auto"/>
              <w:ind w:left="275" w:firstLine="0"/>
            </w:pPr>
            <w:r>
              <w:rPr>
                <w:color w:val="262626"/>
              </w:rPr>
              <w:t>转让建筑面积（按次填写）</w:t>
            </w:r>
          </w:p>
        </w:tc>
        <w:tc>
          <w:tcPr>
            <w:tcW w:w="2975" w:type="dxa"/>
            <w:gridSpan w:val="4"/>
            <w:tcBorders>
              <w:top w:val="single" w:color="000000" w:sz="4" w:space="0"/>
              <w:left w:val="single" w:color="000000" w:sz="6" w:space="0"/>
              <w:bottom w:val="single" w:color="000000" w:sz="4" w:space="0"/>
              <w:right w:val="single" w:color="000000" w:sz="4" w:space="0"/>
            </w:tcBorders>
            <w:vAlign w:val="center"/>
          </w:tcPr>
          <w:p>
            <w:pPr>
              <w:spacing w:after="0" w:line="259" w:lineRule="auto"/>
              <w:ind w:left="1" w:firstLine="0"/>
              <w:jc w:val="both"/>
            </w:pPr>
            <w:r>
              <w:fldChar w:fldCharType="begin"/>
            </w:r>
            <w:r>
              <w:instrText xml:space="preserve"> HYPERLINK "转让合同签订日期（按次填写）" \l "_【问题】" </w:instrText>
            </w:r>
            <w:r>
              <w:fldChar w:fldCharType="separate"/>
            </w:r>
            <w:r>
              <w:rPr>
                <w:rStyle w:val="14"/>
              </w:rPr>
              <w:t>转让合同签订日期（按次填写）</w:t>
            </w:r>
            <w:r>
              <w:rPr>
                <w:rStyle w:val="14"/>
              </w:rPr>
              <w:fldChar w:fldCharType="end"/>
            </w:r>
          </w:p>
        </w:tc>
      </w:tr>
      <w:tr>
        <w:tblPrEx>
          <w:tblCellMar>
            <w:top w:w="77" w:type="dxa"/>
            <w:left w:w="15" w:type="dxa"/>
            <w:bottom w:w="0" w:type="dxa"/>
            <w:right w:w="17" w:type="dxa"/>
          </w:tblCellMar>
        </w:tblPrEx>
        <w:trPr>
          <w:trHeight w:val="430" w:hRule="atLeast"/>
        </w:trPr>
        <w:tc>
          <w:tcPr>
            <w:tcW w:w="112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33" w:firstLine="0"/>
            </w:pPr>
            <w:r>
              <w:rPr>
                <w:color w:val="262626"/>
              </w:rPr>
              <w:t>第1次</w:t>
            </w:r>
          </w:p>
        </w:tc>
        <w:tc>
          <w:tcPr>
            <w:tcW w:w="3000"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101" w:type="dxa"/>
            <w:gridSpan w:val="4"/>
            <w:tcBorders>
              <w:top w:val="single" w:color="000000" w:sz="4" w:space="0"/>
              <w:left w:val="single" w:color="000000" w:sz="4" w:space="0"/>
              <w:bottom w:val="single" w:color="000000" w:sz="4" w:space="0"/>
              <w:right w:val="single" w:color="000000" w:sz="6" w:space="0"/>
            </w:tcBorders>
          </w:tcPr>
          <w:p>
            <w:pPr>
              <w:spacing w:after="160" w:line="259" w:lineRule="auto"/>
              <w:ind w:left="0" w:firstLine="0"/>
            </w:pPr>
          </w:p>
        </w:tc>
        <w:tc>
          <w:tcPr>
            <w:tcW w:w="2975" w:type="dxa"/>
            <w:gridSpan w:val="4"/>
            <w:tcBorders>
              <w:top w:val="single" w:color="000000" w:sz="4" w:space="0"/>
              <w:left w:val="single" w:color="000000" w:sz="6"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430" w:hRule="atLeast"/>
        </w:trPr>
        <w:tc>
          <w:tcPr>
            <w:tcW w:w="112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33" w:firstLine="0"/>
            </w:pPr>
            <w:r>
              <w:rPr>
                <w:color w:val="262626"/>
              </w:rPr>
              <w:t>第2次</w:t>
            </w:r>
          </w:p>
        </w:tc>
        <w:tc>
          <w:tcPr>
            <w:tcW w:w="3000"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101" w:type="dxa"/>
            <w:gridSpan w:val="4"/>
            <w:tcBorders>
              <w:top w:val="single" w:color="000000" w:sz="4" w:space="0"/>
              <w:left w:val="single" w:color="000000" w:sz="4" w:space="0"/>
              <w:bottom w:val="single" w:color="000000" w:sz="4" w:space="0"/>
              <w:right w:val="single" w:color="000000" w:sz="6" w:space="0"/>
            </w:tcBorders>
          </w:tcPr>
          <w:p>
            <w:pPr>
              <w:spacing w:after="160" w:line="259" w:lineRule="auto"/>
              <w:ind w:left="0" w:firstLine="0"/>
            </w:pPr>
          </w:p>
        </w:tc>
        <w:tc>
          <w:tcPr>
            <w:tcW w:w="2975" w:type="dxa"/>
            <w:gridSpan w:val="4"/>
            <w:tcBorders>
              <w:top w:val="single" w:color="000000" w:sz="4" w:space="0"/>
              <w:left w:val="single" w:color="000000" w:sz="6"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430" w:hRule="atLeast"/>
        </w:trPr>
        <w:tc>
          <w:tcPr>
            <w:tcW w:w="112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36" w:firstLine="0"/>
            </w:pPr>
            <w:r>
              <w:rPr>
                <w:color w:val="262626"/>
              </w:rPr>
              <w:t>……</w:t>
            </w:r>
          </w:p>
        </w:tc>
        <w:tc>
          <w:tcPr>
            <w:tcW w:w="3000"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101" w:type="dxa"/>
            <w:gridSpan w:val="4"/>
            <w:tcBorders>
              <w:top w:val="single" w:color="000000" w:sz="4" w:space="0"/>
              <w:left w:val="single" w:color="000000" w:sz="4" w:space="0"/>
              <w:bottom w:val="single" w:color="000000" w:sz="4" w:space="0"/>
              <w:right w:val="single" w:color="000000" w:sz="6" w:space="0"/>
            </w:tcBorders>
          </w:tcPr>
          <w:p>
            <w:pPr>
              <w:spacing w:after="160" w:line="259" w:lineRule="auto"/>
              <w:ind w:left="0" w:firstLine="0"/>
            </w:pPr>
          </w:p>
        </w:tc>
        <w:tc>
          <w:tcPr>
            <w:tcW w:w="2975" w:type="dxa"/>
            <w:gridSpan w:val="4"/>
            <w:tcBorders>
              <w:top w:val="single" w:color="000000" w:sz="4" w:space="0"/>
              <w:left w:val="single" w:color="000000" w:sz="6"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430" w:hRule="atLeast"/>
        </w:trPr>
        <w:tc>
          <w:tcPr>
            <w:tcW w:w="112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36" w:firstLine="0"/>
            </w:pPr>
            <w:r>
              <w:rPr>
                <w:color w:val="262626"/>
              </w:rPr>
              <w:t>备注</w:t>
            </w:r>
          </w:p>
        </w:tc>
        <w:tc>
          <w:tcPr>
            <w:tcW w:w="9076" w:type="dxa"/>
            <w:gridSpan w:val="1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430" w:hRule="atLeast"/>
        </w:trPr>
        <w:tc>
          <w:tcPr>
            <w:tcW w:w="10200" w:type="dxa"/>
            <w:gridSpan w:val="16"/>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color w:val="262626"/>
              </w:rPr>
              <w:t>土地增值税申报计算及减免信息</w:t>
            </w:r>
          </w:p>
        </w:tc>
      </w:tr>
      <w:tr>
        <w:tblPrEx>
          <w:tblCellMar>
            <w:top w:w="77" w:type="dxa"/>
            <w:left w:w="15" w:type="dxa"/>
            <w:bottom w:w="0" w:type="dxa"/>
            <w:right w:w="17" w:type="dxa"/>
          </w:tblCellMar>
        </w:tblPrEx>
        <w:trPr>
          <w:trHeight w:val="430" w:hRule="atLeast"/>
        </w:trPr>
        <w:tc>
          <w:tcPr>
            <w:tcW w:w="10200" w:type="dxa"/>
            <w:gridSpan w:val="1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申报类型：</w:t>
            </w:r>
          </w:p>
        </w:tc>
      </w:tr>
      <w:tr>
        <w:tblPrEx>
          <w:tblCellMar>
            <w:top w:w="77" w:type="dxa"/>
            <w:left w:w="15" w:type="dxa"/>
            <w:bottom w:w="0" w:type="dxa"/>
            <w:right w:w="17" w:type="dxa"/>
          </w:tblCellMar>
        </w:tblPrEx>
        <w:trPr>
          <w:trHeight w:val="430" w:hRule="atLeast"/>
        </w:trPr>
        <w:tc>
          <w:tcPr>
            <w:tcW w:w="10200" w:type="dxa"/>
            <w:gridSpan w:val="1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1.从事房地产开发的纳税人</w:t>
            </w:r>
            <w:r>
              <w:fldChar w:fldCharType="begin"/>
            </w:r>
            <w:r>
              <w:instrText xml:space="preserve"> HYPERLINK \l "_【问题】哪些情况下，需预缴？" </w:instrText>
            </w:r>
            <w:r>
              <w:fldChar w:fldCharType="separate"/>
            </w:r>
            <w:r>
              <w:rPr>
                <w:rStyle w:val="14"/>
              </w:rPr>
              <w:t>预缴</w:t>
            </w:r>
            <w:r>
              <w:rPr>
                <w:rStyle w:val="14"/>
              </w:rPr>
              <w:fldChar w:fldCharType="end"/>
            </w:r>
            <w:r>
              <w:rPr>
                <w:color w:val="262626"/>
              </w:rPr>
              <w:t>适用 □</w:t>
            </w:r>
          </w:p>
        </w:tc>
      </w:tr>
      <w:tr>
        <w:tblPrEx>
          <w:tblCellMar>
            <w:top w:w="77" w:type="dxa"/>
            <w:left w:w="15" w:type="dxa"/>
            <w:bottom w:w="0" w:type="dxa"/>
            <w:right w:w="17" w:type="dxa"/>
          </w:tblCellMar>
        </w:tblPrEx>
        <w:trPr>
          <w:trHeight w:val="430" w:hRule="atLeast"/>
        </w:trPr>
        <w:tc>
          <w:tcPr>
            <w:tcW w:w="10200" w:type="dxa"/>
            <w:gridSpan w:val="1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2.从事房地产开发的纳税人</w:t>
            </w:r>
            <w:r>
              <w:fldChar w:fldCharType="begin"/>
            </w:r>
            <w:r>
              <w:instrText xml:space="preserve"> HYPERLINK \l "_【问题】清算，有哪些规定？" </w:instrText>
            </w:r>
            <w:r>
              <w:fldChar w:fldCharType="separate"/>
            </w:r>
            <w:r>
              <w:rPr>
                <w:rStyle w:val="14"/>
              </w:rPr>
              <w:t>清算</w:t>
            </w:r>
            <w:r>
              <w:rPr>
                <w:rStyle w:val="14"/>
              </w:rPr>
              <w:fldChar w:fldCharType="end"/>
            </w:r>
            <w:r>
              <w:rPr>
                <w:color w:val="262626"/>
              </w:rPr>
              <w:t>适用 □</w:t>
            </w:r>
          </w:p>
        </w:tc>
      </w:tr>
      <w:tr>
        <w:tblPrEx>
          <w:tblCellMar>
            <w:top w:w="77" w:type="dxa"/>
            <w:left w:w="15" w:type="dxa"/>
            <w:bottom w:w="0" w:type="dxa"/>
            <w:right w:w="17" w:type="dxa"/>
          </w:tblCellMar>
        </w:tblPrEx>
        <w:trPr>
          <w:trHeight w:val="430" w:hRule="atLeast"/>
        </w:trPr>
        <w:tc>
          <w:tcPr>
            <w:tcW w:w="10200" w:type="dxa"/>
            <w:gridSpan w:val="1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3.从事房地产开发的纳税人</w:t>
            </w:r>
            <w:r>
              <w:fldChar w:fldCharType="begin"/>
            </w:r>
            <w:r>
              <w:instrText xml:space="preserve"> HYPERLINK "按核定征收方式清算" \l "_【问题】" </w:instrText>
            </w:r>
            <w:r>
              <w:fldChar w:fldCharType="separate"/>
            </w:r>
            <w:r>
              <w:rPr>
                <w:rStyle w:val="14"/>
              </w:rPr>
              <w:t>按核定征收方式清算</w:t>
            </w:r>
            <w:r>
              <w:rPr>
                <w:rStyle w:val="14"/>
              </w:rPr>
              <w:fldChar w:fldCharType="end"/>
            </w:r>
            <w:r>
              <w:rPr>
                <w:color w:val="262626"/>
              </w:rPr>
              <w:t>适用 □</w:t>
            </w:r>
          </w:p>
        </w:tc>
      </w:tr>
      <w:tr>
        <w:tblPrEx>
          <w:tblCellMar>
            <w:top w:w="77" w:type="dxa"/>
            <w:left w:w="15" w:type="dxa"/>
            <w:bottom w:w="0" w:type="dxa"/>
            <w:right w:w="17" w:type="dxa"/>
          </w:tblCellMar>
        </w:tblPrEx>
        <w:trPr>
          <w:trHeight w:val="430" w:hRule="atLeast"/>
        </w:trPr>
        <w:tc>
          <w:tcPr>
            <w:tcW w:w="10200" w:type="dxa"/>
            <w:gridSpan w:val="1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4.纳税人</w:t>
            </w:r>
            <w:r>
              <w:fldChar w:fldCharType="begin"/>
            </w:r>
            <w:r>
              <w:instrText xml:space="preserve"> HYPERLINK "纳税人整体转让在建工程适用" \l "_【问题】" </w:instrText>
            </w:r>
            <w:r>
              <w:fldChar w:fldCharType="separate"/>
            </w:r>
            <w:r>
              <w:rPr>
                <w:rStyle w:val="14"/>
              </w:rPr>
              <w:t>整体转让在建工程</w:t>
            </w:r>
            <w:r>
              <w:rPr>
                <w:rStyle w:val="14"/>
              </w:rPr>
              <w:fldChar w:fldCharType="end"/>
            </w:r>
            <w:r>
              <w:rPr>
                <w:color w:val="262626"/>
              </w:rPr>
              <w:t>适用□</w:t>
            </w:r>
          </w:p>
        </w:tc>
      </w:tr>
      <w:tr>
        <w:tblPrEx>
          <w:tblCellMar>
            <w:top w:w="77" w:type="dxa"/>
            <w:left w:w="15" w:type="dxa"/>
            <w:bottom w:w="0" w:type="dxa"/>
            <w:right w:w="17" w:type="dxa"/>
          </w:tblCellMar>
        </w:tblPrEx>
        <w:trPr>
          <w:trHeight w:val="430" w:hRule="atLeast"/>
        </w:trPr>
        <w:tc>
          <w:tcPr>
            <w:tcW w:w="10200" w:type="dxa"/>
            <w:gridSpan w:val="1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5.从事房</w:t>
            </w:r>
            <w:r>
              <w:fldChar w:fldCharType="begin"/>
            </w:r>
            <w:r>
              <w:instrText xml:space="preserve"> HYPERLINK "从事房地产开发的纳税人清算后尾盘销售适用" \l "_【问题】" </w:instrText>
            </w:r>
            <w:r>
              <w:fldChar w:fldCharType="separate"/>
            </w:r>
            <w:r>
              <w:rPr>
                <w:rStyle w:val="14"/>
              </w:rPr>
              <w:t>地产开发的纳税人清算后尾盘销售</w:t>
            </w:r>
            <w:r>
              <w:rPr>
                <w:rStyle w:val="14"/>
              </w:rPr>
              <w:fldChar w:fldCharType="end"/>
            </w:r>
            <w:r>
              <w:rPr>
                <w:color w:val="262626"/>
              </w:rPr>
              <w:t>适用 □</w:t>
            </w:r>
          </w:p>
        </w:tc>
      </w:tr>
      <w:tr>
        <w:tblPrEx>
          <w:tblCellMar>
            <w:top w:w="77" w:type="dxa"/>
            <w:left w:w="15" w:type="dxa"/>
            <w:bottom w:w="0" w:type="dxa"/>
            <w:right w:w="17" w:type="dxa"/>
          </w:tblCellMar>
        </w:tblPrEx>
        <w:trPr>
          <w:trHeight w:val="430" w:hRule="atLeast"/>
        </w:trPr>
        <w:tc>
          <w:tcPr>
            <w:tcW w:w="10200" w:type="dxa"/>
            <w:gridSpan w:val="1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6.转让</w:t>
            </w:r>
            <w:r>
              <w:fldChar w:fldCharType="begin"/>
            </w:r>
            <w:r>
              <w:instrText xml:space="preserve"> HYPERLINK "转让旧房及建筑物的纳税人适用" \l "_【问题】" </w:instrText>
            </w:r>
            <w:r>
              <w:fldChar w:fldCharType="separate"/>
            </w:r>
            <w:r>
              <w:rPr>
                <w:rStyle w:val="14"/>
              </w:rPr>
              <w:t>旧房及建筑物的纳税人</w:t>
            </w:r>
            <w:r>
              <w:rPr>
                <w:rStyle w:val="14"/>
              </w:rPr>
              <w:fldChar w:fldCharType="end"/>
            </w:r>
            <w:r>
              <w:rPr>
                <w:color w:val="262626"/>
              </w:rPr>
              <w:t>适用 □</w:t>
            </w:r>
          </w:p>
        </w:tc>
      </w:tr>
      <w:tr>
        <w:tblPrEx>
          <w:tblCellMar>
            <w:top w:w="77" w:type="dxa"/>
            <w:left w:w="15" w:type="dxa"/>
            <w:bottom w:w="0" w:type="dxa"/>
            <w:right w:w="17" w:type="dxa"/>
          </w:tblCellMar>
        </w:tblPrEx>
        <w:trPr>
          <w:trHeight w:val="430" w:hRule="atLeast"/>
        </w:trPr>
        <w:tc>
          <w:tcPr>
            <w:tcW w:w="10200" w:type="dxa"/>
            <w:gridSpan w:val="1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7.</w:t>
            </w:r>
            <w:r>
              <w:fldChar w:fldCharType="begin"/>
            </w:r>
            <w:r>
              <w:instrText xml:space="preserve"> HYPERLINK "转让旧房及建筑物的纳税人核定征收适用" \l "_【问题】" </w:instrText>
            </w:r>
            <w:r>
              <w:fldChar w:fldCharType="separate"/>
            </w:r>
            <w:r>
              <w:rPr>
                <w:rStyle w:val="14"/>
              </w:rPr>
              <w:t>转让旧房及建筑物的纳税人核定征收适用</w:t>
            </w:r>
            <w:r>
              <w:rPr>
                <w:rStyle w:val="14"/>
              </w:rPr>
              <w:fldChar w:fldCharType="end"/>
            </w:r>
            <w:r>
              <w:rPr>
                <w:color w:val="262626"/>
              </w:rPr>
              <w:t xml:space="preserve"> □</w:t>
            </w:r>
          </w:p>
        </w:tc>
      </w:tr>
      <w:tr>
        <w:tblPrEx>
          <w:tblCellMar>
            <w:top w:w="77" w:type="dxa"/>
            <w:left w:w="15" w:type="dxa"/>
            <w:bottom w:w="0" w:type="dxa"/>
            <w:right w:w="17" w:type="dxa"/>
          </w:tblCellMar>
        </w:tblPrEx>
        <w:trPr>
          <w:trHeight w:val="430" w:hRule="atLeast"/>
        </w:trPr>
        <w:tc>
          <w:tcPr>
            <w:tcW w:w="2204" w:type="dxa"/>
            <w:gridSpan w:val="5"/>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rPr>
                <w:color w:val="262626"/>
              </w:rPr>
              <w:t>项目名称</w:t>
            </w:r>
          </w:p>
        </w:tc>
        <w:tc>
          <w:tcPr>
            <w:tcW w:w="2401"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 w:firstLine="0"/>
              <w:jc w:val="center"/>
            </w:pPr>
            <w:r>
              <w:fldChar w:fldCharType="begin"/>
            </w:r>
            <w:r>
              <w:instrText xml:space="preserve"> HYPERLINK "项目编码" \l "_【问题】" </w:instrText>
            </w:r>
            <w:r>
              <w:fldChar w:fldCharType="separate"/>
            </w:r>
            <w:r>
              <w:rPr>
                <w:rStyle w:val="14"/>
              </w:rPr>
              <w:t>项目编码</w:t>
            </w:r>
            <w:r>
              <w:rPr>
                <w:rStyle w:val="14"/>
              </w:rPr>
              <w:fldChar w:fldCharType="end"/>
            </w:r>
          </w:p>
        </w:tc>
        <w:tc>
          <w:tcPr>
            <w:tcW w:w="276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430" w:hRule="atLeast"/>
        </w:trPr>
        <w:tc>
          <w:tcPr>
            <w:tcW w:w="2204" w:type="dxa"/>
            <w:gridSpan w:val="5"/>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rPr>
                <w:color w:val="262626"/>
              </w:rPr>
              <w:t>项目地址</w:t>
            </w:r>
          </w:p>
        </w:tc>
        <w:tc>
          <w:tcPr>
            <w:tcW w:w="7996" w:type="dxa"/>
            <w:gridSpan w:val="11"/>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430" w:hRule="atLeast"/>
        </w:trPr>
        <w:tc>
          <w:tcPr>
            <w:tcW w:w="2204" w:type="dxa"/>
            <w:gridSpan w:val="5"/>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53" w:firstLine="0"/>
            </w:pPr>
            <w:r>
              <w:fldChar w:fldCharType="begin"/>
            </w:r>
            <w:r>
              <w:instrText xml:space="preserve"> HYPERLINK "项目总可售面积" \l "_【问题】" </w:instrText>
            </w:r>
            <w:r>
              <w:fldChar w:fldCharType="separate"/>
            </w:r>
            <w:r>
              <w:rPr>
                <w:rStyle w:val="14"/>
              </w:rPr>
              <w:t>项目总可售面积</w:t>
            </w:r>
            <w:r>
              <w:rPr>
                <w:rStyle w:val="14"/>
              </w:rPr>
              <w:fldChar w:fldCharType="end"/>
            </w:r>
          </w:p>
        </w:tc>
        <w:tc>
          <w:tcPr>
            <w:tcW w:w="2401"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center"/>
            </w:pPr>
            <w:r>
              <w:fldChar w:fldCharType="begin"/>
            </w:r>
            <w:r>
              <w:instrText xml:space="preserve"> HYPERLINK "自用和出租面积" \l "_【问题】" </w:instrText>
            </w:r>
            <w:r>
              <w:fldChar w:fldCharType="separate"/>
            </w:r>
            <w:r>
              <w:rPr>
                <w:rStyle w:val="14"/>
              </w:rPr>
              <w:t>自用和出租面积</w:t>
            </w:r>
            <w:r>
              <w:rPr>
                <w:rStyle w:val="14"/>
              </w:rPr>
              <w:fldChar w:fldCharType="end"/>
            </w:r>
          </w:p>
        </w:tc>
        <w:tc>
          <w:tcPr>
            <w:tcW w:w="276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692"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91" w:firstLine="0"/>
              <w:jc w:val="both"/>
            </w:pPr>
            <w:r>
              <w:rPr>
                <w:color w:val="262626"/>
              </w:rPr>
              <w:t>已售面积</w:t>
            </w:r>
          </w:p>
        </w:tc>
        <w:tc>
          <w:tcPr>
            <w:tcW w:w="1151"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color w:val="262626"/>
              </w:rPr>
              <w:t>其中：</w:t>
            </w:r>
            <w:r>
              <w:fldChar w:fldCharType="begin"/>
            </w:r>
            <w:r>
              <w:instrText xml:space="preserve"> HYPERLINK "普通住宅" \l "_【问题】" </w:instrText>
            </w:r>
            <w:r>
              <w:fldChar w:fldCharType="separate"/>
            </w:r>
            <w:r>
              <w:rPr>
                <w:rStyle w:val="14"/>
              </w:rPr>
              <w:t>普通住宅</w:t>
            </w:r>
            <w:r>
              <w:rPr>
                <w:rStyle w:val="14"/>
              </w:rPr>
              <w:fldChar w:fldCharType="end"/>
            </w:r>
            <w:r>
              <w:rPr>
                <w:color w:val="262626"/>
              </w:rPr>
              <w:t>已售面积</w:t>
            </w:r>
          </w:p>
        </w:tc>
        <w:tc>
          <w:tcPr>
            <w:tcW w:w="1081"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3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color w:val="262626"/>
              </w:rPr>
              <w:t>其中：非普通住宅已售面积</w:t>
            </w:r>
          </w:p>
        </w:tc>
        <w:tc>
          <w:tcPr>
            <w:tcW w:w="139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6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1" w:firstLine="0"/>
              <w:jc w:val="both"/>
            </w:pPr>
            <w:r>
              <w:rPr>
                <w:color w:val="262626"/>
              </w:rPr>
              <w:t>其中：其他类型房地产已售面积</w:t>
            </w:r>
          </w:p>
        </w:tc>
        <w:tc>
          <w:tcPr>
            <w:tcW w:w="12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7" w:type="dxa"/>
            <w:left w:w="15" w:type="dxa"/>
            <w:bottom w:w="0" w:type="dxa"/>
            <w:right w:w="17" w:type="dxa"/>
          </w:tblCellMar>
        </w:tblPrEx>
        <w:trPr>
          <w:trHeight w:val="502" w:hRule="atLeast"/>
        </w:trPr>
        <w:tc>
          <w:tcPr>
            <w:tcW w:w="2204" w:type="dxa"/>
            <w:gridSpan w:val="5"/>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53" w:firstLine="0"/>
            </w:pPr>
            <w:r>
              <w:rPr>
                <w:color w:val="262626"/>
              </w:rPr>
              <w:t>清算时已售面积</w:t>
            </w:r>
          </w:p>
        </w:tc>
        <w:tc>
          <w:tcPr>
            <w:tcW w:w="2401"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 w:firstLine="0"/>
              <w:jc w:val="center"/>
            </w:pPr>
            <w:r>
              <w:rPr>
                <w:color w:val="262626"/>
              </w:rPr>
              <w:t>清算后剩余可售面积</w:t>
            </w:r>
          </w:p>
        </w:tc>
        <w:tc>
          <w:tcPr>
            <w:tcW w:w="276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0" w:line="259" w:lineRule="auto"/>
        <w:ind w:left="-953" w:right="10623" w:firstLine="0"/>
      </w:pPr>
    </w:p>
    <w:tbl>
      <w:tblPr>
        <w:tblStyle w:val="18"/>
        <w:tblW w:w="10200" w:type="dxa"/>
        <w:tblInd w:w="-15" w:type="dxa"/>
        <w:tblLayout w:type="autofit"/>
        <w:tblCellMar>
          <w:top w:w="78" w:type="dxa"/>
          <w:left w:w="14" w:type="dxa"/>
          <w:bottom w:w="0" w:type="dxa"/>
          <w:right w:w="28" w:type="dxa"/>
        </w:tblCellMar>
      </w:tblPr>
      <w:tblGrid>
        <w:gridCol w:w="1124"/>
        <w:gridCol w:w="3316"/>
        <w:gridCol w:w="1838"/>
        <w:gridCol w:w="950"/>
        <w:gridCol w:w="975"/>
        <w:gridCol w:w="1050"/>
        <w:gridCol w:w="947"/>
      </w:tblGrid>
      <w:tr>
        <w:tblPrEx>
          <w:tblCellMar>
            <w:top w:w="78" w:type="dxa"/>
            <w:left w:w="14" w:type="dxa"/>
            <w:bottom w:w="0" w:type="dxa"/>
            <w:right w:w="28" w:type="dxa"/>
          </w:tblCellMar>
        </w:tblPrEx>
        <w:trPr>
          <w:trHeight w:val="430" w:hRule="atLeast"/>
        </w:trPr>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8" w:firstLine="0"/>
              <w:jc w:val="both"/>
            </w:pPr>
            <w:r>
              <w:rPr>
                <w:color w:val="262626"/>
              </w:rPr>
              <w:t>申报类型</w:t>
            </w:r>
          </w:p>
        </w:tc>
        <w:tc>
          <w:tcPr>
            <w:tcW w:w="331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9" w:firstLine="0"/>
              <w:jc w:val="center"/>
            </w:pPr>
            <w:r>
              <w:rPr>
                <w:color w:val="262626"/>
              </w:rPr>
              <w:t>项目</w:t>
            </w:r>
          </w:p>
        </w:tc>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color w:val="262626"/>
              </w:rPr>
              <w:t>序号</w:t>
            </w:r>
          </w:p>
        </w:tc>
        <w:tc>
          <w:tcPr>
            <w:tcW w:w="3922"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color w:val="262626"/>
              </w:rPr>
              <w:t>金额</w:t>
            </w:r>
          </w:p>
        </w:tc>
      </w:tr>
      <w:tr>
        <w:tblPrEx>
          <w:tblCellMar>
            <w:top w:w="78" w:type="dxa"/>
            <w:left w:w="14" w:type="dxa"/>
            <w:bottom w:w="0" w:type="dxa"/>
            <w:right w:w="28" w:type="dxa"/>
          </w:tblCellMar>
        </w:tblPrEx>
        <w:trPr>
          <w:trHeight w:val="69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950" w:type="dxa"/>
            <w:tcBorders>
              <w:top w:val="single" w:color="000000" w:sz="4" w:space="0"/>
              <w:left w:val="single" w:color="000000" w:sz="4" w:space="0"/>
              <w:bottom w:val="single" w:color="000000" w:sz="4" w:space="0"/>
              <w:right w:val="single" w:color="000000" w:sz="4" w:space="0"/>
            </w:tcBorders>
          </w:tcPr>
          <w:p>
            <w:pPr>
              <w:spacing w:after="0" w:line="259" w:lineRule="auto"/>
              <w:ind w:left="42" w:right="31" w:firstLine="0"/>
              <w:jc w:val="center"/>
            </w:pPr>
            <w:r>
              <w:rPr>
                <w:color w:val="262626"/>
              </w:rPr>
              <w:t>普通住宅</w:t>
            </w: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color w:val="262626"/>
              </w:rPr>
              <w:t>非普通住宅</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color w:val="262626"/>
              </w:rPr>
              <w:t>其他类型房地产</w:t>
            </w:r>
          </w:p>
        </w:tc>
        <w:tc>
          <w:tcPr>
            <w:tcW w:w="94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49" w:firstLine="0"/>
            </w:pPr>
            <w:r>
              <w:rPr>
                <w:color w:val="262626"/>
              </w:rPr>
              <w:t>总额</w:t>
            </w:r>
          </w:p>
        </w:tc>
      </w:tr>
      <w:tr>
        <w:tblPrEx>
          <w:tblCellMar>
            <w:top w:w="78" w:type="dxa"/>
            <w:left w:w="14" w:type="dxa"/>
            <w:bottom w:w="0" w:type="dxa"/>
            <w:right w:w="28" w:type="dxa"/>
          </w:tblCellMar>
        </w:tblPrEx>
        <w:trPr>
          <w:trHeight w:val="520" w:hRule="atLeast"/>
        </w:trPr>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color w:val="262626"/>
              </w:rPr>
              <w:t>1</w:t>
            </w:r>
            <w:r>
              <w:fldChar w:fldCharType="begin"/>
            </w:r>
            <w:r>
              <w:instrText xml:space="preserve"> HYPERLINK "，填写前，要注意什么？" \l "_【问题】" </w:instrText>
            </w:r>
            <w:r>
              <w:fldChar w:fldCharType="separate"/>
            </w:r>
            <w:r>
              <w:rPr>
                <w:rStyle w:val="14"/>
              </w:rPr>
              <w:t>.从事房地产开发的纳税人预缴适用</w:t>
            </w:r>
            <w:r>
              <w:rPr>
                <w:rStyle w:val="14"/>
              </w:rPr>
              <w:fldChar w:fldCharType="end"/>
            </w: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一、房产类型子目</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1</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49" w:firstLine="0"/>
            </w:pPr>
            <w:r>
              <w:rPr>
                <w:color w:val="262626"/>
              </w:rPr>
              <w:t>——</w:t>
            </w: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二、</w:t>
            </w:r>
            <w:r>
              <w:fldChar w:fldCharType="begin"/>
            </w:r>
            <w:r>
              <w:instrText xml:space="preserve"> HYPERLINK "应税收入" \l "_【问题】" </w:instrText>
            </w:r>
            <w:r>
              <w:fldChar w:fldCharType="separate"/>
            </w:r>
            <w:r>
              <w:rPr>
                <w:rStyle w:val="14"/>
              </w:rPr>
              <w:t>应税收入</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1" w:firstLine="0"/>
              <w:jc w:val="center"/>
            </w:pPr>
            <w:r>
              <w:rPr>
                <w:color w:val="262626"/>
              </w:rPr>
              <w:t>2=3+4+5</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1.货币收入</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3</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2.实物收入及其他收入</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4</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3.</w:t>
            </w:r>
            <w:r>
              <w:fldChar w:fldCharType="begin"/>
            </w:r>
            <w:r>
              <w:instrText xml:space="preserve"> HYPERLINK "视同收入" \l "_【问题】" </w:instrText>
            </w:r>
            <w:r>
              <w:fldChar w:fldCharType="separate"/>
            </w:r>
            <w:r>
              <w:rPr>
                <w:rStyle w:val="14"/>
              </w:rPr>
              <w:t>视同销售收入</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5</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三、</w:t>
            </w:r>
            <w:r>
              <w:fldChar w:fldCharType="begin"/>
            </w:r>
            <w:r>
              <w:instrText xml:space="preserve"> HYPERLINK "预征率" \l "_【问题】" </w:instrText>
            </w:r>
            <w:r>
              <w:fldChar w:fldCharType="separate"/>
            </w:r>
            <w:r>
              <w:rPr>
                <w:rStyle w:val="14"/>
              </w:rPr>
              <w:t>预征率</w:t>
            </w:r>
            <w:r>
              <w:rPr>
                <w:rStyle w:val="14"/>
              </w:rPr>
              <w:fldChar w:fldCharType="end"/>
            </w:r>
            <w:r>
              <w:rPr>
                <w:color w:val="262626"/>
              </w:rPr>
              <w:t>（%）</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6</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49" w:firstLine="0"/>
            </w:pPr>
            <w:r>
              <w:rPr>
                <w:color w:val="262626"/>
              </w:rPr>
              <w:t>——</w:t>
            </w:r>
          </w:p>
        </w:tc>
      </w:tr>
      <w:tr>
        <w:tblPrEx>
          <w:tblCellMar>
            <w:top w:w="78" w:type="dxa"/>
            <w:left w:w="14" w:type="dxa"/>
            <w:bottom w:w="0" w:type="dxa"/>
            <w:right w:w="28" w:type="dxa"/>
          </w:tblCellMar>
        </w:tblPrEx>
        <w:trPr>
          <w:trHeight w:val="430" w:hRule="atLeast"/>
        </w:trPr>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7" w:lineRule="auto"/>
              <w:ind w:left="1" w:firstLine="0"/>
            </w:pPr>
            <w:r>
              <w:rPr>
                <w:color w:val="262626"/>
              </w:rPr>
              <w:t>2.从事房地产开发的纳税人清算适用</w:t>
            </w:r>
          </w:p>
          <w:p>
            <w:pPr>
              <w:spacing w:after="1" w:line="288" w:lineRule="auto"/>
              <w:ind w:left="1" w:firstLine="0"/>
            </w:pPr>
            <w:r>
              <w:rPr>
                <w:color w:val="262626"/>
              </w:rPr>
              <w:t>3.从事房地产开发的纳税人按核定征收方式清算适用</w:t>
            </w:r>
          </w:p>
          <w:p>
            <w:pPr>
              <w:spacing w:after="0" w:line="259" w:lineRule="auto"/>
              <w:ind w:left="1" w:firstLine="0"/>
            </w:pPr>
            <w:r>
              <w:rPr>
                <w:color w:val="262626"/>
              </w:rPr>
              <w:t>4.纳税人整体转让在建工程适用</w:t>
            </w: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一、</w:t>
            </w:r>
            <w:r>
              <w:fldChar w:fldCharType="begin"/>
            </w:r>
            <w:r>
              <w:instrText xml:space="preserve"> HYPERLINK "转让房地产收入总额" \l "_【问题】" </w:instrText>
            </w:r>
            <w:r>
              <w:fldChar w:fldCharType="separate"/>
            </w:r>
            <w:r>
              <w:rPr>
                <w:rStyle w:val="14"/>
              </w:rPr>
              <w:t>转让房地产收入总额</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1" w:firstLine="0"/>
              <w:jc w:val="center"/>
            </w:pPr>
            <w:r>
              <w:rPr>
                <w:color w:val="262626"/>
              </w:rPr>
              <w:t>1=2+3+4</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1.货币收入</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2</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2.实物收入及其他收入</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3</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3.视同销售收入</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4</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69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二、</w:t>
            </w:r>
            <w:r>
              <w:fldChar w:fldCharType="begin"/>
            </w:r>
            <w:r>
              <w:instrText xml:space="preserve"> HYPERLINK "扣除项目金额" \l "_【问题】" </w:instrText>
            </w:r>
            <w:r>
              <w:fldChar w:fldCharType="separate"/>
            </w:r>
            <w:r>
              <w:rPr>
                <w:rStyle w:val="14"/>
              </w:rPr>
              <w:t>扣除项目</w:t>
            </w:r>
            <w:r>
              <w:rPr>
                <w:rStyle w:val="14"/>
              </w:rPr>
              <w:fldChar w:fldCharType="end"/>
            </w:r>
            <w:r>
              <w:rPr>
                <w:color w:val="262626"/>
              </w:rPr>
              <w:t>金额合计</w:t>
            </w:r>
          </w:p>
        </w:tc>
        <w:tc>
          <w:tcPr>
            <w:tcW w:w="1838" w:type="dxa"/>
            <w:tcBorders>
              <w:top w:val="single" w:color="000000" w:sz="4" w:space="0"/>
              <w:left w:val="single" w:color="000000" w:sz="4" w:space="0"/>
              <w:bottom w:val="single" w:color="000000" w:sz="4" w:space="0"/>
              <w:right w:val="single" w:color="000000" w:sz="4" w:space="0"/>
            </w:tcBorders>
          </w:tcPr>
          <w:p>
            <w:pPr>
              <w:spacing w:after="33" w:line="259" w:lineRule="auto"/>
              <w:ind w:left="13" w:firstLine="0"/>
              <w:jc w:val="both"/>
            </w:pPr>
            <w:r>
              <w:rPr>
                <w:color w:val="262626"/>
              </w:rPr>
              <w:t>5＝6＋7＋14＋17＋</w:t>
            </w:r>
          </w:p>
          <w:p>
            <w:pPr>
              <w:spacing w:after="0" w:line="259" w:lineRule="auto"/>
              <w:ind w:left="12" w:firstLine="0"/>
              <w:jc w:val="center"/>
            </w:pPr>
            <w:r>
              <w:rPr>
                <w:color w:val="262626"/>
              </w:rPr>
              <w:t>21＋22</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23"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1.</w:t>
            </w:r>
            <w:r>
              <w:fldChar w:fldCharType="begin"/>
            </w:r>
            <w:r>
              <w:instrText xml:space="preserve"> HYPERLINK "取得土地使用权所支付的金额" \l "_【问题】" </w:instrText>
            </w:r>
            <w:r>
              <w:fldChar w:fldCharType="separate"/>
            </w:r>
            <w:r>
              <w:rPr>
                <w:rStyle w:val="14"/>
              </w:rPr>
              <w:t>取得土地使用权所支付的金额</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6</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69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2.</w:t>
            </w:r>
            <w:r>
              <w:fldChar w:fldCharType="begin"/>
            </w:r>
            <w:r>
              <w:instrText xml:space="preserve"> HYPERLINK "房地产开发成本" \l "_【问题】_" </w:instrText>
            </w:r>
            <w:r>
              <w:fldChar w:fldCharType="separate"/>
            </w:r>
            <w:r>
              <w:rPr>
                <w:rStyle w:val="14"/>
              </w:rPr>
              <w:t>房地产开发成本</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tcPr>
          <w:p>
            <w:pPr>
              <w:spacing w:after="33" w:line="259" w:lineRule="auto"/>
              <w:ind w:left="13" w:firstLine="0"/>
              <w:jc w:val="both"/>
            </w:pPr>
            <w:r>
              <w:rPr>
                <w:color w:val="262626"/>
              </w:rPr>
              <w:t>7＝8＋9＋10＋11＋</w:t>
            </w:r>
          </w:p>
          <w:p>
            <w:pPr>
              <w:spacing w:after="0" w:line="259" w:lineRule="auto"/>
              <w:ind w:left="12" w:firstLine="0"/>
              <w:jc w:val="center"/>
            </w:pPr>
            <w:r>
              <w:rPr>
                <w:color w:val="262626"/>
              </w:rPr>
              <w:t>12＋13</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6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其中：</w:t>
            </w:r>
            <w:r>
              <w:fldChar w:fldCharType="begin"/>
            </w:r>
            <w:r>
              <w:instrText xml:space="preserve"> HYPERLINK "土地征用及拆迁补偿费" \l "_【问题】" </w:instrText>
            </w:r>
            <w:r>
              <w:fldChar w:fldCharType="separate"/>
            </w:r>
            <w:r>
              <w:rPr>
                <w:rStyle w:val="14"/>
              </w:rPr>
              <w:t>土地征用及拆迁补偿</w:t>
            </w:r>
            <w:r>
              <w:rPr>
                <w:rStyle w:val="14"/>
              </w:rPr>
              <w:fldChar w:fldCharType="end"/>
            </w:r>
            <w:r>
              <w:rPr>
                <w:color w:val="262626"/>
              </w:rPr>
              <w:t>费</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8</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15"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37" w:firstLine="0"/>
            </w:pPr>
            <w:r>
              <w:fldChar w:fldCharType="begin"/>
            </w:r>
            <w:r>
              <w:instrText xml:space="preserve"> HYPERLINK "前期工程费" \l "_【问题】_" </w:instrText>
            </w:r>
            <w:r>
              <w:fldChar w:fldCharType="separate"/>
            </w:r>
            <w:r>
              <w:rPr>
                <w:rStyle w:val="14"/>
              </w:rPr>
              <w:t>前期工程费</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9</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15"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37" w:firstLine="0"/>
            </w:pPr>
            <w:r>
              <w:fldChar w:fldCharType="begin"/>
            </w:r>
            <w:r>
              <w:instrText xml:space="preserve"> HYPERLINK "建筑安装工程费" \l "_【问题】_" </w:instrText>
            </w:r>
            <w:r>
              <w:fldChar w:fldCharType="separate"/>
            </w:r>
            <w:r>
              <w:rPr>
                <w:rStyle w:val="14"/>
              </w:rPr>
              <w:t>建筑安装工程费</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10</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15"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37" w:firstLine="0"/>
            </w:pPr>
            <w:r>
              <w:fldChar w:fldCharType="begin"/>
            </w:r>
            <w:r>
              <w:instrText xml:space="preserve"> HYPERLINK "基础设施费" \l "_【问题】_" </w:instrText>
            </w:r>
            <w:r>
              <w:fldChar w:fldCharType="separate"/>
            </w:r>
            <w:r>
              <w:rPr>
                <w:rStyle w:val="14"/>
              </w:rPr>
              <w:t>基础设施费</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11</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15"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37" w:firstLine="0"/>
            </w:pPr>
            <w:r>
              <w:fldChar w:fldCharType="begin"/>
            </w:r>
            <w:r>
              <w:instrText xml:space="preserve"> HYPERLINK "公共配套设施费" \l "_【问题】_" </w:instrText>
            </w:r>
            <w:r>
              <w:fldChar w:fldCharType="separate"/>
            </w:r>
            <w:r>
              <w:rPr>
                <w:rStyle w:val="14"/>
              </w:rPr>
              <w:t>公共配套设施费</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12</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15"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37" w:firstLine="0"/>
            </w:pPr>
            <w:r>
              <w:fldChar w:fldCharType="begin"/>
            </w:r>
            <w:r>
              <w:instrText xml:space="preserve"> HYPERLINK "开发间接费用" \l "_【问题】_" </w:instrText>
            </w:r>
            <w:r>
              <w:fldChar w:fldCharType="separate"/>
            </w:r>
            <w:r>
              <w:rPr>
                <w:rStyle w:val="14"/>
              </w:rPr>
              <w:t>开发间接费用</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13</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15"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3.</w:t>
            </w:r>
            <w:r>
              <w:fldChar w:fldCharType="begin"/>
            </w:r>
            <w:r>
              <w:instrText xml:space="preserve"> HYPERLINK "房地产开发费用" \l "_【问题】_" </w:instrText>
            </w:r>
            <w:r>
              <w:fldChar w:fldCharType="separate"/>
            </w:r>
            <w:r>
              <w:rPr>
                <w:rStyle w:val="14"/>
              </w:rPr>
              <w:t>房地产开发费用</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14＝15＋16</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其中：</w:t>
            </w:r>
            <w:r>
              <w:fldChar w:fldCharType="begin"/>
            </w:r>
            <w:r>
              <w:instrText xml:space="preserve"> HYPERLINK "利息支出" \l "_【问题】_" </w:instrText>
            </w:r>
            <w:r>
              <w:fldChar w:fldCharType="separate"/>
            </w:r>
            <w:r>
              <w:rPr>
                <w:rStyle w:val="14"/>
              </w:rPr>
              <w:t>利息支出</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15</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8" w:firstLine="0"/>
              <w:jc w:val="center"/>
            </w:pPr>
            <w:r>
              <w:fldChar w:fldCharType="begin"/>
            </w:r>
            <w:r>
              <w:instrText xml:space="preserve"> HYPERLINK "其他房地产开发费用单位成本费用" \l "_【问题】_" </w:instrText>
            </w:r>
            <w:r>
              <w:fldChar w:fldCharType="separate"/>
            </w:r>
            <w:r>
              <w:rPr>
                <w:rStyle w:val="14"/>
              </w:rPr>
              <w:t>其他房地产开发费用</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16</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4.</w:t>
            </w:r>
            <w:r>
              <w:fldChar w:fldCharType="begin"/>
            </w:r>
            <w:r>
              <w:instrText xml:space="preserve"> HYPERLINK "与转让房地产有关的税金等" \l "_【问题】_" </w:instrText>
            </w:r>
            <w:r>
              <w:fldChar w:fldCharType="separate"/>
            </w:r>
            <w:r>
              <w:rPr>
                <w:rStyle w:val="14"/>
              </w:rPr>
              <w:t>与转让房地产有关的税金等</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9" w:firstLine="0"/>
            </w:pPr>
            <w:r>
              <w:rPr>
                <w:color w:val="262626"/>
              </w:rPr>
              <w:t>17＝18＋19＋20</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其中：营业税</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18</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37" w:firstLine="0"/>
            </w:pPr>
            <w:r>
              <w:rPr>
                <w:color w:val="262626"/>
              </w:rPr>
              <w:t>城市维护建设税</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19</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37" w:firstLine="0"/>
            </w:pPr>
            <w:r>
              <w:rPr>
                <w:color w:val="262626"/>
              </w:rPr>
              <w:t>教育费附加</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20</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5.</w:t>
            </w:r>
            <w:r>
              <w:fldChar w:fldCharType="begin"/>
            </w:r>
            <w:r>
              <w:instrText xml:space="preserve"> HYPERLINK "财政部规定的其他扣除项目" \l "_【问题】_" </w:instrText>
            </w:r>
            <w:r>
              <w:fldChar w:fldCharType="separate"/>
            </w:r>
            <w:r>
              <w:rPr>
                <w:rStyle w:val="14"/>
              </w:rPr>
              <w:t>财政部规定的其他扣除项目</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21</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28" w:type="dxa"/>
          </w:tblCellMar>
        </w:tblPrEx>
        <w:trPr>
          <w:trHeight w:val="1016"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30" w:line="259" w:lineRule="auto"/>
              <w:ind w:left="106" w:firstLine="0"/>
            </w:pPr>
            <w:r>
              <w:rPr>
                <w:color w:val="262626"/>
              </w:rPr>
              <w:t>6.</w:t>
            </w:r>
            <w:r>
              <w:fldChar w:fldCharType="begin"/>
            </w:r>
            <w:r>
              <w:instrText xml:space="preserve"> HYPERLINK "代收费用" \l "_【问题】_" </w:instrText>
            </w:r>
            <w:r>
              <w:fldChar w:fldCharType="separate"/>
            </w:r>
            <w:r>
              <w:rPr>
                <w:rStyle w:val="14"/>
              </w:rPr>
              <w:t>代收费用</w:t>
            </w:r>
            <w:r>
              <w:rPr>
                <w:rStyle w:val="14"/>
              </w:rPr>
              <w:fldChar w:fldCharType="end"/>
            </w:r>
          </w:p>
          <w:p>
            <w:pPr>
              <w:spacing w:after="0" w:line="259" w:lineRule="auto"/>
              <w:ind w:left="0" w:firstLine="0"/>
            </w:pPr>
            <w:r>
              <w:rPr>
                <w:color w:val="262626"/>
              </w:rPr>
              <w:t>（纳税人整体转让在建工程不填此项）</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 w:firstLine="0"/>
              <w:jc w:val="center"/>
            </w:pPr>
            <w:r>
              <w:rPr>
                <w:color w:val="262626"/>
              </w:rPr>
              <w:t>22</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0" w:line="259" w:lineRule="auto"/>
        <w:ind w:left="-953" w:right="10623" w:firstLine="0"/>
      </w:pPr>
    </w:p>
    <w:tbl>
      <w:tblPr>
        <w:tblStyle w:val="18"/>
        <w:tblW w:w="10200" w:type="dxa"/>
        <w:tblInd w:w="-15" w:type="dxa"/>
        <w:tblLayout w:type="autofit"/>
        <w:tblCellMar>
          <w:top w:w="78" w:type="dxa"/>
          <w:left w:w="14" w:type="dxa"/>
          <w:bottom w:w="0" w:type="dxa"/>
          <w:right w:w="0" w:type="dxa"/>
        </w:tblCellMar>
      </w:tblPr>
      <w:tblGrid>
        <w:gridCol w:w="1124"/>
        <w:gridCol w:w="1516"/>
        <w:gridCol w:w="1800"/>
        <w:gridCol w:w="1838"/>
        <w:gridCol w:w="950"/>
        <w:gridCol w:w="975"/>
        <w:gridCol w:w="1050"/>
        <w:gridCol w:w="947"/>
      </w:tblGrid>
      <w:tr>
        <w:tblPrEx>
          <w:tblCellMar>
            <w:top w:w="78" w:type="dxa"/>
            <w:left w:w="14" w:type="dxa"/>
            <w:bottom w:w="0" w:type="dxa"/>
            <w:right w:w="0" w:type="dxa"/>
          </w:tblCellMar>
        </w:tblPrEx>
        <w:trPr>
          <w:trHeight w:val="430" w:hRule="atLeast"/>
        </w:trPr>
        <w:tc>
          <w:tcPr>
            <w:tcW w:w="1124" w:type="dxa"/>
            <w:vMerge w:val="restart"/>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三、增值额</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6" w:firstLine="0"/>
              <w:jc w:val="center"/>
            </w:pPr>
            <w:r>
              <w:rPr>
                <w:color w:val="262626"/>
              </w:rPr>
              <w:t>23=1-5</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441"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89" w:firstLine="0"/>
              <w:jc w:val="both"/>
            </w:pPr>
            <w:r>
              <w:rPr>
                <w:color w:val="262626"/>
              </w:rPr>
              <w:t>四、增值额与扣除项目金额之比（%）</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24＝23÷5</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both"/>
            </w:pPr>
            <w:r>
              <w:rPr>
                <w:color w:val="262626"/>
              </w:rPr>
              <w:t>五、适用税率（核定征收率）（%）</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25</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六、速算扣除系数（%）</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26</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七、</w:t>
            </w:r>
            <w:r>
              <w:fldChar w:fldCharType="begin"/>
            </w:r>
            <w:r>
              <w:instrText xml:space="preserve"> HYPERLINK "减免税" \l "_【问题】_" </w:instrText>
            </w:r>
            <w:r>
              <w:fldChar w:fldCharType="separate"/>
            </w:r>
            <w:r>
              <w:rPr>
                <w:rStyle w:val="14"/>
              </w:rPr>
              <w:t>减免税额</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27=29+31+33</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69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89" w:firstLine="0"/>
              <w:jc w:val="both"/>
            </w:pPr>
            <w:r>
              <w:rPr>
                <w:color w:val="262626"/>
              </w:rPr>
              <w:t>其中：减免税（1）</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color w:val="262626"/>
              </w:rPr>
              <w:t>减免性质代码和项目名称（1）</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28</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color w:val="262626"/>
              </w:rPr>
              <w:t>减免税额（1）</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29</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69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73" w:firstLine="0"/>
              <w:jc w:val="right"/>
            </w:pPr>
            <w:r>
              <w:rPr>
                <w:color w:val="262626"/>
              </w:rPr>
              <w:t>减免税（2）</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color w:val="262626"/>
              </w:rPr>
              <w:t>减免性质代码和项目名称（2）</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30</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43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color w:val="262626"/>
              </w:rPr>
              <w:t>减免税额（2）</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31</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69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73" w:firstLine="0"/>
              <w:jc w:val="right"/>
            </w:pPr>
            <w:r>
              <w:rPr>
                <w:color w:val="262626"/>
              </w:rPr>
              <w:t>减免税（3）</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color w:val="262626"/>
              </w:rPr>
              <w:t>减免性质代码和项目名称（3）</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32</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43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color w:val="262626"/>
              </w:rPr>
              <w:t>减免税额（3）</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33</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color w:val="262626"/>
              </w:rPr>
              <w:t>5.从事房地产开发的纳税人清算后尾盘销售适用</w:t>
            </w: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一、转让房地产收入总额</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6" w:firstLine="0"/>
              <w:jc w:val="center"/>
            </w:pPr>
            <w:r>
              <w:rPr>
                <w:color w:val="262626"/>
              </w:rPr>
              <w:t>1=2+3+4</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6" w:firstLine="0"/>
            </w:pPr>
            <w:r>
              <w:rPr>
                <w:color w:val="262626"/>
              </w:rPr>
              <w:t>1.货币收入</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2</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6" w:firstLine="0"/>
            </w:pPr>
            <w:r>
              <w:rPr>
                <w:color w:val="262626"/>
              </w:rPr>
              <w:t>2.实物收入及其他收入</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3</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6" w:firstLine="0"/>
            </w:pPr>
            <w:r>
              <w:rPr>
                <w:color w:val="262626"/>
              </w:rPr>
              <w:t>3.视同销售收入</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4</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二、扣除项目金额合计</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5=6×7+8</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6" w:firstLine="0"/>
              <w:jc w:val="both"/>
            </w:pPr>
            <w:r>
              <w:rPr>
                <w:color w:val="262626"/>
              </w:rPr>
              <w:t>1.</w:t>
            </w:r>
            <w:r>
              <w:fldChar w:fldCharType="begin"/>
            </w:r>
            <w:r>
              <w:instrText xml:space="preserve"> HYPERLINK "本次清算后尾盘销售的销售面积" \l "_【问题】_" </w:instrText>
            </w:r>
            <w:r>
              <w:fldChar w:fldCharType="separate"/>
            </w:r>
            <w:r>
              <w:rPr>
                <w:rStyle w:val="14"/>
              </w:rPr>
              <w:t>本次清算后尾盘销售的销售面积</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6</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6" w:firstLine="0"/>
            </w:pPr>
            <w:r>
              <w:rPr>
                <w:color w:val="262626"/>
              </w:rPr>
              <w:t>2.</w:t>
            </w:r>
            <w:r>
              <w:fldChar w:fldCharType="begin"/>
            </w:r>
            <w:r>
              <w:instrText xml:space="preserve"> HYPERLINK "单位成本费用" \l "_【问题】尾盘销售中，" </w:instrText>
            </w:r>
            <w:r>
              <w:fldChar w:fldCharType="separate"/>
            </w:r>
            <w:r>
              <w:rPr>
                <w:rStyle w:val="14"/>
              </w:rPr>
              <w:t>单位成本费用</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7</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6" w:firstLine="0"/>
            </w:pPr>
            <w:r>
              <w:rPr>
                <w:color w:val="262626"/>
              </w:rPr>
              <w:t>3.本次与转让房地产有关的税金</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8=9+10+11</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6" w:firstLine="0"/>
            </w:pPr>
            <w:r>
              <w:rPr>
                <w:color w:val="262626"/>
              </w:rPr>
              <w:t>其中：营业税</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9</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737" w:firstLine="0"/>
            </w:pPr>
            <w:r>
              <w:rPr>
                <w:color w:val="262626"/>
              </w:rPr>
              <w:t>城市维护建设税</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10</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737" w:firstLine="0"/>
            </w:pPr>
            <w:r>
              <w:rPr>
                <w:color w:val="262626"/>
              </w:rPr>
              <w:t>教育费附加</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11</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三、增值额</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6" w:firstLine="0"/>
              <w:jc w:val="center"/>
            </w:pPr>
            <w:r>
              <w:rPr>
                <w:color w:val="262626"/>
              </w:rPr>
              <w:t>12=1-5</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89" w:firstLine="0"/>
              <w:jc w:val="both"/>
            </w:pPr>
            <w:r>
              <w:rPr>
                <w:color w:val="262626"/>
              </w:rPr>
              <w:t>四、增值额与扣除项目金额之比（%）</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13=12÷5</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both"/>
            </w:pPr>
            <w:r>
              <w:rPr>
                <w:color w:val="262626"/>
              </w:rPr>
              <w:t>五、适用税率（核定征收率）（%）</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14</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六、速算扣除系数（%）</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15</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七、减免税额</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16=18+20+22</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69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89" w:firstLine="0"/>
              <w:jc w:val="both"/>
            </w:pPr>
            <w:r>
              <w:rPr>
                <w:color w:val="262626"/>
              </w:rPr>
              <w:t>其中：减免税（1）</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color w:val="262626"/>
              </w:rPr>
              <w:t>减免性质代码和项目名称（1）</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17</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color w:val="262626"/>
              </w:rPr>
              <w:t>减免税额（1）</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18</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69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73" w:firstLine="0"/>
              <w:jc w:val="right"/>
            </w:pPr>
            <w:r>
              <w:rPr>
                <w:color w:val="262626"/>
              </w:rPr>
              <w:t>减免税（2）</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color w:val="262626"/>
              </w:rPr>
              <w:t>减免性质代码和项目名称（2）</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19</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color w:val="262626"/>
              </w:rPr>
              <w:t>减免税额（2）</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20</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69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73" w:firstLine="0"/>
              <w:jc w:val="right"/>
            </w:pPr>
            <w:r>
              <w:rPr>
                <w:color w:val="262626"/>
              </w:rPr>
              <w:t>减免税（3）</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color w:val="262626"/>
              </w:rPr>
              <w:t>减免性质代码和项目名称（3）</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21</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4"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color w:val="262626"/>
              </w:rPr>
              <w:t>减免税额（3）</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22</w:t>
            </w:r>
          </w:p>
        </w:tc>
        <w:tc>
          <w:tcPr>
            <w:tcW w:w="9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0" w:line="259" w:lineRule="auto"/>
        <w:ind w:left="-953" w:right="10623" w:firstLine="0"/>
      </w:pPr>
    </w:p>
    <w:tbl>
      <w:tblPr>
        <w:tblStyle w:val="18"/>
        <w:tblW w:w="10200" w:type="dxa"/>
        <w:tblInd w:w="-15" w:type="dxa"/>
        <w:tblLayout w:type="autofit"/>
        <w:tblCellMar>
          <w:top w:w="78" w:type="dxa"/>
          <w:left w:w="14" w:type="dxa"/>
          <w:bottom w:w="0" w:type="dxa"/>
          <w:right w:w="0" w:type="dxa"/>
        </w:tblCellMar>
      </w:tblPr>
      <w:tblGrid>
        <w:gridCol w:w="1124"/>
        <w:gridCol w:w="1516"/>
        <w:gridCol w:w="1800"/>
        <w:gridCol w:w="1838"/>
        <w:gridCol w:w="3922"/>
      </w:tblGrid>
      <w:tr>
        <w:tblPrEx>
          <w:tblCellMar>
            <w:top w:w="78" w:type="dxa"/>
            <w:left w:w="14" w:type="dxa"/>
            <w:bottom w:w="0" w:type="dxa"/>
            <w:right w:w="0" w:type="dxa"/>
          </w:tblCellMar>
        </w:tblPrEx>
        <w:trPr>
          <w:trHeight w:val="431" w:hRule="atLeast"/>
        </w:trPr>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color w:val="262626"/>
              </w:rPr>
              <w:t>6.转让旧房及建筑物的纳税人适用 7.转让旧房及建筑物的纳税人核定征收适用</w:t>
            </w:r>
          </w:p>
        </w:tc>
        <w:tc>
          <w:tcPr>
            <w:tcW w:w="3316"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一、转让房地产收入总额</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6" w:firstLine="0"/>
              <w:jc w:val="center"/>
            </w:pPr>
            <w:r>
              <w:rPr>
                <w:color w:val="262626"/>
              </w:rPr>
              <w:t>1=2+3+4</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431"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1.货币收入</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2</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431"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2.实物收入</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3</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431"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6" w:firstLine="0"/>
            </w:pPr>
            <w:r>
              <w:rPr>
                <w:color w:val="262626"/>
              </w:rPr>
              <w:t>3.其他收入</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4</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69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color w:val="262626"/>
              </w:rPr>
              <w:t>二、扣除项目金额合计</w:t>
            </w:r>
          </w:p>
        </w:tc>
        <w:tc>
          <w:tcPr>
            <w:tcW w:w="1838" w:type="dxa"/>
            <w:tcBorders>
              <w:top w:val="single" w:color="000000" w:sz="4" w:space="0"/>
              <w:left w:val="single" w:color="000000" w:sz="4" w:space="0"/>
              <w:bottom w:val="single" w:color="000000" w:sz="4" w:space="0"/>
              <w:right w:val="single" w:color="000000" w:sz="4" w:space="0"/>
            </w:tcBorders>
          </w:tcPr>
          <w:p>
            <w:pPr>
              <w:numPr>
                <w:ilvl w:val="0"/>
                <w:numId w:val="2"/>
              </w:numPr>
              <w:spacing w:after="54" w:line="259" w:lineRule="auto"/>
              <w:ind w:hanging="420"/>
            </w:pPr>
            <w:r>
              <w:rPr>
                <w:color w:val="262626"/>
              </w:rPr>
              <w:t>5=6+7+10+15</w:t>
            </w:r>
          </w:p>
          <w:p>
            <w:pPr>
              <w:numPr>
                <w:ilvl w:val="0"/>
                <w:numId w:val="2"/>
              </w:numPr>
              <w:spacing w:after="0" w:line="259" w:lineRule="auto"/>
              <w:ind w:hanging="420"/>
            </w:pPr>
            <w:r>
              <w:rPr>
                <w:color w:val="262626"/>
              </w:rPr>
              <w:t>5=11+12+14+15</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（1）提供评估价格</w:t>
            </w:r>
          </w:p>
        </w:tc>
        <w:tc>
          <w:tcPr>
            <w:tcW w:w="183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11" w:firstLine="0"/>
            </w:pPr>
            <w:r>
              <w:rPr>
                <w:color w:val="262626"/>
              </w:rPr>
              <w:t>1.取得土地使用权所支付的金额</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6</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11" w:firstLine="0"/>
            </w:pPr>
            <w:r>
              <w:rPr>
                <w:color w:val="262626"/>
              </w:rPr>
              <w:t>2.</w:t>
            </w:r>
            <w:r>
              <w:fldChar w:fldCharType="begin"/>
            </w:r>
            <w:r>
              <w:instrText xml:space="preserve"> HYPERLINK "旧房及建筑物的评估价格" \l "_【问题】_" </w:instrText>
            </w:r>
            <w:r>
              <w:fldChar w:fldCharType="separate"/>
            </w:r>
            <w:r>
              <w:rPr>
                <w:rStyle w:val="14"/>
              </w:rPr>
              <w:t>旧房及建筑物的评估价格</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6" w:firstLine="0"/>
              <w:jc w:val="center"/>
            </w:pPr>
            <w:r>
              <w:rPr>
                <w:color w:val="262626"/>
              </w:rPr>
              <w:t>7=8×9</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413"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11" w:firstLine="0"/>
            </w:pPr>
            <w:r>
              <w:rPr>
                <w:color w:val="262626"/>
              </w:rPr>
              <w:t>其中：</w:t>
            </w:r>
            <w:r>
              <w:fldChar w:fldCharType="begin"/>
            </w:r>
            <w:r>
              <w:instrText xml:space="preserve"> HYPERLINK "旧房及建筑物的重置成本价" \l "_【问题】_" </w:instrText>
            </w:r>
            <w:r>
              <w:fldChar w:fldCharType="separate"/>
            </w:r>
            <w:r>
              <w:rPr>
                <w:rStyle w:val="14"/>
              </w:rPr>
              <w:t>旧房及建筑物的重置成本价</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8</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737" w:firstLine="0"/>
            </w:pPr>
            <w:r>
              <w:fldChar w:fldCharType="begin"/>
            </w:r>
            <w:r>
              <w:instrText xml:space="preserve"> HYPERLINK "成新度折扣率" \l "_【问题】_" </w:instrText>
            </w:r>
            <w:r>
              <w:fldChar w:fldCharType="separate"/>
            </w:r>
            <w:r>
              <w:rPr>
                <w:rStyle w:val="14"/>
              </w:rPr>
              <w:t>成新度折扣率</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9</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11" w:firstLine="0"/>
            </w:pPr>
            <w:r>
              <w:rPr>
                <w:color w:val="262626"/>
              </w:rPr>
              <w:t>3.</w:t>
            </w:r>
            <w:r>
              <w:fldChar w:fldCharType="begin"/>
            </w:r>
            <w:r>
              <w:instrText xml:space="preserve"> HYPERLINK "评估费用" \l "_【问题】_" </w:instrText>
            </w:r>
            <w:r>
              <w:fldChar w:fldCharType="separate"/>
            </w:r>
            <w:r>
              <w:rPr>
                <w:rStyle w:val="14"/>
              </w:rPr>
              <w:t>评估费用</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10</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（2）提供购房发票</w:t>
            </w:r>
          </w:p>
        </w:tc>
        <w:tc>
          <w:tcPr>
            <w:tcW w:w="183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11" w:firstLine="0"/>
            </w:pPr>
            <w:r>
              <w:rPr>
                <w:color w:val="262626"/>
              </w:rPr>
              <w:t>1.</w:t>
            </w:r>
            <w:r>
              <w:fldChar w:fldCharType="begin"/>
            </w:r>
            <w:r>
              <w:instrText xml:space="preserve"> HYPERLINK "购房发票金额" \l "_【问题】_" </w:instrText>
            </w:r>
            <w:r>
              <w:fldChar w:fldCharType="separate"/>
            </w:r>
            <w:r>
              <w:rPr>
                <w:rStyle w:val="14"/>
              </w:rPr>
              <w:t>购房发票金额</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11</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11" w:firstLine="0"/>
            </w:pPr>
            <w:r>
              <w:rPr>
                <w:color w:val="262626"/>
              </w:rPr>
              <w:t>2.</w:t>
            </w:r>
            <w:r>
              <w:fldChar w:fldCharType="begin"/>
            </w:r>
            <w:r>
              <w:instrText xml:space="preserve"> HYPERLINK "发票加计扣除金额购房发票金额" \l "_【问题】_" </w:instrText>
            </w:r>
            <w:r>
              <w:fldChar w:fldCharType="separate"/>
            </w:r>
            <w:r>
              <w:rPr>
                <w:rStyle w:val="14"/>
              </w:rPr>
              <w:t>发票加计扣除金额</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222" w:firstLine="0"/>
            </w:pPr>
            <w:r>
              <w:rPr>
                <w:color w:val="262626"/>
              </w:rPr>
              <w:t>12=11×5%×13</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11" w:firstLine="0"/>
            </w:pPr>
            <w:r>
              <w:rPr>
                <w:color w:val="262626"/>
              </w:rPr>
              <w:t>其中：</w:t>
            </w:r>
            <w:r>
              <w:fldChar w:fldCharType="begin"/>
            </w:r>
            <w:r>
              <w:instrText xml:space="preserve"> HYPERLINK "房产实际持有年数" \l "_【问题】_" </w:instrText>
            </w:r>
            <w:r>
              <w:fldChar w:fldCharType="separate"/>
            </w:r>
            <w:r>
              <w:rPr>
                <w:rStyle w:val="14"/>
              </w:rPr>
              <w:t>房产实际持有年数</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13</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11" w:firstLine="0"/>
            </w:pPr>
            <w:r>
              <w:rPr>
                <w:color w:val="262626"/>
              </w:rPr>
              <w:t>3.</w:t>
            </w:r>
            <w:r>
              <w:fldChar w:fldCharType="begin"/>
            </w:r>
            <w:r>
              <w:instrText xml:space="preserve"> HYPERLINK "购房契税" \l "_【问题】_" </w:instrText>
            </w:r>
            <w:r>
              <w:fldChar w:fldCharType="separate"/>
            </w:r>
            <w:r>
              <w:rPr>
                <w:rStyle w:val="14"/>
              </w:rPr>
              <w:t>购房契税</w:t>
            </w:r>
            <w:r>
              <w:rPr>
                <w:rStyle w:val="14"/>
              </w:rPr>
              <w:fldChar w:fldCharType="end"/>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14</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11" w:firstLine="0"/>
            </w:pPr>
            <w:r>
              <w:rPr>
                <w:color w:val="262626"/>
              </w:rPr>
              <w:t>4.与转让房地产有关的税金等</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169" w:firstLine="0"/>
            </w:pPr>
            <w:r>
              <w:rPr>
                <w:color w:val="262626"/>
              </w:rPr>
              <w:t>15=16+17+18+19</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11" w:firstLine="0"/>
            </w:pPr>
            <w:r>
              <w:rPr>
                <w:color w:val="262626"/>
              </w:rPr>
              <w:t>其中：营业税</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16</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53" w:firstLine="0"/>
              <w:jc w:val="center"/>
            </w:pPr>
            <w:r>
              <w:rPr>
                <w:color w:val="262626"/>
              </w:rPr>
              <w:t>城市维护建设税</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17</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840" w:firstLine="0"/>
            </w:pPr>
            <w:r>
              <w:rPr>
                <w:color w:val="262626"/>
              </w:rPr>
              <w:t>印花税</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18</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840" w:firstLine="0"/>
            </w:pPr>
            <w:r>
              <w:rPr>
                <w:color w:val="262626"/>
              </w:rPr>
              <w:t>教育费附加</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19</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三、增值额</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6" w:firstLine="0"/>
              <w:jc w:val="center"/>
            </w:pPr>
            <w:r>
              <w:rPr>
                <w:color w:val="262626"/>
              </w:rPr>
              <w:t>20=1-5</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89" w:firstLine="0"/>
              <w:jc w:val="both"/>
            </w:pPr>
            <w:r>
              <w:rPr>
                <w:color w:val="262626"/>
              </w:rPr>
              <w:t>四、增值额与扣除项目金额之比（％）</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21=20÷5</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both"/>
            </w:pPr>
            <w:r>
              <w:rPr>
                <w:color w:val="262626"/>
              </w:rPr>
              <w:t>五、适用税率（</w:t>
            </w:r>
            <w:r>
              <w:fldChar w:fldCharType="begin"/>
            </w:r>
            <w:r>
              <w:instrText xml:space="preserve"> HYPERLINK "核定征收率" \l "_【问题】" </w:instrText>
            </w:r>
            <w:r>
              <w:fldChar w:fldCharType="separate"/>
            </w:r>
            <w:r>
              <w:rPr>
                <w:rStyle w:val="14"/>
              </w:rPr>
              <w:t>核定征收率</w:t>
            </w:r>
            <w:r>
              <w:rPr>
                <w:rStyle w:val="14"/>
              </w:rPr>
              <w:fldChar w:fldCharType="end"/>
            </w:r>
            <w:r>
              <w:rPr>
                <w:color w:val="262626"/>
              </w:rPr>
              <w:t>）（%）</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22</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六、速算扣除系数（%）</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23</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color w:val="262626"/>
              </w:rPr>
              <w:t>七、减免税额</w:t>
            </w:r>
          </w:p>
        </w:tc>
        <w:tc>
          <w:tcPr>
            <w:tcW w:w="18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4" w:firstLine="0"/>
              <w:jc w:val="center"/>
            </w:pPr>
            <w:r>
              <w:rPr>
                <w:color w:val="262626"/>
              </w:rPr>
              <w:t>24=26+28+30</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694"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516" w:type="dxa"/>
            <w:vMerge w:val="restart"/>
            <w:tcBorders>
              <w:top w:val="single" w:color="000000" w:sz="4" w:space="0"/>
              <w:left w:val="single" w:color="000000" w:sz="4" w:space="0"/>
              <w:bottom w:val="single" w:color="000000" w:sz="6" w:space="0"/>
              <w:right w:val="single" w:color="000000" w:sz="6" w:space="0"/>
            </w:tcBorders>
            <w:vAlign w:val="center"/>
          </w:tcPr>
          <w:p>
            <w:pPr>
              <w:spacing w:after="0" w:line="259" w:lineRule="auto"/>
              <w:ind w:left="0" w:right="-89" w:firstLine="0"/>
              <w:jc w:val="both"/>
            </w:pPr>
            <w:r>
              <w:rPr>
                <w:color w:val="262626"/>
              </w:rPr>
              <w:t>其中：减免税（1）</w:t>
            </w:r>
          </w:p>
        </w:tc>
        <w:tc>
          <w:tcPr>
            <w:tcW w:w="1800" w:type="dxa"/>
            <w:tcBorders>
              <w:top w:val="single" w:color="000000" w:sz="4" w:space="0"/>
              <w:left w:val="single" w:color="000000" w:sz="6" w:space="0"/>
              <w:bottom w:val="single" w:color="000000" w:sz="6" w:space="0"/>
              <w:right w:val="single" w:color="000000" w:sz="4" w:space="0"/>
            </w:tcBorders>
          </w:tcPr>
          <w:p>
            <w:pPr>
              <w:spacing w:after="0" w:line="259" w:lineRule="auto"/>
              <w:ind w:left="1" w:firstLine="0"/>
            </w:pPr>
            <w:r>
              <w:rPr>
                <w:color w:val="262626"/>
              </w:rPr>
              <w:t>减免性质代码和项目名称（1）</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25</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435"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6" w:space="0"/>
              <w:right w:val="single" w:color="000000" w:sz="6" w:space="0"/>
            </w:tcBorders>
          </w:tcPr>
          <w:p>
            <w:pPr>
              <w:spacing w:after="160" w:line="259" w:lineRule="auto"/>
              <w:ind w:left="0" w:firstLine="0"/>
            </w:pPr>
          </w:p>
        </w:tc>
        <w:tc>
          <w:tcPr>
            <w:tcW w:w="1800" w:type="dxa"/>
            <w:tcBorders>
              <w:top w:val="single" w:color="000000" w:sz="6" w:space="0"/>
              <w:left w:val="single" w:color="000000" w:sz="6" w:space="0"/>
              <w:bottom w:val="single" w:color="000000" w:sz="6" w:space="0"/>
              <w:right w:val="single" w:color="000000" w:sz="4" w:space="0"/>
            </w:tcBorders>
            <w:vAlign w:val="center"/>
          </w:tcPr>
          <w:p>
            <w:pPr>
              <w:spacing w:after="0" w:line="259" w:lineRule="auto"/>
              <w:ind w:left="1" w:firstLine="0"/>
            </w:pPr>
            <w:r>
              <w:rPr>
                <w:color w:val="262626"/>
              </w:rPr>
              <w:t>减免税额（2）</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26</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697"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516" w:type="dxa"/>
            <w:vMerge w:val="restart"/>
            <w:tcBorders>
              <w:top w:val="single" w:color="000000" w:sz="6" w:space="0"/>
              <w:left w:val="single" w:color="000000" w:sz="4" w:space="0"/>
              <w:bottom w:val="single" w:color="000000" w:sz="6" w:space="0"/>
              <w:right w:val="single" w:color="000000" w:sz="6" w:space="0"/>
            </w:tcBorders>
            <w:vAlign w:val="center"/>
          </w:tcPr>
          <w:p>
            <w:pPr>
              <w:spacing w:after="0" w:line="259" w:lineRule="auto"/>
              <w:ind w:left="0" w:right="-73" w:firstLine="0"/>
              <w:jc w:val="right"/>
            </w:pPr>
            <w:r>
              <w:rPr>
                <w:color w:val="262626"/>
              </w:rPr>
              <w:t>减免税（2）</w:t>
            </w:r>
          </w:p>
        </w:tc>
        <w:tc>
          <w:tcPr>
            <w:tcW w:w="1800" w:type="dxa"/>
            <w:tcBorders>
              <w:top w:val="single" w:color="000000" w:sz="6" w:space="0"/>
              <w:left w:val="single" w:color="000000" w:sz="6" w:space="0"/>
              <w:bottom w:val="single" w:color="000000" w:sz="6" w:space="0"/>
              <w:right w:val="single" w:color="000000" w:sz="4" w:space="0"/>
            </w:tcBorders>
          </w:tcPr>
          <w:p>
            <w:pPr>
              <w:spacing w:after="0" w:line="259" w:lineRule="auto"/>
              <w:ind w:left="1" w:firstLine="0"/>
            </w:pPr>
            <w:r>
              <w:rPr>
                <w:color w:val="262626"/>
              </w:rPr>
              <w:t>减免性质代码和项目名称（2）</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27</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435"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6" w:space="0"/>
              <w:right w:val="single" w:color="000000" w:sz="6" w:space="0"/>
            </w:tcBorders>
          </w:tcPr>
          <w:p>
            <w:pPr>
              <w:spacing w:after="160" w:line="259" w:lineRule="auto"/>
              <w:ind w:left="0" w:firstLine="0"/>
            </w:pPr>
          </w:p>
        </w:tc>
        <w:tc>
          <w:tcPr>
            <w:tcW w:w="1800" w:type="dxa"/>
            <w:tcBorders>
              <w:top w:val="single" w:color="000000" w:sz="6" w:space="0"/>
              <w:left w:val="single" w:color="000000" w:sz="6" w:space="0"/>
              <w:bottom w:val="single" w:color="000000" w:sz="6" w:space="0"/>
              <w:right w:val="single" w:color="000000" w:sz="4" w:space="0"/>
            </w:tcBorders>
            <w:vAlign w:val="center"/>
          </w:tcPr>
          <w:p>
            <w:pPr>
              <w:spacing w:after="0" w:line="259" w:lineRule="auto"/>
              <w:ind w:left="1" w:firstLine="0"/>
            </w:pPr>
            <w:r>
              <w:rPr>
                <w:color w:val="262626"/>
              </w:rPr>
              <w:t>减免税额（2）</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28</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697"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516" w:type="dxa"/>
            <w:vMerge w:val="restart"/>
            <w:tcBorders>
              <w:top w:val="single" w:color="000000" w:sz="6" w:space="0"/>
              <w:left w:val="single" w:color="000000" w:sz="4" w:space="0"/>
              <w:bottom w:val="single" w:color="000000" w:sz="4" w:space="0"/>
              <w:right w:val="single" w:color="000000" w:sz="6" w:space="0"/>
            </w:tcBorders>
            <w:vAlign w:val="center"/>
          </w:tcPr>
          <w:p>
            <w:pPr>
              <w:spacing w:after="0" w:line="259" w:lineRule="auto"/>
              <w:ind w:left="0" w:right="-73" w:firstLine="0"/>
              <w:jc w:val="right"/>
            </w:pPr>
            <w:r>
              <w:rPr>
                <w:color w:val="262626"/>
              </w:rPr>
              <w:t>减免税（3）</w:t>
            </w:r>
          </w:p>
        </w:tc>
        <w:tc>
          <w:tcPr>
            <w:tcW w:w="1800" w:type="dxa"/>
            <w:tcBorders>
              <w:top w:val="single" w:color="000000" w:sz="6" w:space="0"/>
              <w:left w:val="single" w:color="000000" w:sz="6" w:space="0"/>
              <w:bottom w:val="single" w:color="000000" w:sz="6" w:space="0"/>
              <w:right w:val="single" w:color="000000" w:sz="4" w:space="0"/>
            </w:tcBorders>
          </w:tcPr>
          <w:p>
            <w:pPr>
              <w:spacing w:after="0" w:line="259" w:lineRule="auto"/>
              <w:ind w:left="1" w:firstLine="0"/>
            </w:pPr>
            <w:r>
              <w:rPr>
                <w:color w:val="262626"/>
              </w:rPr>
              <w:t>减免性质代码和项目名称（3）</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29</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8" w:type="dxa"/>
            <w:left w:w="14" w:type="dxa"/>
            <w:bottom w:w="0" w:type="dxa"/>
            <w:right w:w="0" w:type="dxa"/>
          </w:tblCellMar>
        </w:tblPrEx>
        <w:trPr>
          <w:trHeight w:val="433"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6" w:space="0"/>
            </w:tcBorders>
          </w:tcPr>
          <w:p>
            <w:pPr>
              <w:spacing w:after="160" w:line="259" w:lineRule="auto"/>
              <w:ind w:left="0" w:firstLine="0"/>
            </w:pPr>
          </w:p>
        </w:tc>
        <w:tc>
          <w:tcPr>
            <w:tcW w:w="1800" w:type="dxa"/>
            <w:tcBorders>
              <w:top w:val="single" w:color="000000" w:sz="6" w:space="0"/>
              <w:left w:val="single" w:color="000000" w:sz="6" w:space="0"/>
              <w:bottom w:val="single" w:color="000000" w:sz="4" w:space="0"/>
              <w:right w:val="single" w:color="000000" w:sz="4" w:space="0"/>
            </w:tcBorders>
            <w:vAlign w:val="center"/>
          </w:tcPr>
          <w:p>
            <w:pPr>
              <w:spacing w:after="0" w:line="259" w:lineRule="auto"/>
              <w:ind w:left="1" w:firstLine="0"/>
            </w:pPr>
            <w:r>
              <w:rPr>
                <w:color w:val="262626"/>
              </w:rPr>
              <w:t>减免税额（3）</w:t>
            </w:r>
          </w:p>
        </w:tc>
        <w:tc>
          <w:tcPr>
            <w:tcW w:w="18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 w:firstLine="0"/>
              <w:jc w:val="center"/>
            </w:pPr>
            <w:r>
              <w:rPr>
                <w:color w:val="262626"/>
              </w:rPr>
              <w:t>30</w:t>
            </w:r>
          </w:p>
        </w:tc>
        <w:tc>
          <w:tcPr>
            <w:tcW w:w="39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3" w:line="262" w:lineRule="auto"/>
        <w:ind w:left="476" w:right="6048"/>
      </w:pPr>
      <w:r>
        <w:t>填表说明：</w:t>
      </w:r>
      <w:r>
        <w:rPr>
          <w:u w:val="single" w:color="000000"/>
        </w:rPr>
        <w:t>土地增值税项目登记表</w:t>
      </w:r>
    </w:p>
    <w:p>
      <w:pPr>
        <w:ind w:left="476"/>
      </w:pPr>
      <w:r>
        <w:t>1.本表适用于从事房地产开发的纳税人，在立项后及每次转让时填报。</w:t>
      </w:r>
    </w:p>
    <w:p>
      <w:pPr>
        <w:ind w:left="476"/>
      </w:pPr>
      <w:r>
        <w:t>2.凡从事新建房及配套设施开发的纳税人，均应在规定的期限内，据实向主管税务机关填报本表所列内容。</w:t>
      </w:r>
    </w:p>
    <w:p>
      <w:pPr>
        <w:ind w:left="476"/>
      </w:pPr>
      <w:r>
        <w:t>3.本表栏目的内容如果没有，可以空置不填。</w:t>
      </w:r>
    </w:p>
    <w:p>
      <w:pPr>
        <w:ind w:left="476"/>
      </w:pPr>
      <w:r>
        <w:t>4.纳税人填报本表时，应同时向主管税务机关提交土地使用权受让合同、房地产转让合同等有关资料。</w:t>
      </w:r>
    </w:p>
    <w:p>
      <w:pPr>
        <w:ind w:left="476"/>
      </w:pPr>
      <w:r>
        <w:rPr>
          <w:u w:val="single" w:color="000000"/>
        </w:rPr>
        <w:t>土地增值税申报计算及减免信息</w:t>
      </w:r>
      <w:r>
        <w:t>申报类型：必填。由纳税人根据申报业务种类以及适用的征收方式进行选择。</w:t>
      </w:r>
    </w:p>
    <w:p>
      <w:pPr>
        <w:spacing w:after="3" w:line="262" w:lineRule="auto"/>
        <w:ind w:left="476"/>
      </w:pPr>
      <w:r>
        <w:rPr>
          <w:u w:val="single" w:color="000000"/>
        </w:rPr>
        <w:t>一、从事房地产开发的纳税人预缴适用</w:t>
      </w:r>
    </w:p>
    <w:p>
      <w:pPr>
        <w:numPr>
          <w:ilvl w:val="0"/>
          <w:numId w:val="3"/>
        </w:numPr>
        <w:ind w:left="1095" w:hanging="629"/>
      </w:pPr>
      <w:r>
        <w:t>表头项目</w:t>
      </w:r>
    </w:p>
    <w:p>
      <w:pPr>
        <w:ind w:left="476"/>
      </w:pPr>
      <w:r>
        <w:t>1.本表适用于从事房地产开发并转让的土地增值税纳税人。</w:t>
      </w:r>
    </w:p>
    <w:p>
      <w:pPr>
        <w:ind w:left="476"/>
      </w:pPr>
      <w:r>
        <w:t>2.纳税人应在自首次取得预收收入起至办理项目清算申报止的期间内，在每次转让时填报，也可按月或按各省、自治区、直辖市和计划单列市税务局规定的期限汇总填报。</w:t>
      </w:r>
    </w:p>
    <w:p>
      <w:pPr>
        <w:ind w:left="476"/>
      </w:pPr>
      <w:r>
        <w:t>3.本表栏目的内容如果没有，可以空置不填。</w:t>
      </w:r>
    </w:p>
    <w:p>
      <w:pPr>
        <w:ind w:left="476"/>
      </w:pPr>
      <w:r>
        <w:t>4.纳税人填报预缴信息表时，应同时向主管税务机关提交《土地增值税项目登记表》等有关资料。</w:t>
      </w:r>
    </w:p>
    <w:p>
      <w:pPr>
        <w:ind w:left="476"/>
      </w:pPr>
      <w:r>
        <w:t>5.项目名称填写纳税人所开发并转让的且经国家有关部门审批的房地产开发项目全称；项目编码为纳税人进行房地产项目登记时，税务机关按照一定的规则赋予的编码，此编码跟随项目的预缴清算尾盘销售全过程。</w:t>
      </w:r>
    </w:p>
    <w:p>
      <w:pPr>
        <w:numPr>
          <w:ilvl w:val="0"/>
          <w:numId w:val="3"/>
        </w:numPr>
        <w:ind w:left="1095" w:hanging="629"/>
      </w:pPr>
      <w:r>
        <w:t>表中项目</w:t>
      </w:r>
    </w:p>
    <w:p>
      <w:pPr>
        <w:ind w:left="476"/>
      </w:pPr>
      <w:r>
        <w:t>1.第1栏“房产类型子目”：主管税务机关规定的预征率类型，每一个子目唯一对应一个房产类型。</w:t>
      </w:r>
    </w:p>
    <w:p>
      <w:pPr>
        <w:ind w:left="476"/>
      </w:pPr>
      <w:r>
        <w:t>2.第3栏“货币收入”：按纳税人转让房地产开发项目所取得的货币形态的收入额（不含增值税）填写。</w:t>
      </w:r>
    </w:p>
    <w:p>
      <w:pPr>
        <w:ind w:left="476"/>
      </w:pPr>
      <w:r>
        <w:t>3.第4栏“实物收入及其他收入”：按纳税人转让房地产开发项目所取得的实物形态的收入和无形资产等其他形式的收入额（不含增值税）填写。</w:t>
      </w:r>
    </w:p>
    <w:p>
      <w:pPr>
        <w:ind w:left="476"/>
      </w:pPr>
      <w:r>
        <w:t>4.第5栏“视同销售收入”：纳税人将开发产品用于职工福利、奖励、对外投资、分配给股东或投资人、抵偿债务、换取其他单位和个人的非货币性资产等，发生所有权转移时应视同销售房地产, 其确认收入不含增值税。</w:t>
      </w:r>
    </w:p>
    <w:p>
      <w:pPr>
        <w:spacing w:after="3" w:line="262" w:lineRule="auto"/>
        <w:ind w:left="476"/>
      </w:pPr>
      <w:r>
        <w:rPr>
          <w:u w:val="single" w:color="000000"/>
        </w:rPr>
        <w:t>二、从事房地产开发的纳税人清算适用</w:t>
      </w:r>
    </w:p>
    <w:p>
      <w:pPr>
        <w:numPr>
          <w:ilvl w:val="0"/>
          <w:numId w:val="4"/>
        </w:numPr>
        <w:ind w:left="1095" w:hanging="629"/>
      </w:pPr>
      <w:r>
        <w:t>表头项目</w:t>
      </w:r>
    </w:p>
    <w:p>
      <w:pPr>
        <w:ind w:left="476"/>
      </w:pPr>
      <w:r>
        <w:t>1.本表适用于从事房地产开发并转让的土地增值税纳税人。</w:t>
      </w:r>
    </w:p>
    <w:p>
      <w:pPr>
        <w:ind w:left="476"/>
      </w:pPr>
      <w:r>
        <w:t>2.税款所属期是项目预缴开始的时间，截止日期是税务机关规定（通知）申报期限的最后一日（应清算项目达到清算条件起90天的最后一日/可清算项目税务机关通知书送达起90天的最后一日）。 3.项目名称填写纳税人所开发并转让的且经国家有关部门审批的房地产开发项目全称；项目编码为纳税人进行房地产项目登记时，税务机关按照一定的规则赋予的编码，此编码跟随项目的预缴清算尾盘销售全过程。</w:t>
      </w:r>
    </w:p>
    <w:p>
      <w:pPr>
        <w:numPr>
          <w:ilvl w:val="0"/>
          <w:numId w:val="4"/>
        </w:numPr>
        <w:ind w:left="1095" w:hanging="629"/>
      </w:pPr>
      <w:r>
        <w:t>表中项目</w:t>
      </w:r>
    </w:p>
    <w:p>
      <w:pPr>
        <w:ind w:left="476"/>
      </w:pPr>
      <w:r>
        <w:t>1.第1栏“转让房地产收入总额”，按纳税人转让房地产开发项目所取得的全部收入额（不含增值税）填写。</w:t>
      </w:r>
    </w:p>
    <w:p>
      <w:pPr>
        <w:ind w:left="476"/>
      </w:pPr>
      <w:r>
        <w:t>2.第2栏“货币收入”，按纳税人转让房地产开发项目所取得的货币形态的收入额（不含增值税）填写。</w:t>
      </w:r>
    </w:p>
    <w:p>
      <w:pPr>
        <w:ind w:left="476"/>
      </w:pPr>
      <w:r>
        <w:t>3.第3栏“实物收入及其他收入”，按纳税人转让房地产开发项目所取得的实物形态的收入和无形资产等其他形式的收入额（不含增值税）填写。</w:t>
      </w:r>
    </w:p>
    <w:p>
      <w:pPr>
        <w:ind w:left="476"/>
      </w:pPr>
      <w:r>
        <w:t>4.第4栏“视同销售收入”，纳税人将开发产品用于职工福利、奖励、对外投资、分配给股东或投资人、抵偿债务、换取其他单位和个人的非货币性资产等，发生所有权转移时应视同销售房地产, 其确认收入不含增值税。</w:t>
      </w:r>
    </w:p>
    <w:p>
      <w:pPr>
        <w:ind w:left="476"/>
      </w:pPr>
      <w:r>
        <w:t>5.第6栏“取得土地使用权所支付的金额”，按纳税人为取得该房地产开发项目所需要的土地使用权而实际支付（补交）的土地出让金（地价款）及按国家统一规定交纳的有关费用的数额填写。</w:t>
      </w:r>
    </w:p>
    <w:p>
      <w:pPr>
        <w:ind w:left="476"/>
      </w:pPr>
      <w:r>
        <w:t>6.第8栏至13栏，应根据《中华人民共和国土地增值税暂行条例实施细则》（财法字〔1995〕6号，以下简称《细则》）规定的从事房地产开发所实际发生的各项开发成本的具体数额填写。</w:t>
      </w:r>
    </w:p>
    <w:p>
      <w:pPr>
        <w:ind w:left="476"/>
      </w:pPr>
      <w:r>
        <w:t>7.第15栏“利息支出”，按纳税人进行房地产开发实际发生的利息支出中符合《细则》第七条第（三）项规定的数额填写。如果不单独计算利息支出的，则本栏数额填写为“0”。</w:t>
      </w:r>
    </w:p>
    <w:p>
      <w:pPr>
        <w:ind w:left="476"/>
      </w:pPr>
      <w:r>
        <w:t>8.第16栏“其他房地产开发费用”，应根据《细则》第七条第（三）项的规定填写。</w:t>
      </w:r>
    </w:p>
    <w:p>
      <w:pPr>
        <w:ind w:left="476"/>
      </w:pPr>
      <w:r>
        <w:t>9.第18栏至20栏，按纳税人转让房地产时所实际缴纳的税金数额（不包括增值税）填写。</w:t>
      </w:r>
    </w:p>
    <w:p>
      <w:pPr>
        <w:ind w:left="476"/>
      </w:pPr>
      <w:r>
        <w:t>10.第21栏“财政部规定的其他扣除项目”，是指根据《中华人民共和国土地增值税暂行条例》（国务院令第138号，以下简称《条例》）和《细则》等有关规定所确定的财政部规定的扣除项目的合计数。</w:t>
      </w:r>
    </w:p>
    <w:p>
      <w:pPr>
        <w:ind w:left="476"/>
      </w:pPr>
      <w:r>
        <w:t>11.第22栏“代收费用”，应根据《财政部国家税务总局关于土地增值税一些具体问题规定的通知》</w:t>
      </w:r>
    </w:p>
    <w:p>
      <w:pPr>
        <w:ind w:left="476"/>
      </w:pPr>
      <w:r>
        <w:t>（财税字〔1995〕48号）第六条“关于地方政府要求房地产开发企业代收的费用如何计征土地增值税的问题”规定填写。</w:t>
      </w:r>
    </w:p>
    <w:p>
      <w:pPr>
        <w:ind w:left="476"/>
      </w:pPr>
      <w:r>
        <w:t>12.第25栏“适用税率（核定征收率）”，适用查账征收方式的纳税人应根据《条例》规定的四级超率累进税率，按所适用的最高一级税率填写；适用核定征收方式的纳税人应根据主管税务机关确定的核定征收率填写。</w:t>
      </w:r>
    </w:p>
    <w:p>
      <w:pPr>
        <w:ind w:left="476"/>
      </w:pPr>
      <w:r>
        <w:t>13.第26栏“速算扣除系数”，应根据《细则》第十条的规定找出相关速算扣除系数填写。</w:t>
      </w:r>
    </w:p>
    <w:p>
      <w:pPr>
        <w:ind w:left="476"/>
      </w:pPr>
      <w:r>
        <w:t>14.第28、30、32栏“减免性质代码和项目名称”：按照税务机关最新制发的减免税政策代码表中最细项减免性质代码填报。表第29、31、33栏“减免税额”填写相应“减免性质代码和项目名称” 对应的减免税金额，纳税人同时享受多个减免税政策应分别填写，不享受减免税的，不填写此项。</w:t>
      </w:r>
    </w:p>
    <w:p>
      <w:pPr>
        <w:ind w:left="476"/>
      </w:pPr>
      <w:r>
        <w:t>15.表中每栏按照“普通住宅、非普通住宅、其他类型房地产”分别填写。</w:t>
      </w:r>
    </w:p>
    <w:p>
      <w:pPr>
        <w:numPr>
          <w:ilvl w:val="0"/>
          <w:numId w:val="5"/>
        </w:numPr>
        <w:spacing w:after="35" w:line="259" w:lineRule="auto"/>
        <w:ind w:hanging="422"/>
      </w:pPr>
      <w:r>
        <w:rPr>
          <w:color w:val="262626"/>
          <w:u w:val="single" w:color="262626"/>
        </w:rPr>
        <w:t>从事房地产开发的纳税人按核定征收方式清算适用</w:t>
      </w:r>
    </w:p>
    <w:p>
      <w:pPr>
        <w:ind w:left="476"/>
      </w:pPr>
      <w:r>
        <w:t>1.本表适用于从事房地产开发并转让的纳税人清算方式为核定征收时填报，各行次应按不同房产类型分别填写。</w:t>
      </w:r>
    </w:p>
    <w:p>
      <w:pPr>
        <w:ind w:left="476"/>
      </w:pPr>
      <w:r>
        <w:t>2.税款所属期是项目预缴开始的时间，截止日期是税务机关规定（通知）申报期限的最后一日。纳税人在填报本表时，应同时提交税务机关出具的核定文书。</w:t>
      </w:r>
    </w:p>
    <w:p>
      <w:pPr>
        <w:ind w:left="476"/>
      </w:pPr>
      <w:r>
        <w:t>3.项目名称填写纳税人所开发并转让的且经国家有关部门审批的房地产开发项目全称；项目编码为纳税人进行房地产项目登记时，税务机关按照一定的规则赋予的编码，此编码跟随项目的预缴清算尾盘销售全过程。</w:t>
      </w:r>
    </w:p>
    <w:p>
      <w:pPr>
        <w:ind w:left="476"/>
      </w:pPr>
      <w:r>
        <w:t>4.表中项目按税务机关出具的核定文书要求填写。</w:t>
      </w:r>
    </w:p>
    <w:p>
      <w:pPr>
        <w:numPr>
          <w:ilvl w:val="0"/>
          <w:numId w:val="5"/>
        </w:numPr>
        <w:spacing w:after="6" w:line="259" w:lineRule="auto"/>
        <w:ind w:hanging="422"/>
      </w:pPr>
      <w:r>
        <w:rPr>
          <w:color w:val="262626"/>
          <w:u w:val="single" w:color="262626"/>
        </w:rPr>
        <w:t>纳税人整体转让在建工程</w:t>
      </w:r>
    </w:p>
    <w:p>
      <w:pPr>
        <w:numPr>
          <w:ilvl w:val="0"/>
          <w:numId w:val="6"/>
        </w:numPr>
        <w:ind w:left="1095" w:hanging="629"/>
      </w:pPr>
      <w:r>
        <w:t>表头项目</w:t>
      </w:r>
    </w:p>
    <w:p>
      <w:pPr>
        <w:ind w:left="476"/>
      </w:pPr>
      <w:r>
        <w:t>1.本表适用于从事房地产开发并转让的纳税人，及非从事房地产开发的纳税人，在整体转让在建工程时填报，数据应填列至其他类型房地产中。</w:t>
      </w:r>
    </w:p>
    <w:p>
      <w:pPr>
        <w:ind w:left="476"/>
      </w:pPr>
      <w:r>
        <w:t>2.税款所属期：从事房地产开发并转让的纳税人是项目预缴开始的时间，截止日期是开发项目整体转让在建工程合同（协议）签订时间；非房地产开发纳税人是整体转让在建工程合同（协议）签订时间。</w:t>
      </w:r>
    </w:p>
    <w:p>
      <w:pPr>
        <w:ind w:left="476"/>
      </w:pPr>
      <w:r>
        <w:t>3.项目名称：从事房地产开发并转让的纳税人填写纳税人所开发并转让的且经国家有关部门审批的房地产开发项目全称，项目编码为纳税人进行房地产项目登记时，税务机关按照一定的规则赋予的编码，此编码跟随项目的预缴清算尾盘销售全过程。</w:t>
      </w:r>
    </w:p>
    <w:p>
      <w:pPr>
        <w:numPr>
          <w:ilvl w:val="0"/>
          <w:numId w:val="6"/>
        </w:numPr>
        <w:ind w:left="1095" w:hanging="629"/>
      </w:pPr>
      <w:r>
        <w:t>表中项目</w:t>
      </w:r>
    </w:p>
    <w:p>
      <w:pPr>
        <w:ind w:left="476"/>
      </w:pPr>
      <w:r>
        <w:t>1.第1栏“转让房地产收入总额”，按纳税人在转让房地产开发项目所取得的全部收入额（不含增值税）填写。</w:t>
      </w:r>
    </w:p>
    <w:p>
      <w:pPr>
        <w:ind w:left="476"/>
      </w:pPr>
      <w:r>
        <w:t>2.第2栏“货币收入”，按纳税人转让房地产开发项目所取得的货币形态的收入额（不含增值税）填写。</w:t>
      </w:r>
    </w:p>
    <w:p>
      <w:pPr>
        <w:ind w:left="476"/>
      </w:pPr>
      <w:r>
        <w:t>3.第3栏“实物收入及其他收入”，按纳税人转让房地产开发项目所取得的实物形态的收入和无形资产等其他形式的收入额（不含增值税）填写。</w:t>
      </w:r>
    </w:p>
    <w:p>
      <w:pPr>
        <w:spacing w:after="0" w:line="265" w:lineRule="auto"/>
        <w:ind w:left="461" w:right="120"/>
        <w:jc w:val="both"/>
      </w:pPr>
      <w:r>
        <w:t>4.第4栏“视同销售收入”，纳税人将开发产品用于职工福利、奖励、对外投资、分配给股东或投资人、抵偿债务、换取其他单位和个人的非货币性资产等，发生所有权转移时应视同销售房地产, 其确认收入不含增值税。</w:t>
      </w:r>
    </w:p>
    <w:p>
      <w:pPr>
        <w:ind w:left="476"/>
      </w:pPr>
      <w:r>
        <w:t>5.第6栏“取得土地使用权所支付的金额”，按纳税人为取得该房地产开发项目所需要的土地使用权而实际支付（补交）的土地出让金（地价款）及按国家统一规定交纳的有关费用的数额填写。</w:t>
      </w:r>
    </w:p>
    <w:p>
      <w:pPr>
        <w:ind w:left="476"/>
      </w:pPr>
      <w:r>
        <w:t>6.第8栏至13栏，应根据《细则》规定的从事房地产开发所实际发生的各项开发成本的具体数额填写。</w:t>
      </w:r>
    </w:p>
    <w:p>
      <w:pPr>
        <w:ind w:left="476"/>
      </w:pPr>
      <w:r>
        <w:t>7.第15栏“利息支出”，按纳税人进行房地产开发实际发生的利息支出中符合《细则》第七条第（三）项规定的数额填写。如果不单独计算利息支出的，则本栏数额填写为“0”。</w:t>
      </w:r>
    </w:p>
    <w:p>
      <w:pPr>
        <w:ind w:left="476"/>
      </w:pPr>
      <w:r>
        <w:t>8.第16栏“其他房地产开发费用”，应根据《细则》第七条第（三）项的规定填写。</w:t>
      </w:r>
    </w:p>
    <w:p>
      <w:pPr>
        <w:ind w:left="476"/>
      </w:pPr>
      <w:r>
        <w:t>9.第18栏至20栏，按纳税人转让房地产时所实际缴纳的税金数额（不包括增值税）填写。</w:t>
      </w:r>
    </w:p>
    <w:p>
      <w:pPr>
        <w:ind w:left="476"/>
      </w:pPr>
      <w:r>
        <w:t>10.第21栏“财政部规定的其他扣除项目”，是指根据《条例》《细则》等有关规定所确定的财政部规定的扣除项目的合计数。</w:t>
      </w:r>
    </w:p>
    <w:p>
      <w:pPr>
        <w:ind w:left="476"/>
      </w:pPr>
      <w:r>
        <w:t>11.第22栏“代收费用”，纳税人整体转让在建工程时，不填写本项。</w:t>
      </w:r>
    </w:p>
    <w:p>
      <w:pPr>
        <w:ind w:left="476"/>
      </w:pPr>
      <w:r>
        <w:t>12.第25栏“适用税率（核定征收率）”，适用查账征收方式的纳税人应根据《条例》规定的四级超率累进税率，按所适用的最高一级税率填写；适用核定征收方式的纳税人应根据主管税务机关确定的核定征收率填写。</w:t>
      </w:r>
    </w:p>
    <w:p>
      <w:pPr>
        <w:ind w:left="476"/>
      </w:pPr>
      <w:r>
        <w:t>13.第26栏“速算扣除系数”，应根据《细则》第十条的规定找出相关速算扣除系数填写。</w:t>
      </w:r>
    </w:p>
    <w:p>
      <w:pPr>
        <w:ind w:left="476"/>
      </w:pPr>
      <w:r>
        <w:t>14.第28、30、32栏“减免性质代码和项目名称”：按照税务机关最新制发的减免税政策代码表中最细项减免性质代码填报。表第29、31、33栏“减免税额”填写相应“减免性质代码和项目名称” 对应的减免税金额，纳税人同时享受多个减免税政策应分别填写，不享受减免税的，不填写此项。</w:t>
      </w:r>
    </w:p>
    <w:p>
      <w:pPr>
        <w:spacing w:after="3" w:line="262" w:lineRule="auto"/>
        <w:ind w:left="476"/>
      </w:pPr>
      <w:r>
        <w:rPr>
          <w:u w:val="single" w:color="000000"/>
        </w:rPr>
        <w:t>五、从事房地产开发的纳税人清算后尾盘销售适用</w:t>
      </w:r>
    </w:p>
    <w:p>
      <w:pPr>
        <w:numPr>
          <w:ilvl w:val="0"/>
          <w:numId w:val="7"/>
        </w:numPr>
        <w:ind w:hanging="734"/>
      </w:pPr>
      <w:r>
        <w:t>表头项目</w:t>
      </w:r>
    </w:p>
    <w:p>
      <w:pPr>
        <w:ind w:left="476"/>
      </w:pPr>
      <w:r>
        <w:t>1.本表适用于从事房地产开发并转让的纳税人，在清算后尾盘销售时填报，各行次应按不同房产类型分别填写。</w:t>
      </w:r>
    </w:p>
    <w:p>
      <w:pPr>
        <w:ind w:left="476"/>
      </w:pPr>
      <w:r>
        <w:t>2.税款所属期是房地产开发项目尾盘销售收入的纳税义务发生时间。</w:t>
      </w:r>
    </w:p>
    <w:p>
      <w:pPr>
        <w:ind w:left="476"/>
      </w:pPr>
      <w:r>
        <w:t>3.项目名称填写纳税人所开发并转让的且经国家有关部门审批的房地产开发项目全称；项目编码为纳税人进行房地产项目登记时，税务机关按照一定的规则赋予的编码，此编码会跟随项目的预缴清算尾盘销售全过程。</w:t>
      </w:r>
    </w:p>
    <w:p>
      <w:pPr>
        <w:ind w:left="476"/>
      </w:pPr>
      <w:r>
        <w:t>4.项目总可售面积应与纳税人清算时填报的总可售面积一致。</w:t>
      </w:r>
    </w:p>
    <w:p>
      <w:pPr>
        <w:ind w:left="476"/>
      </w:pPr>
      <w:r>
        <w:t>5.清算时已售面积应与纳税人清算时填报的已售面积一致。</w:t>
      </w:r>
    </w:p>
    <w:p>
      <w:pPr>
        <w:ind w:left="476"/>
      </w:pPr>
      <w:r>
        <w:t>6.清算后剩余可售面积=项目总可售面积－清算时已售面积。</w:t>
      </w:r>
    </w:p>
    <w:p>
      <w:pPr>
        <w:numPr>
          <w:ilvl w:val="0"/>
          <w:numId w:val="7"/>
        </w:numPr>
        <w:ind w:hanging="734"/>
      </w:pPr>
      <w:r>
        <w:t>表中项目</w:t>
      </w:r>
    </w:p>
    <w:p>
      <w:pPr>
        <w:ind w:left="476"/>
      </w:pPr>
      <w:r>
        <w:t>1.第1栏“转让房地产收入总额”，按纳税人在转让房地产开发项目所取得的全部收入额（不含增值税）填写。</w:t>
      </w:r>
    </w:p>
    <w:p>
      <w:pPr>
        <w:ind w:left="476"/>
      </w:pPr>
      <w:r>
        <w:t>2.第2栏“货币收入”，按纳税人转让房地产开发项目所取得的货币形态的收入额（不含增值税）填写。</w:t>
      </w:r>
    </w:p>
    <w:p>
      <w:pPr>
        <w:ind w:left="476"/>
      </w:pPr>
      <w:r>
        <w:t>3.第3栏“实物收入及其他收入”，按纳税人转让房地产开发项目所取得的实物形态的收入和无形资产等其他形式的收入额（不含增值税）填写。</w:t>
      </w:r>
    </w:p>
    <w:p>
      <w:pPr>
        <w:ind w:left="476"/>
      </w:pPr>
      <w:r>
        <w:t>4.第4栏“视同销售收入”，纳税人将开发产品用于职工福利、奖励、对外投资、分配给股东或投资人、抵偿债务、换取其他单位和个人的非货币性资产等，发生所有权转移时应视同销售房地产, 其确认收入不含增值税。</w:t>
      </w:r>
    </w:p>
    <w:p>
      <w:pPr>
        <w:ind w:left="476"/>
      </w:pPr>
      <w:r>
        <w:t>5.第6栏“本次清算后尾盘销售的销售面积”，按申报税款所属期纳税人尾盘销售的建筑面积填报。</w:t>
      </w:r>
    </w:p>
    <w:p>
      <w:pPr>
        <w:ind w:left="476"/>
      </w:pPr>
      <w:r>
        <w:t>6.第7栏“单位成本费用”。单位成本费用=清算申报时或清算审核确定的扣除项目金额÷清算的总已售面积。公式中的“扣除项目金额”不包括清算时扣除的“与转让房地产有关的税金”。</w:t>
      </w:r>
    </w:p>
    <w:p>
      <w:pPr>
        <w:ind w:left="476"/>
      </w:pPr>
      <w:r>
        <w:t>7.第14栏“适用税率（核定征收率）”，适用查账征收方式的纳税人应根据《条例》规定的四级超率累进税率，按所适用的最高一级税率填写；适用核定征收方式的纳税人应根据主管税务机关确定的核定征收率填写。</w:t>
      </w:r>
    </w:p>
    <w:p>
      <w:pPr>
        <w:ind w:left="476"/>
      </w:pPr>
      <w:r>
        <w:t>8.第15栏“速算扣除系数”，应根据《细则》第十条的规定找出相关速算扣除系数填写。</w:t>
      </w:r>
    </w:p>
    <w:p>
      <w:pPr>
        <w:ind w:left="476"/>
      </w:pPr>
      <w:r>
        <w:t>9.第17、19、21栏“减免性质代码和项目名称”：按照税务机关最新制发的减免税政策代码表中最细项减免性质代码填报。表第18、20、22栏“减免税额”填写相应“减免性质代码和项目名称”对应的减免税金额，纳税人同时享受多个减免税政策应分别填写，不享受减免税的，不填写此项。</w:t>
      </w:r>
    </w:p>
    <w:p>
      <w:pPr>
        <w:ind w:left="476"/>
      </w:pPr>
      <w:r>
        <w:t>10.表中每栏按照“普通住宅、非普通住宅、其他类型房地产”分别填写。</w:t>
      </w:r>
    </w:p>
    <w:p>
      <w:pPr>
        <w:spacing w:after="3" w:line="262" w:lineRule="auto"/>
        <w:ind w:left="476"/>
      </w:pPr>
      <w:r>
        <w:rPr>
          <w:u w:val="single" w:color="000000"/>
        </w:rPr>
        <w:t>六、转让旧房及建筑物的纳税人适用</w:t>
      </w:r>
    </w:p>
    <w:p>
      <w:pPr>
        <w:numPr>
          <w:ilvl w:val="0"/>
          <w:numId w:val="8"/>
        </w:numPr>
        <w:ind w:left="1095" w:hanging="629"/>
      </w:pPr>
      <w:r>
        <w:t>表头项目</w:t>
      </w:r>
    </w:p>
    <w:p>
      <w:pPr>
        <w:ind w:left="476"/>
      </w:pPr>
      <w:r>
        <w:t>1.本表适用于转让旧房及建筑物的纳税人，纳税人应在签订房地产转让合同后的七日内，向房地产所在地主管税务机关填报土地增值税纳税申报表。本表还适用于从事房地产开发的纳税人将开发产品转为自用、出租等用途且已达到主管税务机关旧房界定标准后，又将该旧房对外出售的。</w:t>
      </w:r>
    </w:p>
    <w:p>
      <w:pPr>
        <w:ind w:left="476"/>
      </w:pPr>
      <w:r>
        <w:t>2.项目名称：从事房地产开发并转让的纳税人填写纳税人所开发并转让的且经国家有关部门审批的房地产开发项目全称，项目编码为纳税人进行房地产项目登记时，税务机关按照一定的规则赋予的编码，此编码会跟随项目的预缴清算尾盘销售全过程。</w:t>
      </w:r>
    </w:p>
    <w:p>
      <w:pPr>
        <w:numPr>
          <w:ilvl w:val="0"/>
          <w:numId w:val="8"/>
        </w:numPr>
        <w:ind w:left="1095" w:hanging="629"/>
      </w:pPr>
      <w:r>
        <w:t>表中项目本表的各主要项目内容，应根据纳税人转让的房地产项目作为填报对象。纳税人如果同时转让两个或两个以上房地产的，应分别填报。</w:t>
      </w:r>
    </w:p>
    <w:p>
      <w:pPr>
        <w:ind w:left="476"/>
      </w:pPr>
      <w:r>
        <w:t>1.第1栏“转让房地产收入总额”，按纳税人转让房地产所取得的全部收入额（不含增值税）填写。</w:t>
      </w:r>
    </w:p>
    <w:p>
      <w:pPr>
        <w:ind w:left="476"/>
      </w:pPr>
      <w:r>
        <w:t>2.第2栏“货币收入”，按纳税人转让房地产所取得的货币形态的收入额（不含增值税）填写。</w:t>
      </w:r>
    </w:p>
    <w:p>
      <w:pPr>
        <w:ind w:left="476"/>
      </w:pPr>
      <w:r>
        <w:t>3.第3、4栏“实物收入”“其他收入”，按纳税人转让房地产所取得的实物形态的收入和无形资产等其他形式的收入额（不含增值税）填写。</w:t>
      </w:r>
    </w:p>
    <w:p>
      <w:pPr>
        <w:ind w:left="476"/>
      </w:pPr>
      <w:r>
        <w:t>4.第6栏“取得土地使用权所支付的金额”，按纳税人为取得该房地产项目所需要的土地使用权而实际支付（补交）的土地出让金（地价款）及按国家统一规定交纳的有关费用的数额填写。</w:t>
      </w:r>
    </w:p>
    <w:p>
      <w:pPr>
        <w:ind w:left="476"/>
      </w:pPr>
      <w:r>
        <w:t>5.第7栏“旧房及建筑物的评估价格”，是指根据《条例》《细则》等有关规定，按重置成本法评估旧房及建筑物并经当地税务机关确认的评估价格的数额。本栏由第8栏与第9栏相乘得出。如果本栏数额能够直接根据评估报告填报，则本表第8、9栏可以不必再填报。</w:t>
      </w:r>
    </w:p>
    <w:p>
      <w:pPr>
        <w:ind w:left="476"/>
      </w:pPr>
      <w:r>
        <w:t>6.第8栏“旧房及建筑物的重置成本价”，是指按照《条例》和《细则》规定，由政府批准设立的房地产评估机构评定的重置成本价。</w:t>
      </w:r>
    </w:p>
    <w:p>
      <w:pPr>
        <w:ind w:left="476"/>
      </w:pPr>
      <w:r>
        <w:t>7.第9栏“成新度折扣率”，是指按照《条例》和《细则》规定，由政府批准设立的房地产评估机构评定的旧房及建筑物的新旧程度折扣率。</w:t>
      </w:r>
    </w:p>
    <w:p>
      <w:pPr>
        <w:ind w:left="476"/>
      </w:pPr>
      <w:r>
        <w:t>8.第10栏“评估费用”，是指纳税人转让旧房及建筑物时因计算纳税的需要而对房地产进行评估，其支付的评估费用允许在计算增值额时予以扣除。</w:t>
      </w:r>
    </w:p>
    <w:p>
      <w:pPr>
        <w:ind w:left="476"/>
      </w:pPr>
      <w:r>
        <w:t>9.第11栏“购房发票金额”，区分以下情形填写：提供营业税销售不动产发票的，按发票所载金额填写；提供增值税专用发票的，按发票所载金额与不允许抵扣进项税额合计金额数填写；提供增值税普通发票的，按照发票所载价税合计金额数填写。</w:t>
      </w:r>
    </w:p>
    <w:p>
      <w:pPr>
        <w:ind w:left="476"/>
      </w:pPr>
      <w:r>
        <w:t>10.第12栏“发票加计扣除金额”是指购房发票金额乘以房产实际持有年数乘以5%的积数。</w:t>
      </w:r>
    </w:p>
    <w:p>
      <w:pPr>
        <w:ind w:left="476"/>
      </w:pPr>
      <w:r>
        <w:t>11.第13栏“房产实际持有年数”是指，按购房发票所载日期起至售房发票开具之日止，每满12个月计一年；未满12个月但超过6个月的，可以视同为一年。</w:t>
      </w:r>
    </w:p>
    <w:p>
      <w:pPr>
        <w:ind w:left="476"/>
      </w:pPr>
      <w:r>
        <w:t>12.第14栏“购房契税”是指购房时支付的契税。</w:t>
      </w:r>
    </w:p>
    <w:p>
      <w:pPr>
        <w:ind w:left="476"/>
      </w:pPr>
      <w:r>
        <w:t>13.第15栏“与转让房地产有关的税金等”为第16栏至19栏的合计数。</w:t>
      </w:r>
    </w:p>
    <w:p>
      <w:pPr>
        <w:ind w:left="476"/>
      </w:pPr>
      <w:r>
        <w:t>14.第16栏至19栏，按纳税人转让房地产时实际缴纳的有关税金的数额填写。开具营业税发票的，按转让房地产时缴纳的营业税数额填写；开具增值税发票的，第16栏营业税为0。</w:t>
      </w:r>
    </w:p>
    <w:p>
      <w:pPr>
        <w:ind w:left="476"/>
      </w:pPr>
      <w:r>
        <w:t>15.第22栏“适用税率（核定征收率）”，适用查账征收方式的纳税人应根据《条例》规定的四级超率累进税率，按所适用的最高一级税率填写；适用核定征收方式的纳税人应根据主管税务机关确定的核定征收率填写。</w:t>
      </w:r>
    </w:p>
    <w:p>
      <w:pPr>
        <w:ind w:left="476"/>
      </w:pPr>
      <w:r>
        <w:t>16.第23栏“速算扣除系数”，应根据《细则》第十条的规定找出相关速算扣除系数填写。</w:t>
      </w:r>
    </w:p>
    <w:p>
      <w:pPr>
        <w:ind w:left="476"/>
      </w:pPr>
      <w:r>
        <w:t>17.第25、27、29栏“减免性质代码和项目名称”：按照税务机关最新制发的减免税政策代码表中的最细项减免性质代码填报。表第26、28、30栏“减免税额”填写相应“减免性质代码和项目名称” 对应的减免税金额，纳税人同时享受多个减免税政策应分别填写，不享受减免税的，不填写此项。</w:t>
      </w:r>
    </w:p>
    <w:p>
      <w:pPr>
        <w:spacing w:after="0" w:line="259" w:lineRule="auto"/>
        <w:ind w:left="466" w:firstLine="0"/>
      </w:pPr>
      <w:r>
        <w:rPr>
          <w:u w:val="single" w:color="000000"/>
        </w:rPr>
        <w:t>七、</w:t>
      </w:r>
      <w:r>
        <w:rPr>
          <w:color w:val="262626"/>
          <w:u w:val="single" w:color="000000"/>
        </w:rPr>
        <w:t>转让旧房及建筑物的纳税人核定征收适用</w:t>
      </w:r>
    </w:p>
    <w:p>
      <w:pPr>
        <w:spacing w:after="0" w:line="265" w:lineRule="auto"/>
        <w:ind w:left="461" w:right="120"/>
        <w:jc w:val="both"/>
      </w:pPr>
      <w:r>
        <w:t>1.本表适用于转让旧房及建筑物的纳税人采用核定征收方式时填报。纳税人应在签订房地产转让合同后的七日内，向房地产所在地主管税务机关填报本表。本表还适用于从事房地产开发的纳税人将开发产品转为自用、出租等用途且已达到主管税务机关旧房界定标准后，又将该旧房对外出售的。</w:t>
      </w:r>
    </w:p>
    <w:p>
      <w:pPr>
        <w:ind w:left="476"/>
      </w:pPr>
      <w:r>
        <w:t>纳税人在填报本表时，应同时提交税务机关出具的核定文书。</w:t>
      </w:r>
    </w:p>
    <w:p>
      <w:pPr>
        <w:ind w:left="476"/>
      </w:pPr>
      <w:r>
        <w:t>2.项目名称：从事房地产开发并转让的纳税人填写纳税人所开发并转让的且经国家有关部门审批的房地产开发项目全称，项目编码为纳税人进行房地产项目登记时，税务机关按照一定的规则赋予的编码，此编码会跟随项目的预缴清算尾盘销售全过程；非从事房地产开发的纳税人填写纳税人进行房地产项目登记时税务机关赋予的项目名称及项目编码。</w:t>
      </w:r>
    </w:p>
    <w:p>
      <w:pPr>
        <w:ind w:left="476"/>
      </w:pPr>
      <w:r>
        <w:t>3.表中项目按税务机关出具的核定文书要求填写。</w:t>
      </w:r>
    </w:p>
    <w:p>
      <w:pPr>
        <w:spacing w:beforeLines="50" w:after="0" w:line="360" w:lineRule="auto"/>
        <w:ind w:left="476"/>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0" w:name="_【问题】“纳税人”，包括哪些？"/>
      <w:bookmarkEnd w:id="0"/>
      <w:r>
        <w:rPr>
          <w:rFonts w:hint="eastAsia"/>
          <w:sz w:val="24"/>
          <w:szCs w:val="24"/>
        </w:rPr>
        <w:t>【问题】“纳税人”，包括哪些？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第一，转让</w:t>
      </w:r>
      <w:bookmarkStart w:id="1" w:name="_Hlk88077852"/>
      <w:r>
        <w:rPr>
          <w:rFonts w:hint="eastAsia" w:ascii="楷体" w:hAnsi="楷体" w:eastAsia="楷体"/>
          <w:b/>
          <w:color w:val="C55911" w:themeColor="accent2" w:themeShade="BF"/>
          <w:sz w:val="24"/>
          <w:szCs w:val="24"/>
        </w:rPr>
        <w:t>国有土地使用</w:t>
      </w:r>
      <w:r>
        <w:rPr>
          <w:rFonts w:hint="eastAsia" w:ascii="楷体" w:hAnsi="楷体" w:eastAsia="楷体"/>
          <w:b/>
          <w:sz w:val="24"/>
          <w:szCs w:val="24"/>
        </w:rPr>
        <w:t>权、地上的建筑物及其附着物</w:t>
      </w:r>
      <w:bookmarkEnd w:id="1"/>
      <w:r>
        <w:rPr>
          <w:rFonts w:hint="eastAsia" w:ascii="楷体" w:hAnsi="楷体" w:eastAsia="楷体"/>
          <w:b/>
          <w:sz w:val="24"/>
          <w:szCs w:val="24"/>
        </w:rPr>
        <w:t>（以下简称转让房地产）并取得收入的单位和个人——N</w:t>
      </w:r>
      <w:r>
        <w:rPr>
          <w:rFonts w:ascii="楷体" w:hAnsi="楷体" w:eastAsia="楷体"/>
          <w:b/>
          <w:sz w:val="24"/>
          <w:szCs w:val="24"/>
        </w:rPr>
        <w:t>OT</w:t>
      </w:r>
      <w:r>
        <w:rPr>
          <w:rFonts w:hint="eastAsia" w:ascii="楷体" w:hAnsi="楷体" w:eastAsia="楷体"/>
          <w:b/>
          <w:sz w:val="24"/>
          <w:szCs w:val="24"/>
        </w:rPr>
        <w:t>集体土地使用权……</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第二，以转让股权名义转让房地产行为——参考案例……</w:t>
      </w: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不包括哪些</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第一，两类“赠与”——</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（1）赠与直系亲属或承担直接赡养义务人；</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（2）通过中国境内非营利的社会团体、国家机关将房屋产权、土地使用权赠与教育、民政和其他社会福利、公益事业。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第二，非转让——（1）自用；（2）用于出租等</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第三，四类改制——除外：</w:t>
      </w:r>
      <w:r>
        <w:rPr>
          <w:rFonts w:hint="eastAsia" w:ascii="楷体" w:hAnsi="楷体" w:eastAsia="楷体"/>
          <w:b/>
          <w:color w:val="C55911" w:themeColor="accent2" w:themeShade="BF"/>
          <w:sz w:val="24"/>
          <w:szCs w:val="24"/>
        </w:rPr>
        <w:t>任一方是房地产企业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（1）整体改制——</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A</w:t>
      </w:r>
      <w:r>
        <w:rPr>
          <w:rFonts w:hint="eastAsia" w:ascii="楷体" w:hAnsi="楷体" w:eastAsia="楷体"/>
          <w:b/>
          <w:sz w:val="24"/>
          <w:szCs w:val="24"/>
        </w:rPr>
        <w:t>、非公司制企业改制为有限责任公司或股份有限公司，</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B</w:t>
      </w:r>
      <w:r>
        <w:rPr>
          <w:rFonts w:hint="eastAsia" w:ascii="楷体" w:hAnsi="楷体" w:eastAsia="楷体"/>
          <w:b/>
          <w:sz w:val="24"/>
          <w:szCs w:val="24"/>
        </w:rPr>
        <w:t>、有限责任公司变更为股份有限公司</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C</w:t>
      </w:r>
      <w:r>
        <w:rPr>
          <w:rFonts w:hint="eastAsia" w:ascii="楷体" w:hAnsi="楷体" w:eastAsia="楷体"/>
          <w:b/>
          <w:sz w:val="24"/>
          <w:szCs w:val="24"/>
        </w:rPr>
        <w:t>、股份有限公司变更为有限责任公司</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（2）两个或两个以上企业合并——投资主体存续+出资人的出资比例可以发生变动</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（3）企业分立——不改变原企业投资主体+出资人的出资比例可以发生变动。</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（4）以房地产作价入股进行投资</w:t>
      </w: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思考：个人转让住宅，是否缴纳土地增值税？——暂免征收。</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2" w:name="_【问题】“税款所属期”，怎么填？"/>
      <w:bookmarkEnd w:id="2"/>
      <w:r>
        <w:rPr>
          <w:rFonts w:hint="eastAsia"/>
          <w:sz w:val="24"/>
          <w:szCs w:val="24"/>
        </w:rPr>
        <w:t>【问题】“税款所属期限”，怎么填？</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第一，开始时间——</w:t>
      </w:r>
      <w:r>
        <w:rPr>
          <w:rFonts w:ascii="楷体" w:hAnsi="楷体" w:eastAsia="楷体"/>
          <w:b/>
          <w:color w:val="C55911" w:themeColor="accent2" w:themeShade="BF"/>
          <w:sz w:val="24"/>
          <w:szCs w:val="24"/>
        </w:rPr>
        <w:t>项目预缴开始的时间</w:t>
      </w:r>
      <w:r>
        <w:rPr>
          <w:rFonts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w:t>
      </w:r>
      <w:r>
        <w:rPr>
          <w:rFonts w:ascii="楷体" w:hAnsi="楷体" w:eastAsia="楷体"/>
          <w:b/>
          <w:sz w:val="24"/>
          <w:szCs w:val="24"/>
        </w:rPr>
        <w:t>截止日期</w:t>
      </w:r>
      <w:r>
        <w:rPr>
          <w:rFonts w:hint="eastAsia" w:ascii="楷体" w:hAnsi="楷体" w:eastAsia="楷体"/>
          <w:b/>
          <w:sz w:val="24"/>
          <w:szCs w:val="24"/>
        </w:rPr>
        <w:t>——</w:t>
      </w:r>
      <w:r>
        <w:rPr>
          <w:rFonts w:ascii="楷体" w:hAnsi="楷体" w:eastAsia="楷体"/>
          <w:b/>
          <w:color w:val="C55911" w:themeColor="accent2" w:themeShade="BF"/>
          <w:sz w:val="24"/>
          <w:szCs w:val="24"/>
        </w:rPr>
        <w:t>税务机关规定（通知）申报期限的最后一日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w:t>
      </w:r>
      <w:r>
        <w:rPr>
          <w:rFonts w:ascii="楷体" w:hAnsi="楷体" w:eastAsia="楷体"/>
          <w:b/>
          <w:sz w:val="24"/>
          <w:szCs w:val="24"/>
        </w:rPr>
        <w:t>应清算项目</w:t>
      </w:r>
      <w:r>
        <w:rPr>
          <w:rFonts w:hint="eastAsia" w:ascii="楷体" w:hAnsi="楷体" w:eastAsia="楷体"/>
          <w:b/>
          <w:sz w:val="24"/>
          <w:szCs w:val="24"/>
        </w:rPr>
        <w:t>——</w:t>
      </w:r>
      <w:r>
        <w:rPr>
          <w:rFonts w:ascii="楷体" w:hAnsi="楷体" w:eastAsia="楷体"/>
          <w:b/>
          <w:sz w:val="24"/>
          <w:szCs w:val="24"/>
        </w:rPr>
        <w:t>达到清算条件起</w:t>
      </w:r>
      <w:r>
        <w:rPr>
          <w:rFonts w:ascii="楷体" w:hAnsi="楷体" w:eastAsia="楷体"/>
          <w:b/>
          <w:color w:val="C55911" w:themeColor="accent2" w:themeShade="BF"/>
          <w:sz w:val="24"/>
          <w:szCs w:val="24"/>
        </w:rPr>
        <w:t>90天</w:t>
      </w:r>
      <w:r>
        <w:rPr>
          <w:rFonts w:ascii="楷体" w:hAnsi="楷体" w:eastAsia="楷体"/>
          <w:b/>
          <w:sz w:val="24"/>
          <w:szCs w:val="24"/>
        </w:rPr>
        <w:t>的最后一日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w:t>
      </w:r>
      <w:r>
        <w:rPr>
          <w:rFonts w:ascii="楷体" w:hAnsi="楷体" w:eastAsia="楷体"/>
          <w:b/>
          <w:sz w:val="24"/>
          <w:szCs w:val="24"/>
        </w:rPr>
        <w:t>可清算项目</w:t>
      </w:r>
      <w:r>
        <w:rPr>
          <w:rFonts w:hint="eastAsia" w:ascii="楷体" w:hAnsi="楷体" w:eastAsia="楷体"/>
          <w:b/>
          <w:sz w:val="24"/>
          <w:szCs w:val="24"/>
        </w:rPr>
        <w:t>——</w:t>
      </w:r>
      <w:r>
        <w:rPr>
          <w:rFonts w:ascii="楷体" w:hAnsi="楷体" w:eastAsia="楷体"/>
          <w:b/>
          <w:sz w:val="24"/>
          <w:szCs w:val="24"/>
        </w:rPr>
        <w:t>税务机关通知书送达起90天的最后一日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第三，特别规定：整体转让在建工程的：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w:t>
      </w:r>
      <w:r>
        <w:rPr>
          <w:rFonts w:ascii="楷体" w:hAnsi="楷体" w:eastAsia="楷体"/>
          <w:b/>
          <w:sz w:val="24"/>
          <w:szCs w:val="24"/>
        </w:rPr>
        <w:t>从事房地产开发并转让的纳税人是项目预缴开始的时间，截止日期是开发项目整体转让在建工程合同（协议）签订时间；</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w:t>
      </w:r>
      <w:r>
        <w:rPr>
          <w:rFonts w:ascii="楷体" w:hAnsi="楷体" w:eastAsia="楷体"/>
          <w:b/>
          <w:sz w:val="24"/>
          <w:szCs w:val="24"/>
        </w:rPr>
        <w:t>非房地产开发纳税人</w:t>
      </w:r>
      <w:r>
        <w:rPr>
          <w:rFonts w:hint="eastAsia" w:ascii="楷体" w:hAnsi="楷体" w:eastAsia="楷体"/>
          <w:b/>
          <w:sz w:val="24"/>
          <w:szCs w:val="24"/>
        </w:rPr>
        <w:t>，开始时间、截止日间，都</w:t>
      </w:r>
      <w:r>
        <w:rPr>
          <w:rFonts w:ascii="楷体" w:hAnsi="楷体" w:eastAsia="楷体"/>
          <w:b/>
          <w:sz w:val="24"/>
          <w:szCs w:val="24"/>
        </w:rPr>
        <w:t>是整体转让在建工程合同（协议）签订时间。</w:t>
      </w: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思考：纳税义务发生时间，是什么？——分两类：</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（1）按次申报——转让房地产合同签订后的7日内</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（2）定期申报——税务机关确定的期限</w:t>
      </w: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思考：纳税地点，是什么？——指房地产的</w:t>
      </w:r>
      <w:r>
        <w:rPr>
          <w:rFonts w:hint="eastAsia" w:ascii="楷体" w:hAnsi="楷体" w:eastAsia="楷体"/>
          <w:b/>
          <w:color w:val="C55911" w:themeColor="accent2" w:themeShade="BF"/>
          <w:sz w:val="24"/>
          <w:szCs w:val="24"/>
        </w:rPr>
        <w:t>座落地</w:t>
      </w:r>
      <w:r>
        <w:rPr>
          <w:rFonts w:hint="eastAsia" w:ascii="楷体" w:hAnsi="楷体" w:eastAsia="楷体"/>
          <w:b/>
          <w:sz w:val="24"/>
          <w:szCs w:val="24"/>
        </w:rPr>
        <w:t>——房地产座落在两个或两个以上地区的，应按房地产所在地分别申报纳税</w:t>
      </w:r>
    </w:p>
    <w:p>
      <w:pPr>
        <w:spacing w:beforeLines="50" w:after="0" w:line="360" w:lineRule="auto"/>
        <w:ind w:left="476"/>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3" w:name="_【问题】本表，有哪些注意事项？"/>
      <w:bookmarkEnd w:id="3"/>
      <w:r>
        <w:rPr>
          <w:rFonts w:hint="eastAsia"/>
          <w:sz w:val="24"/>
          <w:szCs w:val="24"/>
        </w:rPr>
        <w:t>【问题】填表前，要注意哪些？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（1）填报时限——</w:t>
      </w:r>
      <w:r>
        <w:rPr>
          <w:rFonts w:ascii="楷体" w:hAnsi="楷体" w:eastAsia="楷体"/>
          <w:b/>
          <w:sz w:val="24"/>
          <w:szCs w:val="24"/>
        </w:rPr>
        <w:t>从事房地产开发的纳税人</w:t>
      </w:r>
      <w:r>
        <w:rPr>
          <w:rFonts w:hint="eastAsia" w:ascii="楷体" w:hAnsi="楷体" w:eastAsia="楷体"/>
          <w:b/>
          <w:sz w:val="24"/>
          <w:szCs w:val="24"/>
        </w:rPr>
        <w:t>，</w:t>
      </w:r>
      <w:r>
        <w:rPr>
          <w:rFonts w:ascii="楷体" w:hAnsi="楷体" w:eastAsia="楷体"/>
          <w:b/>
          <w:sz w:val="24"/>
          <w:szCs w:val="24"/>
        </w:rPr>
        <w:t>凡从事新建房及配套设施开发</w:t>
      </w:r>
      <w:r>
        <w:rPr>
          <w:rFonts w:hint="eastAsia" w:ascii="楷体" w:hAnsi="楷体" w:eastAsia="楷体"/>
          <w:b/>
          <w:sz w:val="24"/>
          <w:szCs w:val="24"/>
        </w:rPr>
        <w:t>，</w:t>
      </w:r>
      <w:r>
        <w:rPr>
          <w:rFonts w:ascii="楷体" w:hAnsi="楷体" w:eastAsia="楷体"/>
          <w:b/>
          <w:sz w:val="24"/>
          <w:szCs w:val="24"/>
        </w:rPr>
        <w:t>在立项后及每次转让时填报在每次转让时填报，也可按月或按各省、自治区、直辖市和计划单列市税务局规定的期限汇总填报。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（2）提交资料——</w:t>
      </w:r>
      <w:r>
        <w:rPr>
          <w:rFonts w:ascii="楷体" w:hAnsi="楷体" w:eastAsia="楷体"/>
          <w:b/>
          <w:sz w:val="24"/>
          <w:szCs w:val="24"/>
        </w:rPr>
        <w:t>填报本表时</w:t>
      </w:r>
      <w:r>
        <w:rPr>
          <w:rFonts w:hint="eastAsia" w:ascii="楷体" w:hAnsi="楷体" w:eastAsia="楷体"/>
          <w:b/>
          <w:sz w:val="24"/>
          <w:szCs w:val="24"/>
        </w:rPr>
        <w:t>，</w:t>
      </w:r>
      <w:r>
        <w:rPr>
          <w:rFonts w:ascii="楷体" w:hAnsi="楷体" w:eastAsia="楷体"/>
          <w:b/>
          <w:sz w:val="24"/>
          <w:szCs w:val="24"/>
        </w:rPr>
        <w:t>应</w:t>
      </w:r>
      <w:r>
        <w:rPr>
          <w:rFonts w:ascii="楷体" w:hAnsi="楷体" w:eastAsia="楷体"/>
          <w:b/>
          <w:color w:val="C55911" w:themeColor="accent2" w:themeShade="BF"/>
          <w:sz w:val="24"/>
          <w:szCs w:val="24"/>
        </w:rPr>
        <w:t>同时向主管税务机关提交土地使用权受让合同、房地产转让合同等</w:t>
      </w:r>
      <w:r>
        <w:rPr>
          <w:rFonts w:ascii="楷体" w:hAnsi="楷体" w:eastAsia="楷体"/>
          <w:b/>
          <w:sz w:val="24"/>
          <w:szCs w:val="24"/>
        </w:rPr>
        <w:t>有关资料。</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w:t>
      </w:r>
      <w:r>
        <w:rPr>
          <w:rFonts w:ascii="楷体" w:hAnsi="楷体" w:eastAsia="楷体"/>
          <w:b/>
          <w:sz w:val="24"/>
          <w:szCs w:val="24"/>
        </w:rPr>
        <w:t>本表栏目的内容</w:t>
      </w:r>
      <w:r>
        <w:rPr>
          <w:rFonts w:hint="eastAsia" w:ascii="楷体" w:hAnsi="楷体" w:eastAsia="楷体"/>
          <w:b/>
          <w:sz w:val="24"/>
          <w:szCs w:val="24"/>
        </w:rPr>
        <w:t>——</w:t>
      </w:r>
      <w:r>
        <w:rPr>
          <w:rFonts w:ascii="楷体" w:hAnsi="楷体" w:eastAsia="楷体"/>
          <w:b/>
          <w:sz w:val="24"/>
          <w:szCs w:val="24"/>
        </w:rPr>
        <w:t>如果没有</w:t>
      </w:r>
      <w:r>
        <w:rPr>
          <w:rFonts w:hint="eastAsia" w:ascii="楷体" w:hAnsi="楷体" w:eastAsia="楷体"/>
          <w:b/>
          <w:sz w:val="24"/>
          <w:szCs w:val="24"/>
        </w:rPr>
        <w:t>，</w:t>
      </w:r>
      <w:r>
        <w:rPr>
          <w:rFonts w:ascii="楷体" w:hAnsi="楷体" w:eastAsia="楷体"/>
          <w:b/>
          <w:sz w:val="24"/>
          <w:szCs w:val="24"/>
        </w:rPr>
        <w:t>可以空置不填。</w:t>
      </w: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4" w:name="_【问题】“项目名称”，从哪里取得？"/>
      <w:bookmarkEnd w:id="4"/>
      <w:r>
        <w:rPr>
          <w:rFonts w:hint="eastAsia"/>
          <w:sz w:val="24"/>
          <w:szCs w:val="24"/>
        </w:rPr>
        <w:t>【问题】“项目名称”，怎么填？</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填写纳税人所开发并转让的且</w:t>
      </w:r>
      <w:r>
        <w:rPr>
          <w:rFonts w:ascii="楷体" w:hAnsi="楷体" w:eastAsia="楷体"/>
          <w:b/>
          <w:color w:val="C55911" w:themeColor="accent2" w:themeShade="BF"/>
          <w:sz w:val="24"/>
          <w:szCs w:val="24"/>
        </w:rPr>
        <w:t>经国家有关部门审批的房地产开发项目全称</w:t>
      </w:r>
      <w:r>
        <w:rPr>
          <w:rFonts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因增值率不同而适用不同税率，那么如何在项目申报审批环节开展节税筹划</w:t>
      </w:r>
      <w:r>
        <w:rPr>
          <w:rFonts w:hint="eastAsia" w:ascii="楷体" w:hAnsi="楷体" w:eastAsia="楷体"/>
          <w:b/>
          <w:sz w:val="24"/>
          <w:szCs w:val="24"/>
        </w:rPr>
        <w:t>？</w:t>
      </w:r>
      <w:r>
        <w:rPr>
          <w:rFonts w:hint="eastAsia" w:ascii="楷体" w:hAnsi="楷体" w:eastAsia="楷体"/>
          <w:b/>
          <w:color w:val="0070C0"/>
          <w:sz w:val="24"/>
          <w:szCs w:val="24"/>
        </w:rPr>
        <w:t>有关部门的审批，有哪些要求</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5" w:name="_【问题】“建设项目起讫时间”，按合同约定时间，还是以实际施工期间？竣工"/>
      <w:bookmarkEnd w:id="5"/>
      <w:r>
        <w:rPr>
          <w:rFonts w:hint="eastAsia"/>
          <w:sz w:val="24"/>
          <w:szCs w:val="24"/>
        </w:rPr>
        <w:t>【问题】“</w:t>
      </w:r>
      <w:r>
        <w:rPr>
          <w:sz w:val="24"/>
          <w:szCs w:val="24"/>
        </w:rPr>
        <w:t>建设项目起讫时间</w:t>
      </w:r>
      <w:r>
        <w:rPr>
          <w:rFonts w:hint="eastAsia"/>
          <w:sz w:val="24"/>
          <w:szCs w:val="24"/>
        </w:rPr>
        <w:t>”，按合同约定时间，还是以实际施工期间？竣工时间，如何确定？</w:t>
      </w:r>
    </w:p>
    <w:p>
      <w:pPr>
        <w:spacing w:beforeLines="50" w:after="0" w:line="360" w:lineRule="auto"/>
        <w:ind w:left="477" w:leftChars="227" w:firstLine="354" w:firstLineChars="147"/>
        <w:rPr>
          <w:rFonts w:ascii="楷体" w:hAnsi="楷体" w:eastAsia="楷体"/>
          <w:b/>
          <w:color w:val="0070C0"/>
          <w:sz w:val="24"/>
          <w:szCs w:val="24"/>
        </w:rPr>
      </w:pPr>
      <w:r>
        <w:rPr>
          <w:rFonts w:hint="eastAsia" w:ascii="楷体" w:hAnsi="楷体" w:eastAsia="楷体"/>
          <w:b/>
          <w:color w:val="0070C0"/>
          <w:sz w:val="24"/>
          <w:szCs w:val="24"/>
        </w:rPr>
        <w:t>需研究……</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6" w:name="_【问题】“总预算成本”，怎么填？如追加预算呢？"/>
      <w:bookmarkEnd w:id="6"/>
      <w:r>
        <w:rPr>
          <w:rFonts w:hint="eastAsia"/>
          <w:sz w:val="24"/>
          <w:szCs w:val="24"/>
        </w:rPr>
        <w:t>【问题】“</w:t>
      </w:r>
      <w:r>
        <w:rPr>
          <w:sz w:val="24"/>
          <w:szCs w:val="24"/>
        </w:rPr>
        <w:t>总预算成本</w:t>
      </w:r>
      <w:r>
        <w:rPr>
          <w:rFonts w:hint="eastAsia"/>
          <w:sz w:val="24"/>
          <w:szCs w:val="24"/>
        </w:rPr>
        <w:t>”，怎么填？如追加预算呢？</w:t>
      </w:r>
    </w:p>
    <w:p>
      <w:pPr>
        <w:spacing w:beforeLines="50" w:after="0" w:line="360" w:lineRule="auto"/>
        <w:ind w:left="477" w:leftChars="227" w:firstLine="354" w:firstLineChars="147"/>
        <w:rPr>
          <w:rFonts w:ascii="楷体" w:hAnsi="楷体" w:eastAsia="楷体"/>
          <w:b/>
          <w:color w:val="0070C0"/>
          <w:sz w:val="24"/>
          <w:szCs w:val="24"/>
        </w:rPr>
      </w:pPr>
      <w:r>
        <w:rPr>
          <w:rFonts w:hint="eastAsia" w:ascii="楷体" w:hAnsi="楷体" w:eastAsia="楷体"/>
          <w:b/>
          <w:color w:val="0070C0"/>
          <w:sz w:val="24"/>
          <w:szCs w:val="24"/>
        </w:rPr>
        <w:t>需研究……</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7" w:name="_【问题】“单位预算成本”，怎么填？"/>
      <w:bookmarkEnd w:id="7"/>
      <w:r>
        <w:rPr>
          <w:rFonts w:hint="eastAsia"/>
          <w:sz w:val="24"/>
          <w:szCs w:val="24"/>
        </w:rPr>
        <w:t>【问题】“单位</w:t>
      </w:r>
      <w:r>
        <w:rPr>
          <w:sz w:val="24"/>
          <w:szCs w:val="24"/>
        </w:rPr>
        <w:t>预算成本</w:t>
      </w:r>
      <w:r>
        <w:rPr>
          <w:rFonts w:hint="eastAsia"/>
          <w:sz w:val="24"/>
          <w:szCs w:val="24"/>
        </w:rPr>
        <w:t>”，怎么填？用总建筑面积，还是用可售面积计算？</w:t>
      </w:r>
    </w:p>
    <w:p>
      <w:pPr>
        <w:spacing w:beforeLines="50" w:after="0" w:line="360" w:lineRule="auto"/>
        <w:ind w:left="477" w:leftChars="227" w:firstLine="354" w:firstLineChars="147"/>
        <w:rPr>
          <w:rFonts w:ascii="楷体" w:hAnsi="楷体" w:eastAsia="楷体"/>
          <w:b/>
          <w:color w:val="0070C0"/>
          <w:sz w:val="24"/>
          <w:szCs w:val="24"/>
        </w:rPr>
      </w:pPr>
      <w:r>
        <w:rPr>
          <w:rFonts w:hint="eastAsia" w:ascii="楷体" w:hAnsi="楷体" w:eastAsia="楷体"/>
          <w:b/>
          <w:color w:val="0070C0"/>
          <w:sz w:val="24"/>
          <w:szCs w:val="24"/>
        </w:rPr>
        <w:t>需研究……</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8" w:name="_【问题】“开发建筑总面积单位”，是否包括基础设施、公共配套设施的面积？"/>
      <w:bookmarkEnd w:id="8"/>
      <w:r>
        <w:rPr>
          <w:rFonts w:hint="eastAsia"/>
          <w:sz w:val="24"/>
          <w:szCs w:val="24"/>
        </w:rPr>
        <w:t>【问题】“</w:t>
      </w:r>
      <w:r>
        <w:rPr>
          <w:sz w:val="24"/>
          <w:szCs w:val="24"/>
        </w:rPr>
        <w:t>开发建筑总面积</w:t>
      </w:r>
      <w:r>
        <w:rPr>
          <w:rFonts w:hint="eastAsia"/>
          <w:sz w:val="24"/>
          <w:szCs w:val="24"/>
        </w:rPr>
        <w:t>单位”，是否包括基础设施、公共配套设施的面积？</w:t>
      </w:r>
    </w:p>
    <w:p>
      <w:pPr>
        <w:spacing w:beforeLines="50" w:after="0" w:line="360" w:lineRule="auto"/>
        <w:ind w:left="477" w:leftChars="227" w:firstLine="354" w:firstLineChars="147"/>
        <w:rPr>
          <w:rFonts w:ascii="楷体" w:hAnsi="楷体" w:eastAsia="楷体"/>
          <w:b/>
          <w:color w:val="0070C0"/>
          <w:sz w:val="24"/>
          <w:szCs w:val="24"/>
        </w:rPr>
      </w:pPr>
      <w:r>
        <w:rPr>
          <w:rFonts w:hint="eastAsia" w:ascii="楷体" w:hAnsi="楷体" w:eastAsia="楷体"/>
          <w:b/>
          <w:color w:val="0070C0"/>
          <w:sz w:val="24"/>
          <w:szCs w:val="24"/>
        </w:rPr>
        <w:t>需研究……</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9" w:name="_【问题】“房地产转让合同名称”，包括哪些？"/>
      <w:bookmarkEnd w:id="9"/>
      <w:r>
        <w:rPr>
          <w:rFonts w:hint="eastAsia"/>
          <w:sz w:val="24"/>
          <w:szCs w:val="24"/>
        </w:rPr>
        <w:t>【问题】“</w:t>
      </w:r>
      <w:r>
        <w:rPr>
          <w:sz w:val="24"/>
          <w:szCs w:val="24"/>
        </w:rPr>
        <w:t>房地产转让合同名称</w:t>
      </w:r>
      <w:r>
        <w:rPr>
          <w:rFonts w:hint="eastAsia"/>
          <w:sz w:val="24"/>
          <w:szCs w:val="24"/>
        </w:rPr>
        <w:t>”，包括哪些？</w:t>
      </w:r>
    </w:p>
    <w:p>
      <w:pPr>
        <w:spacing w:beforeLines="50" w:after="0" w:line="360" w:lineRule="auto"/>
        <w:ind w:left="477" w:leftChars="227" w:firstLine="354" w:firstLineChars="147"/>
        <w:rPr>
          <w:rFonts w:ascii="楷体" w:hAnsi="楷体" w:eastAsia="楷体"/>
          <w:b/>
          <w:color w:val="0070C0"/>
          <w:sz w:val="24"/>
          <w:szCs w:val="24"/>
        </w:rPr>
      </w:pPr>
      <w:r>
        <w:rPr>
          <w:rFonts w:hint="eastAsia" w:ascii="楷体" w:hAnsi="楷体" w:eastAsia="楷体"/>
          <w:b/>
          <w:color w:val="0070C0"/>
          <w:sz w:val="24"/>
          <w:szCs w:val="24"/>
        </w:rPr>
        <w:t>需研究……</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10" w:name="_【问题】“转让合同签订日期（按次填写）”，每卖一套商品房，都算一次，还"/>
      <w:bookmarkEnd w:id="10"/>
      <w:r>
        <w:rPr>
          <w:rFonts w:hint="eastAsia"/>
          <w:sz w:val="24"/>
          <w:szCs w:val="24"/>
        </w:rPr>
        <w:t>【问题】“</w:t>
      </w:r>
      <w:r>
        <w:rPr>
          <w:sz w:val="24"/>
          <w:szCs w:val="24"/>
        </w:rPr>
        <w:t>转让合同签订日期（按次填写）</w:t>
      </w:r>
      <w:r>
        <w:rPr>
          <w:rFonts w:hint="eastAsia"/>
          <w:sz w:val="24"/>
          <w:szCs w:val="24"/>
        </w:rPr>
        <w:t>”，每卖一套商品房，都算一次，还是按批次、期数填写？</w:t>
      </w:r>
    </w:p>
    <w:p>
      <w:pPr>
        <w:spacing w:beforeLines="50" w:after="0" w:line="360" w:lineRule="auto"/>
        <w:ind w:left="477" w:leftChars="227" w:firstLine="354" w:firstLineChars="147"/>
        <w:rPr>
          <w:rFonts w:ascii="楷体" w:hAnsi="楷体" w:eastAsia="楷体"/>
          <w:b/>
          <w:color w:val="0070C0"/>
          <w:sz w:val="24"/>
          <w:szCs w:val="24"/>
        </w:rPr>
      </w:pPr>
      <w:r>
        <w:rPr>
          <w:rFonts w:hint="eastAsia" w:ascii="楷体" w:hAnsi="楷体" w:eastAsia="楷体"/>
          <w:b/>
          <w:color w:val="0070C0"/>
          <w:sz w:val="24"/>
          <w:szCs w:val="24"/>
        </w:rPr>
        <w:t>需研究……</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11" w:name="_【问题】哪些情况下，需预缴？"/>
      <w:bookmarkEnd w:id="11"/>
      <w:r>
        <w:rPr>
          <w:rFonts w:hint="eastAsia"/>
          <w:sz w:val="24"/>
          <w:szCs w:val="24"/>
        </w:rPr>
        <w:t>【问题】哪些情况下，需预缴？——两种：</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（1）采取分期收款方式转让房地产的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（2）采取预售方式转让房地产的</w:t>
      </w: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12" w:name="_【问题】清算，有哪些规定？"/>
      <w:bookmarkEnd w:id="12"/>
      <w:r>
        <w:rPr>
          <w:rFonts w:hint="eastAsia"/>
          <w:sz w:val="24"/>
          <w:szCs w:val="24"/>
        </w:rPr>
        <w:t>【问题】清算，有哪些规定？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依据：《</w:t>
      </w:r>
      <w:r>
        <w:fldChar w:fldCharType="begin"/>
      </w:r>
      <w:r>
        <w:instrText xml:space="preserve"> HYPERLINK "http://ssfb86.com/index/News/detail/newsid/8266.html" </w:instrText>
      </w:r>
      <w:r>
        <w:fldChar w:fldCharType="separate"/>
      </w:r>
      <w:r>
        <w:rPr>
          <w:rStyle w:val="14"/>
          <w:rFonts w:hint="eastAsia" w:ascii="楷体" w:hAnsi="楷体" w:eastAsia="楷体"/>
          <w:b/>
          <w:sz w:val="24"/>
          <w:szCs w:val="24"/>
        </w:rPr>
        <w:t xml:space="preserve"> 5.3.1 管理办法</w:t>
      </w:r>
      <w:r>
        <w:rPr>
          <w:rStyle w:val="14"/>
          <w:rFonts w:hint="eastAsia" w:ascii="楷体" w:hAnsi="楷体" w:eastAsia="楷体"/>
          <w:b/>
          <w:sz w:val="24"/>
          <w:szCs w:val="24"/>
        </w:rPr>
        <w:fldChar w:fldCharType="end"/>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第一，清算单元——两层</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（1）以国家有关部门审批的房地产开发项目为单位进行清算，</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w:t>
      </w:r>
      <w:r>
        <w:rPr>
          <w:rFonts w:hint="eastAsia" w:ascii="楷体" w:hAnsi="楷体" w:eastAsia="楷体"/>
          <w:b/>
          <w:color w:val="C55911" w:themeColor="accent2" w:themeShade="BF"/>
          <w:sz w:val="24"/>
          <w:szCs w:val="24"/>
        </w:rPr>
        <w:t>分期开发的项目，以分期项目为单位清算</w:t>
      </w:r>
      <w:r>
        <w:rPr>
          <w:rFonts w:hint="eastAsia" w:ascii="楷体" w:hAnsi="楷体" w:eastAsia="楷体"/>
          <w:b/>
          <w:sz w:val="24"/>
          <w:szCs w:val="24"/>
        </w:rPr>
        <w:t>。——提示：分期开发的期数，一般情况下按发改委批文来判定，通常由企业自主确定？——思考：</w:t>
      </w:r>
      <w:r>
        <w:rPr>
          <w:rFonts w:hint="eastAsia" w:ascii="楷体" w:hAnsi="楷体" w:eastAsia="楷体"/>
          <w:b/>
          <w:color w:val="0070C0"/>
          <w:sz w:val="24"/>
          <w:szCs w:val="24"/>
        </w:rPr>
        <w:t>如何通过划分期数，进行合理的税收筹划</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bookmarkStart w:id="13" w:name="_Hlk23109917"/>
      <w:bookmarkEnd w:id="13"/>
      <w:r>
        <w:rPr>
          <w:rFonts w:hint="eastAsia" w:ascii="楷体" w:hAnsi="楷体" w:eastAsia="楷体"/>
          <w:b/>
          <w:sz w:val="24"/>
          <w:szCs w:val="24"/>
        </w:rPr>
        <w:t>注：开发项目中同时包含普通住宅和非普通住宅的——应分别计算增值额。</w:t>
      </w:r>
    </w:p>
    <w:p>
      <w:pPr>
        <w:spacing w:beforeLines="50" w:after="0" w:line="360" w:lineRule="auto"/>
        <w:ind w:left="477" w:leftChars="227" w:firstLine="354" w:firstLineChars="147"/>
        <w:rPr>
          <w:rFonts w:ascii="楷体" w:hAnsi="楷体" w:eastAsia="楷体"/>
          <w:b/>
          <w:sz w:val="24"/>
          <w:szCs w:val="24"/>
        </w:rPr>
      </w:pPr>
      <w:bookmarkStart w:id="14" w:name="_Hlk23109935"/>
      <w:bookmarkEnd w:id="14"/>
      <w:r>
        <w:rPr>
          <w:rFonts w:hint="eastAsia" w:ascii="楷体" w:hAnsi="楷体" w:eastAsia="楷体"/>
          <w:b/>
          <w:sz w:val="24"/>
          <w:szCs w:val="24"/>
        </w:rPr>
        <w:t>第二，清算标准——两种：</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（1）应清算——3类：</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A、全部竣工、完成销售的；</w:t>
      </w:r>
    </w:p>
    <w:p>
      <w:pPr>
        <w:spacing w:beforeLines="50" w:after="0" w:line="360" w:lineRule="auto"/>
        <w:ind w:left="477" w:leftChars="227" w:firstLine="354" w:firstLineChars="147"/>
        <w:rPr>
          <w:rFonts w:ascii="楷体" w:hAnsi="楷体" w:eastAsia="楷体"/>
          <w:b/>
          <w:sz w:val="24"/>
          <w:szCs w:val="24"/>
        </w:rPr>
      </w:pPr>
      <w:bookmarkStart w:id="15" w:name="_Hlk23109950"/>
      <w:bookmarkEnd w:id="15"/>
      <w:r>
        <w:rPr>
          <w:rFonts w:hint="eastAsia" w:ascii="楷体" w:hAnsi="楷体" w:eastAsia="楷体"/>
          <w:b/>
          <w:sz w:val="24"/>
          <w:szCs w:val="24"/>
        </w:rPr>
        <w:t>B、</w:t>
      </w:r>
      <w:r>
        <w:rPr>
          <w:rFonts w:hint="eastAsia" w:ascii="楷体" w:hAnsi="楷体" w:eastAsia="楷体"/>
          <w:b/>
          <w:color w:val="C55911" w:themeColor="accent2" w:themeShade="BF"/>
          <w:sz w:val="24"/>
          <w:szCs w:val="24"/>
        </w:rPr>
        <w:t>整体转让未竣工决算</w:t>
      </w:r>
      <w:r>
        <w:rPr>
          <w:rFonts w:hint="eastAsia" w:ascii="楷体" w:hAnsi="楷体" w:eastAsia="楷体"/>
          <w:b/>
          <w:sz w:val="24"/>
          <w:szCs w:val="24"/>
        </w:rPr>
        <w:t>房地产开发项目的；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C、直接转让土地使用权的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（2）税务机关</w:t>
      </w:r>
      <w:r>
        <w:rPr>
          <w:rFonts w:hint="eastAsia" w:ascii="楷体" w:hAnsi="楷体" w:eastAsia="楷体"/>
          <w:b/>
          <w:color w:val="C55911" w:themeColor="accent2" w:themeShade="BF"/>
          <w:sz w:val="24"/>
          <w:szCs w:val="24"/>
        </w:rPr>
        <w:t>可</w:t>
      </w:r>
      <w:r>
        <w:rPr>
          <w:rFonts w:hint="eastAsia" w:ascii="楷体" w:hAnsi="楷体" w:eastAsia="楷体"/>
          <w:b/>
          <w:sz w:val="24"/>
          <w:szCs w:val="24"/>
        </w:rPr>
        <w:t>要求清算——4类：</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A、已竣工验收+</w:t>
      </w:r>
      <w:r>
        <w:rPr>
          <w:rFonts w:hint="eastAsia" w:ascii="楷体" w:hAnsi="楷体" w:eastAsia="楷体"/>
          <w:b/>
          <w:color w:val="C55911" w:themeColor="accent2" w:themeShade="BF"/>
          <w:sz w:val="24"/>
          <w:szCs w:val="24"/>
        </w:rPr>
        <w:t>已转让的建筑面积占整个项目可售建筑面积的比例在85%以</w:t>
      </w:r>
      <w:r>
        <w:rPr>
          <w:rFonts w:hint="eastAsia" w:ascii="楷体" w:hAnsi="楷体" w:eastAsia="楷体"/>
          <w:b/>
          <w:sz w:val="24"/>
          <w:szCs w:val="24"/>
        </w:rPr>
        <w:t>上（或该比例</w:t>
      </w:r>
      <w:r>
        <w:rPr>
          <w:rFonts w:hint="eastAsia" w:ascii="楷体" w:hAnsi="楷体" w:eastAsia="楷体"/>
          <w:b/>
          <w:color w:val="C55911" w:themeColor="accent2" w:themeShade="BF"/>
          <w:sz w:val="24"/>
          <w:szCs w:val="24"/>
        </w:rPr>
        <w:t>虽未超过85%，但剩余的可售建筑面积已出租或自用</w:t>
      </w:r>
      <w:r>
        <w:rPr>
          <w:rFonts w:hint="eastAsia" w:ascii="楷体" w:hAnsi="楷体" w:eastAsia="楷体"/>
          <w:b/>
          <w:sz w:val="24"/>
          <w:szCs w:val="24"/>
        </w:rPr>
        <w:t>的）；</w:t>
      </w:r>
    </w:p>
    <w:p>
      <w:pPr>
        <w:spacing w:beforeLines="50" w:after="0" w:line="360" w:lineRule="auto"/>
        <w:ind w:left="477" w:leftChars="227" w:firstLine="354" w:firstLineChars="147"/>
        <w:rPr>
          <w:rFonts w:ascii="楷体" w:hAnsi="楷体" w:eastAsia="楷体"/>
          <w:b/>
          <w:sz w:val="24"/>
          <w:szCs w:val="24"/>
        </w:rPr>
      </w:pPr>
      <w:bookmarkStart w:id="16" w:name="_Hlk23109970"/>
      <w:bookmarkEnd w:id="16"/>
      <w:r>
        <w:rPr>
          <w:rFonts w:hint="eastAsia" w:ascii="楷体" w:hAnsi="楷体" w:eastAsia="楷体"/>
          <w:b/>
          <w:sz w:val="24"/>
          <w:szCs w:val="24"/>
        </w:rPr>
        <w:t>B、取得</w:t>
      </w:r>
      <w:r>
        <w:rPr>
          <w:rFonts w:hint="eastAsia" w:ascii="楷体" w:hAnsi="楷体" w:eastAsia="楷体"/>
          <w:b/>
          <w:color w:val="C55911" w:themeColor="accent2" w:themeShade="BF"/>
          <w:sz w:val="24"/>
          <w:szCs w:val="24"/>
        </w:rPr>
        <w:t>销售（预售）许可证满三年仍未销售完毕</w:t>
      </w:r>
      <w:r>
        <w:rPr>
          <w:rFonts w:hint="eastAsia" w:ascii="楷体" w:hAnsi="楷体" w:eastAsia="楷体"/>
          <w:b/>
          <w:sz w:val="24"/>
          <w:szCs w:val="24"/>
        </w:rPr>
        <w:t>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C、纳税人申请注销税务登记但未办理土地增值税清算手续的；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D、省税务机关规定的其他情况。</w:t>
      </w:r>
    </w:p>
    <w:p>
      <w:pPr>
        <w:spacing w:beforeLines="50" w:after="0" w:line="360" w:lineRule="auto"/>
        <w:ind w:left="477" w:leftChars="227" w:firstLine="354" w:firstLineChars="147"/>
        <w:rPr>
          <w:rFonts w:ascii="楷体" w:hAnsi="楷体" w:eastAsia="楷体"/>
          <w:b/>
          <w:sz w:val="24"/>
          <w:szCs w:val="24"/>
        </w:rPr>
      </w:pPr>
      <w:bookmarkStart w:id="17" w:name="_Hlk23109999"/>
      <w:bookmarkEnd w:id="17"/>
      <w:bookmarkStart w:id="18" w:name="_Hlk23110520"/>
      <w:bookmarkEnd w:id="18"/>
      <w:r>
        <w:rPr>
          <w:rFonts w:hint="eastAsia" w:ascii="楷体" w:hAnsi="楷体" w:eastAsia="楷体"/>
          <w:b/>
          <w:sz w:val="24"/>
          <w:szCs w:val="24"/>
        </w:rPr>
        <w:t>第三，清算期限——两种：</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（1）应清算——在满足条件之日起90日内</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（2）税务机关可要求清算——在主管税务机关限定的期限内清算</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第四，未按期清算的法律责任——思考：</w:t>
      </w:r>
      <w:r>
        <w:rPr>
          <w:rFonts w:hint="eastAsia" w:ascii="楷体" w:hAnsi="楷体" w:eastAsia="楷体"/>
          <w:b/>
          <w:color w:val="0070C0"/>
          <w:sz w:val="24"/>
          <w:szCs w:val="24"/>
        </w:rPr>
        <w:t>是否构成偷税</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第五，应报送的清算资料</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（1）书面申请、土地增值税纳税申报表；</w:t>
      </w:r>
    </w:p>
    <w:p>
      <w:pPr>
        <w:spacing w:beforeLines="50" w:after="0" w:line="360" w:lineRule="auto"/>
        <w:ind w:left="477" w:leftChars="227" w:firstLine="354" w:firstLineChars="147"/>
        <w:rPr>
          <w:rFonts w:ascii="楷体" w:hAnsi="楷体" w:eastAsia="楷体"/>
          <w:b/>
          <w:sz w:val="24"/>
          <w:szCs w:val="24"/>
        </w:rPr>
      </w:pPr>
      <w:bookmarkStart w:id="19" w:name="_Hlk23110166"/>
      <w:bookmarkEnd w:id="19"/>
      <w:r>
        <w:rPr>
          <w:rFonts w:hint="eastAsia" w:ascii="楷体" w:hAnsi="楷体" w:eastAsia="楷体"/>
          <w:b/>
          <w:sz w:val="24"/>
          <w:szCs w:val="24"/>
        </w:rPr>
        <w:t>（2）</w:t>
      </w:r>
      <w:r>
        <w:rPr>
          <w:rFonts w:ascii="楷体" w:hAnsi="楷体" w:eastAsia="楷体"/>
          <w:b/>
          <w:sz w:val="24"/>
          <w:szCs w:val="24"/>
        </w:rPr>
        <w:t>清算单位的情况说明，具体内容如下：</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①企业基本情况；</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②项目基本情况，包括立项、清算单位备案、用地、开发、销售、视同销售、竣工、融资、税款缴纳、关联方交易、可售与不可售建筑面积构成、清算情形、车库（车位、储藏室等）能够办理权属登记情况说明等内容；</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③会计核算和归集情况，涉及分期开发项目或同时开发多个项目且需要分摊成本的，对成本总额、分摊方法、分摊金额等相关情况的说明；</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④工程决算、审计及发票取得情况。</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（3）主管税务机关要求报送的其他与土地增值税清算有关的证明资料等。</w:t>
      </w:r>
    </w:p>
    <w:p>
      <w:pPr>
        <w:spacing w:beforeLines="50" w:after="0" w:line="360" w:lineRule="auto"/>
        <w:ind w:left="477" w:leftChars="227" w:firstLine="354" w:firstLineChars="147"/>
        <w:rPr>
          <w:rFonts w:hint="eastAsia" w:ascii="楷体" w:hAnsi="楷体" w:eastAsia="楷体"/>
          <w:b/>
          <w:sz w:val="24"/>
          <w:szCs w:val="24"/>
        </w:rPr>
      </w:pPr>
      <w:r>
        <w:rPr>
          <w:rFonts w:hint="eastAsia" w:ascii="楷体" w:hAnsi="楷体" w:eastAsia="楷体"/>
          <w:b/>
          <w:sz w:val="24"/>
          <w:szCs w:val="24"/>
        </w:rPr>
        <w:t>（4）纳税人委托税务中介机构审核鉴证的清算项目，还应报送中介机构出具的《土地增值税清算税款鉴证报告》。</w:t>
      </w:r>
    </w:p>
    <w:p>
      <w:pPr>
        <w:spacing w:beforeLines="50" w:after="0" w:line="360" w:lineRule="auto"/>
        <w:ind w:left="477" w:leftChars="227" w:firstLine="354" w:firstLineChars="147"/>
        <w:rPr>
          <w:rFonts w:hint="eastAsia" w:ascii="楷体" w:hAnsi="楷体" w:eastAsia="楷体"/>
          <w:b/>
          <w:sz w:val="24"/>
          <w:szCs w:val="24"/>
        </w:rPr>
      </w:pPr>
      <w:r>
        <w:rPr>
          <w:rFonts w:hint="eastAsia" w:ascii="楷体" w:hAnsi="楷体" w:eastAsia="楷体"/>
          <w:b/>
          <w:sz w:val="24"/>
          <w:szCs w:val="24"/>
        </w:rPr>
        <w:t>第六，企业应留存的资料</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纳税人清算申报时，应当将下列资料按清算单位装订成册、制定索引目录，并妥善保管留存备查：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w:t>
      </w:r>
      <w:r>
        <w:rPr>
          <w:rFonts w:ascii="楷体" w:hAnsi="楷体" w:eastAsia="楷体"/>
          <w:b/>
          <w:sz w:val="24"/>
          <w:szCs w:val="24"/>
        </w:rPr>
        <w:t>立项批文、《建设用地规划许可证》、《建设工程规划许可证》、《建设工程施工许可证》、清算单位备案资料；</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w:t>
      </w:r>
      <w:r>
        <w:rPr>
          <w:rFonts w:ascii="楷体" w:hAnsi="楷体" w:eastAsia="楷体"/>
          <w:b/>
          <w:sz w:val="24"/>
          <w:szCs w:val="24"/>
        </w:rPr>
        <w:t>取得土地使用权所支付的地价款凭证、国有土地使用权出让合同或转让合同、《国有土地使用证》；</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w:t>
      </w:r>
      <w:r>
        <w:rPr>
          <w:rFonts w:ascii="楷体" w:hAnsi="楷体" w:eastAsia="楷体"/>
          <w:b/>
          <w:sz w:val="24"/>
          <w:szCs w:val="24"/>
        </w:rPr>
        <w:t>保障房暂不预征备案、隐蔽工程报告、成本造价偏高等特殊情况报告资料；</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（4）</w:t>
      </w:r>
      <w:r>
        <w:rPr>
          <w:rFonts w:ascii="楷体" w:hAnsi="楷体" w:eastAsia="楷体"/>
          <w:b/>
          <w:sz w:val="24"/>
          <w:szCs w:val="24"/>
        </w:rPr>
        <w:t>项目规划、设计、勘察、工程招投标、工程施工、甲供材采购和领用等相关有效凭证；</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（5）</w:t>
      </w:r>
      <w:r>
        <w:rPr>
          <w:rFonts w:ascii="楷体" w:hAnsi="楷体" w:eastAsia="楷体"/>
          <w:b/>
          <w:sz w:val="24"/>
          <w:szCs w:val="24"/>
        </w:rPr>
        <w:t>拆迁（回迁）合同、支付或结算凭证、花名册和签收凭证；</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（6）</w:t>
      </w:r>
      <w:r>
        <w:rPr>
          <w:rFonts w:ascii="楷体" w:hAnsi="楷体" w:eastAsia="楷体"/>
          <w:b/>
          <w:sz w:val="24"/>
          <w:szCs w:val="24"/>
        </w:rPr>
        <w:t>项目工程建设合同及其价款结算（书）单；项目竣工决算报表和有关账簿、竣工备案或验收表；建设方、施工方、咨询企业三方盖章的工程结算审核报告；甲供材、设备购领存明细表；</w:t>
      </w:r>
    </w:p>
    <w:p>
      <w:pPr>
        <w:spacing w:beforeLines="50" w:after="0" w:line="360" w:lineRule="auto"/>
        <w:ind w:left="477" w:leftChars="227" w:firstLine="354" w:firstLineChars="147"/>
        <w:rPr>
          <w:rFonts w:hint="eastAsia" w:ascii="楷体" w:hAnsi="楷体" w:eastAsia="楷体"/>
          <w:b/>
          <w:sz w:val="24"/>
          <w:szCs w:val="24"/>
        </w:rPr>
      </w:pPr>
      <w:r>
        <w:rPr>
          <w:rFonts w:hint="eastAsia" w:ascii="楷体" w:hAnsi="楷体" w:eastAsia="楷体"/>
          <w:b/>
          <w:sz w:val="24"/>
          <w:szCs w:val="24"/>
        </w:rPr>
        <w:t>（7）</w:t>
      </w:r>
      <w:r>
        <w:rPr>
          <w:rFonts w:ascii="楷体" w:hAnsi="楷体" w:eastAsia="楷体"/>
          <w:b/>
          <w:sz w:val="24"/>
          <w:szCs w:val="24"/>
        </w:rPr>
        <w:t>依法配建的人防工程验收合格证明资料、公共配套设施验收表，及建成后产权属于全体业主所有和建成后无偿移交给政府、公用事业单位用于非营利性社会公共事业的相关证明资料；</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（8）银行贷款合同及贷款利息结算通知单；</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（9）</w:t>
      </w:r>
      <w:r>
        <w:rPr>
          <w:rFonts w:ascii="楷体" w:hAnsi="楷体" w:eastAsia="楷体"/>
          <w:b/>
          <w:sz w:val="24"/>
          <w:szCs w:val="24"/>
        </w:rPr>
        <w:t>前期工程阶段、土建施工阶段、装饰装修阶段、园林绿化阶段等工程支出的特殊情况说明，及工程施工图、竣工图、工程量清单、材料苗木清单等证明资料；</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（10）</w:t>
      </w:r>
      <w:r>
        <w:rPr>
          <w:rFonts w:ascii="楷体" w:hAnsi="楷体" w:eastAsia="楷体"/>
          <w:b/>
          <w:sz w:val="24"/>
          <w:szCs w:val="24"/>
        </w:rPr>
        <w:t>《商品房预售许可证》，《房产权属准予登记通知（证明）》等初始产权登记相关证明，商品房购销合同统计表、销售明细表、房地产测绘报告等资料；</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（11）</w:t>
      </w:r>
      <w:r>
        <w:rPr>
          <w:rFonts w:ascii="楷体" w:hAnsi="楷体" w:eastAsia="楷体"/>
          <w:b/>
          <w:sz w:val="24"/>
          <w:szCs w:val="24"/>
        </w:rPr>
        <w:t>其他与转让房地产的收入、成本和费用有关的证明资料。</w:t>
      </w:r>
    </w:p>
    <w:p>
      <w:pPr>
        <w:spacing w:beforeLines="50" w:after="0" w:line="360" w:lineRule="auto"/>
        <w:ind w:left="477" w:leftChars="227" w:firstLine="354" w:firstLineChars="147"/>
        <w:rPr>
          <w:rFonts w:hint="eastAsia" w:ascii="楷体" w:hAnsi="楷体" w:eastAsia="楷体"/>
          <w:b/>
          <w:sz w:val="24"/>
          <w:szCs w:val="24"/>
        </w:rPr>
      </w:pPr>
    </w:p>
    <w:p>
      <w:pPr>
        <w:spacing w:beforeLines="50" w:after="0" w:line="360" w:lineRule="auto"/>
        <w:ind w:left="477" w:leftChars="227" w:firstLine="354" w:firstLineChars="147"/>
        <w:rPr>
          <w:rFonts w:hint="eastAsia"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清算后应补缴的土地增值税，是否加收滞纳金</w:t>
      </w:r>
      <w:r>
        <w:rPr>
          <w:rFonts w:hint="eastAsia" w:ascii="楷体" w:hAnsi="楷体" w:eastAsia="楷体"/>
          <w:b/>
          <w:sz w:val="24"/>
          <w:szCs w:val="24"/>
        </w:rPr>
        <w:t>？——依据</w:t>
      </w:r>
      <w:r>
        <w:fldChar w:fldCharType="begin"/>
      </w:r>
      <w:r>
        <w:instrText xml:space="preserve"> HYPERLINK "http://ssfb86.com/index/News/detail/newsid/1939.html" </w:instrText>
      </w:r>
      <w:r>
        <w:fldChar w:fldCharType="separate"/>
      </w:r>
      <w:r>
        <w:rPr>
          <w:rFonts w:hint="eastAsia" w:ascii="楷体" w:hAnsi="楷体" w:eastAsia="楷体"/>
          <w:b/>
          <w:sz w:val="24"/>
          <w:szCs w:val="24"/>
        </w:rPr>
        <w:t>国税函〔2010〕220号</w:t>
      </w:r>
      <w:r>
        <w:rPr>
          <w:rFonts w:hint="eastAsia" w:ascii="楷体" w:hAnsi="楷体" w:eastAsia="楷体"/>
          <w:b/>
          <w:sz w:val="24"/>
          <w:szCs w:val="24"/>
        </w:rPr>
        <w:fldChar w:fldCharType="end"/>
      </w:r>
      <w:r>
        <w:rPr>
          <w:rFonts w:hint="eastAsia" w:ascii="楷体" w:hAnsi="楷体" w:eastAsia="楷体"/>
          <w:b/>
          <w:sz w:val="24"/>
          <w:szCs w:val="24"/>
        </w:rPr>
        <w:t>第八条规定：在主管税务机关规定的期限内补缴的，不加收滞纳金。</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20" w:name="_【问题】“按核定征收方式清算”，有哪些规定？"/>
      <w:bookmarkEnd w:id="20"/>
      <w:r>
        <w:rPr>
          <w:rFonts w:hint="eastAsia"/>
          <w:sz w:val="24"/>
          <w:szCs w:val="24"/>
        </w:rPr>
        <w:t>【问题】“</w:t>
      </w:r>
      <w:r>
        <w:rPr>
          <w:sz w:val="24"/>
          <w:szCs w:val="24"/>
        </w:rPr>
        <w:t>按核定征收方式清算</w:t>
      </w:r>
      <w:r>
        <w:rPr>
          <w:rFonts w:hint="eastAsia"/>
          <w:sz w:val="24"/>
          <w:szCs w:val="24"/>
        </w:rPr>
        <w:t>”，有哪些规定？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依据：</w:t>
      </w:r>
      <w:r>
        <w:fldChar w:fldCharType="begin"/>
      </w:r>
      <w:r>
        <w:instrText xml:space="preserve"> HYPERLINK "http://ssfb86.com/index/News/detail/newsid/2846.html" </w:instrText>
      </w:r>
      <w:r>
        <w:fldChar w:fldCharType="separate"/>
      </w:r>
      <w:r>
        <w:rPr>
          <w:rFonts w:hint="eastAsia" w:ascii="楷体" w:hAnsi="楷体" w:eastAsia="楷体"/>
          <w:b/>
          <w:color w:val="6E6E6E"/>
          <w:sz w:val="24"/>
          <w:szCs w:val="24"/>
          <w:u w:val="single"/>
          <w:shd w:val="clear" w:color="auto" w:fill="FFFFFF"/>
        </w:rPr>
        <w:t>国税发〔2006〕187号</w:t>
      </w:r>
      <w:r>
        <w:rPr>
          <w:rFonts w:hint="eastAsia" w:ascii="楷体" w:hAnsi="楷体" w:eastAsia="楷体"/>
          <w:b/>
          <w:color w:val="6E6E6E"/>
          <w:sz w:val="24"/>
          <w:szCs w:val="24"/>
          <w:u w:val="single"/>
          <w:shd w:val="clear" w:color="auto" w:fill="FFFFFF"/>
        </w:rPr>
        <w:fldChar w:fldCharType="end"/>
      </w:r>
      <w:r>
        <w:rPr>
          <w:rFonts w:hint="eastAsia" w:ascii="楷体" w:hAnsi="楷体" w:eastAsia="楷体"/>
          <w:b/>
          <w:sz w:val="24"/>
          <w:szCs w:val="24"/>
          <w:shd w:val="clear" w:color="auto" w:fill="FFFFFF"/>
        </w:rPr>
        <w:t>第七条、</w:t>
      </w:r>
      <w:r>
        <w:fldChar w:fldCharType="begin"/>
      </w:r>
      <w:r>
        <w:instrText xml:space="preserve"> HYPERLINK "http://ssfb86.com/index/News/detail/newsid/1932.html" </w:instrText>
      </w:r>
      <w:r>
        <w:fldChar w:fldCharType="separate"/>
      </w:r>
      <w:r>
        <w:rPr>
          <w:rFonts w:hint="eastAsia" w:ascii="楷体" w:hAnsi="楷体" w:eastAsia="楷体"/>
          <w:b/>
          <w:color w:val="6E6E6E"/>
          <w:sz w:val="24"/>
          <w:szCs w:val="24"/>
          <w:u w:val="single"/>
          <w:shd w:val="clear" w:color="auto" w:fill="FFFFFF"/>
        </w:rPr>
        <w:t>国税发[2010]53号</w:t>
      </w:r>
      <w:r>
        <w:rPr>
          <w:rFonts w:hint="eastAsia" w:ascii="楷体" w:hAnsi="楷体" w:eastAsia="楷体"/>
          <w:b/>
          <w:color w:val="6E6E6E"/>
          <w:sz w:val="24"/>
          <w:szCs w:val="24"/>
          <w:u w:val="single"/>
          <w:shd w:val="clear" w:color="auto" w:fill="FFFFFF"/>
        </w:rPr>
        <w:fldChar w:fldCharType="end"/>
      </w:r>
      <w:r>
        <w:rPr>
          <w:rFonts w:hint="eastAsia" w:ascii="楷体" w:hAnsi="楷体" w:eastAsia="楷体"/>
          <w:b/>
          <w:sz w:val="24"/>
          <w:szCs w:val="24"/>
          <w:shd w:val="clear" w:color="auto" w:fill="FFFFFF"/>
        </w:rPr>
        <w:t>第四条：</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第一，理论上——5种情形，可核定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（1）应设置但未设置账簿的；</w:t>
      </w:r>
    </w:p>
    <w:p>
      <w:pPr>
        <w:spacing w:beforeLines="50" w:after="0" w:line="360" w:lineRule="auto"/>
        <w:ind w:left="477" w:leftChars="227" w:firstLine="354" w:firstLineChars="147"/>
        <w:rPr>
          <w:rFonts w:ascii="楷体" w:hAnsi="楷体" w:eastAsia="楷体"/>
          <w:b/>
          <w:sz w:val="24"/>
          <w:szCs w:val="24"/>
        </w:rPr>
      </w:pPr>
      <w:bookmarkStart w:id="21" w:name="_Hlk23110257"/>
      <w:bookmarkEnd w:id="21"/>
      <w:r>
        <w:rPr>
          <w:rFonts w:hint="eastAsia" w:ascii="楷体" w:hAnsi="楷体" w:eastAsia="楷体"/>
          <w:b/>
          <w:sz w:val="24"/>
          <w:szCs w:val="24"/>
        </w:rPr>
        <w:t>（2）擅自销毁账簿或者拒不提供纳税资料的；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（3）虽设置账簿，但账目混乱或者成本资料、收入凭证、费用凭证残缺不全，难以确定转让收入或扣除项目金额的；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（4）</w:t>
      </w:r>
      <w:r>
        <w:rPr>
          <w:rFonts w:hint="eastAsia" w:ascii="楷体" w:hAnsi="楷体" w:eastAsia="楷体"/>
          <w:b/>
          <w:color w:val="C55911" w:themeColor="accent2" w:themeShade="BF"/>
          <w:sz w:val="24"/>
          <w:szCs w:val="24"/>
        </w:rPr>
        <w:t>符合土地增值税清算条件，未按照规定的期限办理清算手续，经税务机关责令限期清算，逾期仍不清算</w:t>
      </w:r>
      <w:r>
        <w:rPr>
          <w:rFonts w:hint="eastAsia" w:ascii="楷体" w:hAnsi="楷体" w:eastAsia="楷体"/>
          <w:b/>
          <w:sz w:val="24"/>
          <w:szCs w:val="24"/>
        </w:rPr>
        <w:t>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（5）申报的计税依据明显偏低，又无正当理由的。</w:t>
      </w:r>
    </w:p>
    <w:p>
      <w:pPr>
        <w:spacing w:beforeLines="50" w:after="0" w:line="360" w:lineRule="auto"/>
        <w:ind w:left="477" w:leftChars="227" w:firstLine="354" w:firstLineChars="147"/>
        <w:rPr>
          <w:rFonts w:ascii="楷体" w:hAnsi="楷体" w:eastAsia="楷体"/>
          <w:b/>
          <w:color w:val="C55911" w:themeColor="accent2" w:themeShade="BF"/>
          <w:sz w:val="24"/>
          <w:szCs w:val="24"/>
        </w:rPr>
      </w:pPr>
      <w:r>
        <w:rPr>
          <w:rFonts w:hint="eastAsia" w:ascii="楷体" w:hAnsi="楷体" w:eastAsia="楷体"/>
          <w:b/>
          <w:sz w:val="24"/>
          <w:szCs w:val="24"/>
        </w:rPr>
        <w:t>第二，实操中</w:t>
      </w:r>
      <w:r>
        <w:rPr>
          <w:rFonts w:hint="eastAsia" w:ascii="楷体" w:hAnsi="楷体" w:eastAsia="楷体"/>
          <w:b/>
          <w:color w:val="C55911" w:themeColor="accent2" w:themeShade="BF"/>
          <w:sz w:val="24"/>
          <w:szCs w:val="24"/>
        </w:rPr>
        <w:t>——一般不核定</w:t>
      </w:r>
      <w:r>
        <w:rPr>
          <w:rFonts w:hint="eastAsia" w:ascii="楷体" w:hAnsi="楷体" w:eastAsia="楷体"/>
          <w:b/>
          <w:sz w:val="24"/>
          <w:szCs w:val="24"/>
        </w:rPr>
        <w:t>——必须严格依照税收法律法规规定的条件，</w:t>
      </w:r>
      <w:r>
        <w:rPr>
          <w:rFonts w:hint="eastAsia" w:ascii="楷体" w:hAnsi="楷体" w:eastAsia="楷体"/>
          <w:b/>
          <w:color w:val="C55911" w:themeColor="accent2" w:themeShade="BF"/>
          <w:sz w:val="24"/>
          <w:szCs w:val="24"/>
        </w:rPr>
        <w:t>任何单位和个人不得擅自扩大核定征收范围</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注：</w:t>
      </w:r>
      <w:r>
        <w:rPr>
          <w:rFonts w:ascii="楷体" w:hAnsi="楷体" w:eastAsia="楷体"/>
          <w:b/>
          <w:sz w:val="24"/>
          <w:szCs w:val="24"/>
        </w:rPr>
        <w:t>纳税人在填报本表时，应同时提交</w:t>
      </w:r>
      <w:r>
        <w:rPr>
          <w:rFonts w:ascii="楷体" w:hAnsi="楷体" w:eastAsia="楷体"/>
          <w:b/>
          <w:color w:val="C55911" w:themeColor="accent2" w:themeShade="BF"/>
          <w:sz w:val="24"/>
          <w:szCs w:val="24"/>
        </w:rPr>
        <w:t>税务机关出具的核定文书</w:t>
      </w:r>
      <w:r>
        <w:rPr>
          <w:rFonts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第三，核定征收率——原则上</w:t>
      </w:r>
      <w:r>
        <w:rPr>
          <w:rFonts w:hint="eastAsia" w:ascii="楷体" w:hAnsi="楷体" w:eastAsia="楷体"/>
          <w:b/>
          <w:color w:val="C55911" w:themeColor="accent2" w:themeShade="BF"/>
          <w:sz w:val="24"/>
          <w:szCs w:val="24"/>
        </w:rPr>
        <w:t>不得低于5%</w:t>
      </w:r>
      <w:r>
        <w:rPr>
          <w:rFonts w:hint="eastAsia" w:ascii="楷体" w:hAnsi="楷体" w:eastAsia="楷体"/>
          <w:b/>
          <w:sz w:val="24"/>
          <w:szCs w:val="24"/>
        </w:rPr>
        <w:t>，各省级税务机关要结合本地实际，区分不同房地产类型制定核定征收率——提示：江苏无具体的征收率</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这个5%，是否划算</w:t>
      </w:r>
      <w:r>
        <w:rPr>
          <w:rFonts w:hint="eastAsia" w:ascii="楷体" w:hAnsi="楷体" w:eastAsia="楷体"/>
          <w:b/>
          <w:sz w:val="24"/>
          <w:szCs w:val="24"/>
        </w:rPr>
        <w:t>？——以1个亿的清算单元，成本0.6亿元，增值额0.4亿元，增值率67%，应纳税额＝0.4*40%－0.6*5%＝0.1597亿元，与核定征收的税额＝1*5%＝0.05亿元，相差0.1097亿元——核定征收比较划算！</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22" w:name="_【问题】“纳税人整体转让在建工程适用”，有哪些规定？"/>
      <w:bookmarkEnd w:id="22"/>
      <w:r>
        <w:rPr>
          <w:rFonts w:hint="eastAsia"/>
          <w:sz w:val="24"/>
          <w:szCs w:val="24"/>
        </w:rPr>
        <w:t>【问题】“</w:t>
      </w:r>
      <w:r>
        <w:rPr>
          <w:sz w:val="24"/>
          <w:szCs w:val="24"/>
        </w:rPr>
        <w:t>纳税人整体转让在建工程适用</w:t>
      </w:r>
      <w:r>
        <w:rPr>
          <w:rFonts w:hint="eastAsia"/>
          <w:sz w:val="24"/>
          <w:szCs w:val="24"/>
        </w:rPr>
        <w:t>”，有哪些规定？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第一，适用范围——</w:t>
      </w:r>
      <w:r>
        <w:rPr>
          <w:rFonts w:ascii="楷体" w:hAnsi="楷体" w:eastAsia="楷体"/>
          <w:b/>
          <w:sz w:val="24"/>
          <w:szCs w:val="24"/>
        </w:rPr>
        <w:t>本表适用于从事房地产开发并转让的纳税人，及</w:t>
      </w:r>
      <w:r>
        <w:rPr>
          <w:rFonts w:ascii="楷体" w:hAnsi="楷体" w:eastAsia="楷体"/>
          <w:b/>
          <w:color w:val="C55911" w:themeColor="accent2" w:themeShade="BF"/>
          <w:sz w:val="24"/>
          <w:szCs w:val="24"/>
        </w:rPr>
        <w:t>非从事房地产开发的纳税人</w:t>
      </w:r>
      <w:r>
        <w:rPr>
          <w:rFonts w:ascii="楷体" w:hAnsi="楷体" w:eastAsia="楷体"/>
          <w:b/>
          <w:sz w:val="24"/>
          <w:szCs w:val="24"/>
        </w:rPr>
        <w:t>，在整体转让在建工程时填报，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第二，填报项目——</w:t>
      </w:r>
      <w:r>
        <w:rPr>
          <w:rFonts w:ascii="楷体" w:hAnsi="楷体" w:eastAsia="楷体"/>
          <w:b/>
          <w:sz w:val="24"/>
          <w:szCs w:val="24"/>
        </w:rPr>
        <w:t>数</w:t>
      </w:r>
      <w:r>
        <w:rPr>
          <w:rFonts w:ascii="楷体" w:hAnsi="楷体" w:eastAsia="楷体"/>
          <w:b/>
          <w:color w:val="C55911" w:themeColor="accent2" w:themeShade="BF"/>
          <w:sz w:val="24"/>
          <w:szCs w:val="24"/>
        </w:rPr>
        <w:t>据应填列至其他类型房地产中</w:t>
      </w:r>
      <w:r>
        <w:rPr>
          <w:rFonts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23" w:name="_【问题】“从事房地产开发的纳税人清算后尾盘销售适用”，有哪些规定？"/>
      <w:bookmarkEnd w:id="23"/>
      <w:r>
        <w:rPr>
          <w:rFonts w:hint="eastAsia"/>
          <w:sz w:val="24"/>
          <w:szCs w:val="24"/>
        </w:rPr>
        <w:t>【问题】“</w:t>
      </w:r>
      <w:r>
        <w:rPr>
          <w:sz w:val="24"/>
          <w:szCs w:val="24"/>
        </w:rPr>
        <w:t>从事房地产开发的纳税人清算后尾盘销售适用</w:t>
      </w:r>
      <w:r>
        <w:rPr>
          <w:rFonts w:hint="eastAsia"/>
          <w:sz w:val="24"/>
          <w:szCs w:val="24"/>
        </w:rPr>
        <w:t>”，有哪些规定？</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从事房地产开发并转让的纳税人，在清算后尾盘销售时填报，各行次应按不同房产类型分别填写。</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color w:val="262626"/>
        </w:rPr>
      </w:pPr>
      <w:bookmarkStart w:id="24" w:name="_【问题】“转让旧房及建筑物的纳税人适用”，有哪些规定？"/>
      <w:bookmarkEnd w:id="24"/>
      <w:r>
        <w:rPr>
          <w:rFonts w:hint="eastAsia"/>
          <w:sz w:val="24"/>
          <w:szCs w:val="24"/>
        </w:rPr>
        <w:t>【问题】“</w:t>
      </w:r>
      <w:r>
        <w:rPr>
          <w:sz w:val="24"/>
          <w:szCs w:val="24"/>
        </w:rPr>
        <w:t>转让旧房及建筑物的纳税人适用</w:t>
      </w:r>
      <w:r>
        <w:rPr>
          <w:rFonts w:hint="eastAsia"/>
          <w:sz w:val="24"/>
          <w:szCs w:val="24"/>
        </w:rPr>
        <w:t>”，有哪些规定？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第一，适用范围——</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w:t>
      </w:r>
      <w:r>
        <w:rPr>
          <w:rFonts w:ascii="楷体" w:hAnsi="楷体" w:eastAsia="楷体"/>
          <w:b/>
          <w:sz w:val="24"/>
          <w:szCs w:val="24"/>
        </w:rPr>
        <w:t>转让旧房及建筑物的纳税人</w:t>
      </w:r>
      <w:r>
        <w:rPr>
          <w:rFonts w:hint="eastAsia" w:ascii="楷体" w:hAnsi="楷体" w:eastAsia="楷体"/>
          <w:b/>
          <w:sz w:val="24"/>
          <w:szCs w:val="24"/>
        </w:rPr>
        <w:t>——</w:t>
      </w:r>
      <w:r>
        <w:rPr>
          <w:rFonts w:ascii="楷体" w:hAnsi="楷体" w:eastAsia="楷体"/>
          <w:b/>
          <w:sz w:val="24"/>
          <w:szCs w:val="24"/>
        </w:rPr>
        <w:t>在签订房地产转让合同后的七日内，向房地产所在地主管税务机关填报土地增值税纳税申报表。</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w:t>
      </w:r>
      <w:r>
        <w:rPr>
          <w:rFonts w:ascii="楷体" w:hAnsi="楷体" w:eastAsia="楷体"/>
          <w:b/>
          <w:sz w:val="24"/>
          <w:szCs w:val="24"/>
        </w:rPr>
        <w:t>从事房地产开发的纳税人</w:t>
      </w:r>
      <w:r>
        <w:rPr>
          <w:rFonts w:hint="eastAsia" w:ascii="楷体" w:hAnsi="楷体" w:eastAsia="楷体"/>
          <w:b/>
          <w:sz w:val="24"/>
          <w:szCs w:val="24"/>
        </w:rPr>
        <w:t>——</w:t>
      </w:r>
      <w:r>
        <w:rPr>
          <w:rFonts w:ascii="楷体" w:hAnsi="楷体" w:eastAsia="楷体"/>
          <w:b/>
          <w:sz w:val="24"/>
          <w:szCs w:val="24"/>
        </w:rPr>
        <w:t>将开发产品转为自用、出租等用途且已达到主管税务机关旧房界定标准后，又将该旧房对外出售的。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第二，新房、旧房的划分依据：《</w:t>
      </w:r>
      <w:r>
        <w:fldChar w:fldCharType="begin"/>
      </w:r>
      <w:r>
        <w:instrText xml:space="preserve"> HYPERLINK "http://ssfb86.com/index/News/detail/newsid/8287.html" </w:instrText>
      </w:r>
      <w:r>
        <w:fldChar w:fldCharType="separate"/>
      </w:r>
      <w:r>
        <w:rPr>
          <w:rStyle w:val="14"/>
          <w:rFonts w:hint="eastAsia" w:ascii="楷体" w:hAnsi="楷体" w:eastAsia="楷体"/>
          <w:b/>
          <w:sz w:val="24"/>
          <w:szCs w:val="24"/>
        </w:rPr>
        <w:t xml:space="preserve"> 3.1.2.1 新、旧房的划分</w:t>
      </w:r>
      <w:r>
        <w:rPr>
          <w:rStyle w:val="14"/>
          <w:rFonts w:hint="eastAsia" w:ascii="楷体" w:hAnsi="楷体" w:eastAsia="楷体"/>
          <w:b/>
          <w:sz w:val="24"/>
          <w:szCs w:val="24"/>
        </w:rPr>
        <w:fldChar w:fldCharType="end"/>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（1）理论上——</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A、新房——指建成后未使用的房产。</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B、旧房——已使用一定时间或达到一定磨损程度的房产均属旧房——其使时间可掌握在一年以上</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（2）实操中——</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A、房地产开发企业——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a、因相关规定</w:t>
      </w:r>
      <w:r>
        <w:rPr>
          <w:rFonts w:hint="eastAsia" w:ascii="楷体" w:hAnsi="楷体" w:eastAsia="楷体"/>
          <w:b/>
          <w:color w:val="C55911" w:themeColor="accent2" w:themeShade="BF"/>
          <w:sz w:val="24"/>
          <w:szCs w:val="24"/>
        </w:rPr>
        <w:t>对尾盘销售部分的商品房办理到自己名下或进行抵押融资的房屋，并未实际使用——按新建房缴税更为合理</w:t>
      </w:r>
      <w:r>
        <w:rPr>
          <w:rFonts w:hint="eastAsia" w:ascii="楷体" w:hAnsi="楷体" w:eastAsia="楷体"/>
          <w:b/>
          <w:sz w:val="24"/>
          <w:szCs w:val="24"/>
        </w:rPr>
        <w:t>。——提示：没有时间限制</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b、将</w:t>
      </w:r>
      <w:r>
        <w:rPr>
          <w:rFonts w:hint="eastAsia" w:ascii="楷体" w:hAnsi="楷体" w:eastAsia="楷体"/>
          <w:b/>
          <w:color w:val="C55911" w:themeColor="accent2" w:themeShade="BF"/>
          <w:sz w:val="24"/>
          <w:szCs w:val="24"/>
        </w:rPr>
        <w:t>自建商品房列入固定资产或作为投资性房地产</w:t>
      </w:r>
      <w:r>
        <w:rPr>
          <w:rFonts w:hint="eastAsia" w:ascii="楷体" w:hAnsi="楷体" w:eastAsia="楷体"/>
          <w:b/>
          <w:sz w:val="24"/>
          <w:szCs w:val="24"/>
        </w:rPr>
        <w:t>的——一般认为房屋已交付使用，按</w:t>
      </w:r>
      <w:r>
        <w:rPr>
          <w:rFonts w:hint="eastAsia" w:ascii="楷体" w:hAnsi="楷体" w:eastAsia="楷体"/>
          <w:b/>
          <w:color w:val="C55911" w:themeColor="accent2" w:themeShade="BF"/>
          <w:sz w:val="24"/>
          <w:szCs w:val="24"/>
        </w:rPr>
        <w:t>旧房缴税更为合理</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w:t>
      </w:r>
      <w:r>
        <w:rPr>
          <w:rFonts w:hint="eastAsia" w:ascii="楷体" w:hAnsi="楷体" w:eastAsia="楷体"/>
          <w:b/>
          <w:color w:val="C55911" w:themeColor="accent2" w:themeShade="BF"/>
          <w:sz w:val="24"/>
          <w:szCs w:val="24"/>
        </w:rPr>
        <w:t>非房地产开发企业自行建造工业厂房</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a、3年内转让的——可视为新建房；</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b、超过3年转让的——按旧房政策计算缴纳土地增值税。</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第三，具体填报时——</w:t>
      </w:r>
      <w:r>
        <w:rPr>
          <w:rFonts w:ascii="楷体" w:hAnsi="楷体" w:eastAsia="楷体"/>
          <w:b/>
          <w:sz w:val="24"/>
          <w:szCs w:val="24"/>
        </w:rPr>
        <w:t>应根据纳税人转让的房地产项目作为填报对象。纳税人如果同时转让两个或两个以上房地产的，应分别填报。</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color w:val="262626"/>
        </w:rPr>
      </w:pPr>
      <w:bookmarkStart w:id="25" w:name="_【问题】“转让旧房及建筑物的纳税人核定征收适用”，有哪些规定？"/>
      <w:bookmarkEnd w:id="25"/>
      <w:r>
        <w:rPr>
          <w:rFonts w:hint="eastAsia"/>
          <w:sz w:val="24"/>
          <w:szCs w:val="24"/>
        </w:rPr>
        <w:t>【问题】“</w:t>
      </w:r>
      <w:r>
        <w:rPr>
          <w:sz w:val="24"/>
          <w:szCs w:val="24"/>
        </w:rPr>
        <w:t>转让旧房及建筑物的纳税人核定征收适用</w:t>
      </w:r>
      <w:r>
        <w:rPr>
          <w:rFonts w:hint="eastAsia"/>
          <w:sz w:val="24"/>
          <w:szCs w:val="24"/>
        </w:rPr>
        <w:t>”，有哪些规定？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第一，适用范围——</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w:t>
      </w:r>
      <w:r>
        <w:rPr>
          <w:rFonts w:ascii="楷体" w:hAnsi="楷体" w:eastAsia="楷体"/>
          <w:b/>
          <w:sz w:val="24"/>
          <w:szCs w:val="24"/>
        </w:rPr>
        <w:t>转让旧房及建筑物的纳税人采用核定征收方式时填报。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w:t>
      </w:r>
      <w:r>
        <w:rPr>
          <w:rFonts w:ascii="楷体" w:hAnsi="楷体" w:eastAsia="楷体"/>
          <w:b/>
          <w:sz w:val="24"/>
          <w:szCs w:val="24"/>
        </w:rPr>
        <w:t>适用于从事房地产开发的纳税人将开发产品转为自用、出租等用途且已达到主管税务机关旧房界定标准后，又将该旧房对外出售的。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第二，申报时限、主管税务机关——</w:t>
      </w:r>
      <w:r>
        <w:rPr>
          <w:rFonts w:ascii="楷体" w:hAnsi="楷体" w:eastAsia="楷体"/>
          <w:b/>
          <w:sz w:val="24"/>
          <w:szCs w:val="24"/>
        </w:rPr>
        <w:t>应在签订房地产转让合同后的七日内，向房地产所在地主管税务机关填报本表。</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第三，必要文书——</w:t>
      </w:r>
      <w:r>
        <w:rPr>
          <w:rFonts w:ascii="楷体" w:hAnsi="楷体" w:eastAsia="楷体"/>
          <w:b/>
          <w:sz w:val="24"/>
          <w:szCs w:val="24"/>
        </w:rPr>
        <w:t>同时提交税务机关出具的</w:t>
      </w:r>
      <w:r>
        <w:rPr>
          <w:rFonts w:ascii="楷体" w:hAnsi="楷体" w:eastAsia="楷体"/>
          <w:b/>
          <w:color w:val="C55911" w:themeColor="accent2" w:themeShade="BF"/>
          <w:sz w:val="24"/>
          <w:szCs w:val="24"/>
        </w:rPr>
        <w:t>核定文书</w:t>
      </w:r>
      <w:r>
        <w:rPr>
          <w:rFonts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第四，填报要求——表中项目，</w:t>
      </w:r>
      <w:r>
        <w:rPr>
          <w:rFonts w:ascii="楷体" w:hAnsi="楷体" w:eastAsia="楷体"/>
          <w:b/>
          <w:sz w:val="24"/>
          <w:szCs w:val="24"/>
        </w:rPr>
        <w:t>按税务机关出具的核定文书要求填写。</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26" w:name="_【问题】“项目编码”，怎么填？"/>
      <w:bookmarkEnd w:id="26"/>
      <w:r>
        <w:rPr>
          <w:rFonts w:hint="eastAsia"/>
          <w:sz w:val="24"/>
          <w:szCs w:val="24"/>
        </w:rPr>
        <w:t>【问题】“项目编码”，怎么填？</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纳税人进行房地产项目登记时，</w:t>
      </w:r>
      <w:r>
        <w:rPr>
          <w:rFonts w:ascii="楷体" w:hAnsi="楷体" w:eastAsia="楷体"/>
          <w:b/>
          <w:color w:val="C55911" w:themeColor="accent2" w:themeShade="BF"/>
          <w:sz w:val="24"/>
          <w:szCs w:val="24"/>
        </w:rPr>
        <w:t>税务机关按照一定的规则赋予的编码，此编码跟随项目的预缴清算尾盘销售全过程</w:t>
      </w:r>
      <w:r>
        <w:rPr>
          <w:rFonts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27" w:name="_【问题】“项目总可售面积”，如何填写？"/>
      <w:bookmarkEnd w:id="27"/>
      <w:r>
        <w:rPr>
          <w:rFonts w:hint="eastAsia"/>
          <w:sz w:val="24"/>
          <w:szCs w:val="24"/>
        </w:rPr>
        <w:t>【问题】“</w:t>
      </w:r>
      <w:r>
        <w:rPr>
          <w:sz w:val="24"/>
          <w:szCs w:val="24"/>
        </w:rPr>
        <w:t>项目总可售面积</w:t>
      </w:r>
      <w:r>
        <w:rPr>
          <w:rFonts w:hint="eastAsia"/>
          <w:sz w:val="24"/>
          <w:szCs w:val="24"/>
        </w:rPr>
        <w:t>”，怎么填？</w:t>
      </w:r>
    </w:p>
    <w:p>
      <w:pPr>
        <w:spacing w:beforeLines="50" w:after="0" w:line="360" w:lineRule="auto"/>
        <w:ind w:left="477" w:leftChars="227" w:firstLine="354" w:firstLineChars="147"/>
        <w:rPr>
          <w:rFonts w:ascii="楷体" w:hAnsi="楷体" w:eastAsia="楷体"/>
          <w:b/>
          <w:color w:val="0070C0"/>
          <w:sz w:val="24"/>
          <w:szCs w:val="24"/>
        </w:rPr>
      </w:pPr>
      <w:r>
        <w:rPr>
          <w:rFonts w:hint="eastAsia" w:ascii="楷体" w:hAnsi="楷体" w:eastAsia="楷体"/>
          <w:b/>
          <w:color w:val="0070C0"/>
          <w:sz w:val="24"/>
          <w:szCs w:val="24"/>
        </w:rPr>
        <w:t>需研究……</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28" w:name="_【问题】“自用和出租面积”，如何填写？"/>
      <w:bookmarkEnd w:id="28"/>
      <w:r>
        <w:rPr>
          <w:rFonts w:hint="eastAsia"/>
          <w:sz w:val="24"/>
          <w:szCs w:val="24"/>
        </w:rPr>
        <w:t>【问题】“</w:t>
      </w:r>
      <w:r>
        <w:rPr>
          <w:sz w:val="24"/>
          <w:szCs w:val="24"/>
        </w:rPr>
        <w:t>自用和出租面积</w:t>
      </w:r>
      <w:r>
        <w:rPr>
          <w:rFonts w:hint="eastAsia"/>
          <w:sz w:val="24"/>
          <w:szCs w:val="24"/>
        </w:rPr>
        <w:t>”，怎么填？</w:t>
      </w:r>
    </w:p>
    <w:p>
      <w:pPr>
        <w:spacing w:beforeLines="50" w:after="0" w:line="360" w:lineRule="auto"/>
        <w:ind w:left="477" w:leftChars="227" w:firstLine="354" w:firstLineChars="147"/>
        <w:rPr>
          <w:rFonts w:ascii="楷体" w:hAnsi="楷体" w:eastAsia="楷体"/>
          <w:b/>
          <w:color w:val="0070C0"/>
          <w:sz w:val="24"/>
          <w:szCs w:val="24"/>
        </w:rPr>
      </w:pPr>
      <w:r>
        <w:rPr>
          <w:rFonts w:hint="eastAsia" w:ascii="楷体" w:hAnsi="楷体" w:eastAsia="楷体"/>
          <w:b/>
          <w:color w:val="0070C0"/>
          <w:sz w:val="24"/>
          <w:szCs w:val="24"/>
        </w:rPr>
        <w:t>需研究……</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29" w:name="_【问题】“普通住宅”，标准是多少？"/>
      <w:bookmarkEnd w:id="29"/>
      <w:r>
        <w:rPr>
          <w:rFonts w:hint="eastAsia"/>
          <w:sz w:val="24"/>
          <w:szCs w:val="24"/>
        </w:rPr>
        <w:t>【问题】“普通住宅”，标准是多少？</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在项目容积率大于</w:t>
      </w:r>
      <w:r>
        <w:rPr>
          <w:rFonts w:ascii="楷体" w:hAnsi="楷体" w:eastAsia="楷体"/>
          <w:b/>
          <w:sz w:val="24"/>
          <w:szCs w:val="24"/>
        </w:rPr>
        <w:t>1.0的基础上，就是以面积划分。144平米以内的住房就属于普通住宅。</w:t>
      </w:r>
      <w:r>
        <w:rPr>
          <w:rFonts w:hint="eastAsia" w:ascii="楷体" w:hAnsi="楷体" w:eastAsia="楷体"/>
          <w:b/>
          <w:sz w:val="24"/>
          <w:szCs w:val="24"/>
        </w:rPr>
        <w:t>——依据：《关于土地增值税普通标准住宅有关政策的通知》（</w:t>
      </w:r>
      <w:r>
        <w:fldChar w:fldCharType="begin"/>
      </w:r>
      <w:r>
        <w:instrText xml:space="preserve"> HYPERLINK "http://ssfb86.com/index/News/detail/newsid/2887.html" </w:instrText>
      </w:r>
      <w:r>
        <w:fldChar w:fldCharType="separate"/>
      </w:r>
      <w:r>
        <w:rPr>
          <w:rStyle w:val="14"/>
          <w:rFonts w:hint="eastAsia" w:ascii="楷体" w:hAnsi="楷体" w:eastAsia="楷体"/>
          <w:b/>
          <w:sz w:val="24"/>
          <w:szCs w:val="24"/>
        </w:rPr>
        <w:t>财税〔2006〕141号</w:t>
      </w:r>
      <w:r>
        <w:rPr>
          <w:rStyle w:val="14"/>
          <w:rFonts w:hint="eastAsia" w:ascii="楷体" w:hAnsi="楷体" w:eastAsia="楷体"/>
          <w:b/>
          <w:sz w:val="24"/>
          <w:szCs w:val="24"/>
        </w:rPr>
        <w:fldChar w:fldCharType="end"/>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30" w:name="_【问题】“”，填写前，要注意什么？"/>
      <w:bookmarkEnd w:id="30"/>
      <w:r>
        <w:rPr>
          <w:rFonts w:hint="eastAsia"/>
          <w:sz w:val="24"/>
          <w:szCs w:val="24"/>
        </w:rPr>
        <w:t>【问题】“</w:t>
      </w:r>
      <w:r>
        <w:rPr>
          <w:sz w:val="24"/>
          <w:szCs w:val="24"/>
        </w:rPr>
        <w:t>1.从事房地产开发的纳税人预缴适用</w:t>
      </w:r>
      <w:r>
        <w:rPr>
          <w:rFonts w:hint="eastAsia"/>
          <w:sz w:val="24"/>
          <w:szCs w:val="24"/>
        </w:rPr>
        <w:t>”，填写前，要注意什么？</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w:t>
      </w:r>
      <w:r>
        <w:rPr>
          <w:rFonts w:ascii="楷体" w:hAnsi="楷体" w:eastAsia="楷体"/>
          <w:b/>
          <w:color w:val="C55911" w:themeColor="accent2" w:themeShade="BF"/>
          <w:sz w:val="24"/>
          <w:szCs w:val="24"/>
        </w:rPr>
        <w:t>填报预缴信息表时，应同时向主管税务机关提交《土地增值税项目登记表》等有关资料</w:t>
      </w:r>
      <w:r>
        <w:rPr>
          <w:rFonts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w:t>
      </w:r>
      <w:r>
        <w:rPr>
          <w:rFonts w:ascii="楷体" w:hAnsi="楷体" w:eastAsia="楷体"/>
          <w:b/>
          <w:sz w:val="24"/>
          <w:szCs w:val="24"/>
        </w:rPr>
        <w:t>本表栏目的内容如果没有，可以空置不填。</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31" w:name="_【问题】“应税收入”，怎么填？"/>
      <w:bookmarkEnd w:id="31"/>
      <w:r>
        <w:rPr>
          <w:rFonts w:hint="eastAsia"/>
          <w:sz w:val="24"/>
          <w:szCs w:val="24"/>
        </w:rPr>
        <w:t>【问题】“应税收入”，怎么填？</w:t>
      </w:r>
    </w:p>
    <w:p>
      <w:pPr>
        <w:pStyle w:val="8"/>
        <w:shd w:val="clear" w:color="auto" w:fill="FFFFFF"/>
        <w:spacing w:beforeLines="50" w:beforeAutospacing="0" w:afterLines="50" w:afterAutospacing="0" w:line="360" w:lineRule="auto"/>
        <w:ind w:firstLine="858" w:firstLineChars="356"/>
        <w:jc w:val="both"/>
        <w:rPr>
          <w:rFonts w:ascii="楷体" w:hAnsi="楷体" w:eastAsia="楷体"/>
          <w:b/>
        </w:rPr>
      </w:pPr>
      <w:r>
        <w:rPr>
          <w:rFonts w:hint="eastAsia" w:ascii="楷体" w:hAnsi="楷体" w:eastAsia="楷体"/>
          <w:b/>
        </w:rPr>
        <w:t>（1）根据</w:t>
      </w:r>
      <w:r>
        <w:fldChar w:fldCharType="begin"/>
      </w:r>
      <w:r>
        <w:instrText xml:space="preserve"> HYPERLINK "http://ssfb86.com/index/News/detail/newsid/631.html" </w:instrText>
      </w:r>
      <w:r>
        <w:fldChar w:fldCharType="separate"/>
      </w:r>
      <w:r>
        <w:rPr>
          <w:rStyle w:val="14"/>
          <w:rFonts w:hint="eastAsia" w:ascii="楷体" w:hAnsi="楷体" w:eastAsia="楷体"/>
          <w:b/>
          <w:color w:val="6E6E6E"/>
        </w:rPr>
        <w:t>国家税务总局公告2016年第70号</w:t>
      </w:r>
      <w:r>
        <w:rPr>
          <w:rStyle w:val="14"/>
          <w:rFonts w:hint="eastAsia" w:ascii="楷体" w:hAnsi="楷体" w:eastAsia="楷体"/>
          <w:b/>
          <w:color w:val="6E6E6E"/>
        </w:rPr>
        <w:fldChar w:fldCharType="end"/>
      </w:r>
      <w:r>
        <w:rPr>
          <w:rFonts w:hint="eastAsia" w:ascii="楷体" w:hAnsi="楷体" w:eastAsia="楷体"/>
          <w:b/>
          <w:color w:val="000000"/>
        </w:rPr>
        <w:t>第一条第二款规定：土地增值税预征的计征依据=</w:t>
      </w:r>
      <w:r>
        <w:rPr>
          <w:rFonts w:hint="eastAsia" w:ascii="楷体" w:hAnsi="楷体" w:eastAsia="楷体"/>
          <w:b/>
          <w:color w:val="C55911" w:themeColor="accent2" w:themeShade="BF"/>
        </w:rPr>
        <w:t>预收款-应预缴增值税税款</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（2）根据《房地产开发企业销售自行开发的房地产项目增值税征收管理暂行办法》（</w:t>
      </w:r>
      <w:r>
        <w:fldChar w:fldCharType="begin"/>
      </w:r>
      <w:r>
        <w:instrText xml:space="preserve"> HYPERLINK "http://ssfb86.com/index/News/detail/newsid/796.html" </w:instrText>
      </w:r>
      <w:r>
        <w:fldChar w:fldCharType="separate"/>
      </w:r>
      <w:r>
        <w:rPr>
          <w:rStyle w:val="14"/>
          <w:rFonts w:hint="eastAsia" w:ascii="楷体" w:hAnsi="楷体" w:eastAsia="楷体"/>
          <w:b/>
          <w:sz w:val="24"/>
          <w:szCs w:val="24"/>
        </w:rPr>
        <w:t>2016年第18号</w:t>
      </w:r>
      <w:r>
        <w:rPr>
          <w:rStyle w:val="14"/>
          <w:rFonts w:hint="eastAsia" w:ascii="楷体" w:hAnsi="楷体" w:eastAsia="楷体"/>
          <w:b/>
          <w:sz w:val="24"/>
          <w:szCs w:val="24"/>
        </w:rPr>
        <w:fldChar w:fldCharType="end"/>
      </w:r>
      <w:r>
        <w:rPr>
          <w:rFonts w:hint="eastAsia" w:ascii="楷体" w:hAnsi="楷体" w:eastAsia="楷体"/>
          <w:b/>
          <w:sz w:val="24"/>
          <w:szCs w:val="24"/>
        </w:rPr>
        <w:t>）第十一条规定——</w:t>
      </w:r>
      <w:r>
        <w:rPr>
          <w:rFonts w:hint="eastAsia" w:ascii="楷体" w:hAnsi="楷体" w:eastAsia="楷体"/>
          <w:b/>
          <w:color w:val="C55911" w:themeColor="accent2" w:themeShade="BF"/>
          <w:sz w:val="24"/>
          <w:szCs w:val="24"/>
        </w:rPr>
        <w:t>应预缴增值税税款=预收款/（1+适用税率） x3%</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提示：</w:t>
      </w:r>
      <w:r>
        <w:rPr>
          <w:rFonts w:hint="eastAsia" w:ascii="楷体" w:hAnsi="楷体" w:eastAsia="楷体"/>
          <w:b/>
          <w:color w:val="C55911" w:themeColor="accent2" w:themeShade="BF"/>
          <w:sz w:val="24"/>
          <w:szCs w:val="24"/>
        </w:rPr>
        <w:t>作为预缴的，只是预收款——不包括其他经济利益</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r>
        <w:rPr>
          <w:rFonts w:hint="eastAsia"/>
          <w:sz w:val="24"/>
          <w:szCs w:val="24"/>
        </w:rPr>
        <w:t>【问题】“</w:t>
      </w:r>
      <w:r>
        <w:rPr>
          <w:sz w:val="24"/>
          <w:szCs w:val="24"/>
        </w:rPr>
        <w:t>实物收入及其他收入</w:t>
      </w:r>
      <w:r>
        <w:rPr>
          <w:rFonts w:hint="eastAsia"/>
          <w:sz w:val="24"/>
          <w:szCs w:val="24"/>
        </w:rPr>
        <w:t>”，包括哪些？</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转让房地产开发项目所取得的实物形态的收入和无形资产等其他形式的收入额（不含增值税）</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32" w:name="_【问题】“视同收入”，包括哪些？"/>
      <w:bookmarkEnd w:id="32"/>
      <w:r>
        <w:rPr>
          <w:rFonts w:hint="eastAsia"/>
          <w:sz w:val="24"/>
          <w:szCs w:val="24"/>
        </w:rPr>
        <w:t>【问题】“视同收入”，包括哪些？何时确认？如何计量？</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（1）范围——</w:t>
      </w:r>
      <w:r>
        <w:rPr>
          <w:rFonts w:ascii="楷体" w:hAnsi="楷体" w:eastAsia="楷体"/>
          <w:b/>
          <w:sz w:val="24"/>
          <w:szCs w:val="24"/>
        </w:rPr>
        <w:t>将开发产品用于职工福利、奖励、对外投资、分配给股东或投资人、抵偿债务、换取其他单位和个人的非货币性资产等，</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（2）确认时点——</w:t>
      </w:r>
      <w:r>
        <w:rPr>
          <w:rFonts w:ascii="楷体" w:hAnsi="楷体" w:eastAsia="楷体"/>
          <w:b/>
          <w:color w:val="C55911" w:themeColor="accent2" w:themeShade="BF"/>
          <w:sz w:val="24"/>
          <w:szCs w:val="24"/>
        </w:rPr>
        <w:t>发生所有权转移时</w:t>
      </w:r>
      <w:r>
        <w:rPr>
          <w:rFonts w:ascii="楷体" w:hAnsi="楷体" w:eastAsia="楷体"/>
          <w:b/>
          <w:sz w:val="24"/>
          <w:szCs w:val="24"/>
        </w:rPr>
        <w:t>应视同销售房地产, 其确认收入不含增值税。</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（3）计量——按下列方法和顺序确认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A、按本企业在同一地区、同一年度销售的同类房地产的平均价格确定；</w:t>
      </w:r>
    </w:p>
    <w:p>
      <w:pPr>
        <w:spacing w:beforeLines="50" w:after="0" w:line="360" w:lineRule="auto"/>
        <w:ind w:left="477" w:leftChars="227" w:firstLine="354" w:firstLineChars="147"/>
        <w:rPr>
          <w:rFonts w:ascii="楷体" w:hAnsi="楷体" w:eastAsia="楷体"/>
          <w:b/>
          <w:sz w:val="24"/>
          <w:szCs w:val="24"/>
        </w:rPr>
      </w:pPr>
      <w:bookmarkStart w:id="33" w:name="_Hlk23110012"/>
      <w:bookmarkEnd w:id="33"/>
      <w:r>
        <w:rPr>
          <w:rFonts w:hint="eastAsia" w:ascii="楷体" w:hAnsi="楷体" w:eastAsia="楷体"/>
          <w:b/>
          <w:sz w:val="24"/>
          <w:szCs w:val="24"/>
        </w:rPr>
        <w:t>B、由主管税务机关参照当地当年、同类房地产的市场价格或评估价值确定。</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34" w:name="_【问题】“预征率”，是多少？"/>
      <w:bookmarkEnd w:id="34"/>
      <w:r>
        <w:rPr>
          <w:rFonts w:hint="eastAsia"/>
          <w:sz w:val="24"/>
          <w:szCs w:val="24"/>
        </w:rPr>
        <w:t>【问题】“预征率”，是多少？</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根据《关于调整土地增值税预征率的公告》（</w:t>
      </w:r>
      <w:r>
        <w:fldChar w:fldCharType="begin"/>
      </w:r>
      <w:r>
        <w:instrText xml:space="preserve"> HYPERLINK "http://ssfb86.com/index/News/detail/newsid/8250.html" </w:instrText>
      </w:r>
      <w:r>
        <w:fldChar w:fldCharType="separate"/>
      </w:r>
      <w:r>
        <w:rPr>
          <w:rStyle w:val="14"/>
          <w:rFonts w:hint="eastAsia" w:ascii="楷体" w:hAnsi="楷体" w:eastAsia="楷体"/>
          <w:b/>
          <w:sz w:val="24"/>
          <w:szCs w:val="24"/>
        </w:rPr>
        <w:t>苏地税规〔2016〕2号</w:t>
      </w:r>
      <w:r>
        <w:rPr>
          <w:rStyle w:val="14"/>
          <w:rFonts w:hint="eastAsia" w:ascii="楷体" w:hAnsi="楷体" w:eastAsia="楷体"/>
          <w:b/>
          <w:sz w:val="24"/>
          <w:szCs w:val="24"/>
        </w:rPr>
        <w:fldChar w:fldCharType="end"/>
      </w:r>
      <w:r>
        <w:rPr>
          <w:rFonts w:hint="eastAsia" w:ascii="楷体" w:hAnsi="楷体" w:eastAsia="楷体"/>
          <w:b/>
          <w:sz w:val="24"/>
          <w:szCs w:val="24"/>
        </w:rPr>
        <w:t>）的规定：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第一类，保障性住房（公共租赁住房、廉租住房、经济适用房、城市和国有工矿棚区改造安置住房等）——仍暂不预征。</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第二类，非保障性住房——</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（1）预计增值率大于200%的——预征率为8%。</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w:t>
      </w:r>
      <w:r>
        <w:rPr>
          <w:rFonts w:hint="eastAsia" w:ascii="楷体" w:hAnsi="楷体" w:eastAsia="楷体"/>
          <w:b/>
          <w:color w:val="C55911" w:themeColor="accent2" w:themeShade="BF"/>
          <w:sz w:val="24"/>
          <w:szCs w:val="24"/>
        </w:rPr>
        <w:t>预计增值率</w:t>
      </w:r>
      <w:r>
        <w:rPr>
          <w:rFonts w:hint="eastAsia" w:ascii="楷体" w:hAnsi="楷体" w:eastAsia="楷体"/>
          <w:b/>
          <w:sz w:val="24"/>
          <w:szCs w:val="24"/>
        </w:rPr>
        <w:t>大于100%且小于或等于200%的房地产开发项目——预征率为5%；</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w:t>
      </w:r>
      <w:r>
        <w:rPr>
          <w:rFonts w:hint="eastAsia" w:ascii="楷体" w:hAnsi="楷体" w:eastAsia="楷体"/>
          <w:b/>
          <w:color w:val="C55911" w:themeColor="accent2" w:themeShade="BF"/>
          <w:sz w:val="24"/>
          <w:szCs w:val="24"/>
        </w:rPr>
        <w:t>预计增值率小于或等于</w:t>
      </w:r>
      <w:r>
        <w:rPr>
          <w:rFonts w:hint="eastAsia" w:ascii="楷体" w:hAnsi="楷体" w:eastAsia="楷体"/>
          <w:b/>
          <w:sz w:val="24"/>
          <w:szCs w:val="24"/>
        </w:rPr>
        <w:t>100%——</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A、南京市、苏州市市区（含工业园区）——普通住宅、非普通住宅、其他类型房产的预征率分别为：2%、3%、4%；</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w:t>
      </w:r>
      <w:r>
        <w:rPr>
          <w:rFonts w:hint="eastAsia" w:ascii="楷体" w:hAnsi="楷体" w:eastAsia="楷体"/>
          <w:b/>
          <w:color w:val="C55911" w:themeColor="accent2" w:themeShade="BF"/>
          <w:sz w:val="24"/>
          <w:szCs w:val="24"/>
        </w:rPr>
        <w:t>其他地区普通住宅、非普通住宅、其他类型房产——预征率均为2</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pStyle w:val="8"/>
        <w:shd w:val="clear" w:color="auto" w:fill="FFFFFF"/>
        <w:spacing w:beforeLines="50" w:beforeAutospacing="0" w:afterLines="50" w:afterAutospacing="0" w:line="360" w:lineRule="auto"/>
        <w:ind w:firstLine="858" w:firstLineChars="356"/>
        <w:rPr>
          <w:rFonts w:ascii="楷体" w:hAnsi="楷体" w:eastAsia="楷体"/>
          <w:b/>
        </w:rPr>
      </w:pPr>
      <w:r>
        <w:rPr>
          <w:rFonts w:hint="eastAsia" w:ascii="楷体" w:hAnsi="楷体" w:eastAsia="楷体"/>
          <w:b/>
        </w:rPr>
        <w:t>（思考：如不规定预缴税款，会有哪些风险？定偷税吗？——</w:t>
      </w:r>
    </w:p>
    <w:p>
      <w:pPr>
        <w:pStyle w:val="8"/>
        <w:shd w:val="clear" w:color="auto" w:fill="FFFFFF"/>
        <w:spacing w:beforeLines="50" w:beforeAutospacing="0" w:afterLines="50" w:afterAutospacing="0" w:line="360" w:lineRule="auto"/>
        <w:ind w:firstLine="858" w:firstLineChars="356"/>
        <w:rPr>
          <w:rFonts w:ascii="楷体" w:hAnsi="楷体" w:eastAsia="楷体"/>
          <w:b/>
        </w:rPr>
      </w:pPr>
      <w:r>
        <w:rPr>
          <w:rFonts w:hint="eastAsia" w:ascii="楷体" w:hAnsi="楷体" w:eastAsia="楷体"/>
          <w:b/>
        </w:rPr>
        <w:t>（1）加收滞纳金——文件依据：</w:t>
      </w:r>
      <w:r>
        <w:fldChar w:fldCharType="begin"/>
      </w:r>
      <w:r>
        <w:instrText xml:space="preserve"> HYPERLINK "http://ssfb86.com/index/News/detail/newsid/3062.html" </w:instrText>
      </w:r>
      <w:r>
        <w:fldChar w:fldCharType="separate"/>
      </w:r>
      <w:r>
        <w:rPr>
          <w:rStyle w:val="14"/>
          <w:rFonts w:hint="eastAsia" w:ascii="楷体" w:hAnsi="楷体" w:eastAsia="楷体"/>
          <w:b/>
          <w:color w:val="6E6E6E"/>
        </w:rPr>
        <w:t>财税[2006]21号</w:t>
      </w:r>
      <w:r>
        <w:rPr>
          <w:rStyle w:val="14"/>
          <w:rFonts w:hint="eastAsia" w:ascii="楷体" w:hAnsi="楷体" w:eastAsia="楷体"/>
          <w:b/>
          <w:color w:val="6E6E6E"/>
        </w:rPr>
        <w:fldChar w:fldCharType="end"/>
      </w:r>
      <w:r>
        <w:rPr>
          <w:rFonts w:hint="eastAsia" w:ascii="楷体" w:hAnsi="楷体" w:eastAsia="楷体"/>
          <w:b/>
          <w:color w:val="000000"/>
          <w:shd w:val="clear" w:color="auto" w:fill="FFFFFF"/>
        </w:rPr>
        <w:t>第三条第二款</w:t>
      </w:r>
    </w:p>
    <w:p>
      <w:pPr>
        <w:pStyle w:val="8"/>
        <w:shd w:val="clear" w:color="auto" w:fill="FFFFFF"/>
        <w:spacing w:beforeLines="50" w:beforeAutospacing="0" w:afterLines="50" w:afterAutospacing="0" w:line="360" w:lineRule="auto"/>
        <w:ind w:firstLine="858" w:firstLineChars="356"/>
        <w:rPr>
          <w:rFonts w:ascii="楷体" w:hAnsi="楷体" w:eastAsia="楷体"/>
          <w:b/>
          <w:color w:val="333333"/>
        </w:rPr>
      </w:pPr>
      <w:r>
        <w:rPr>
          <w:rFonts w:hint="eastAsia" w:ascii="楷体" w:hAnsi="楷体" w:eastAsia="楷体"/>
          <w:b/>
        </w:rPr>
        <w:t>（2）</w:t>
      </w:r>
      <w:r>
        <w:rPr>
          <w:rFonts w:hint="eastAsia" w:ascii="楷体" w:hAnsi="楷体" w:eastAsia="楷体"/>
          <w:b/>
          <w:color w:val="0070C0"/>
        </w:rPr>
        <w:t>是否涉嫌偷税？——应作法理性思考</w:t>
      </w:r>
      <w:r>
        <w:rPr>
          <w:rFonts w:hint="eastAsia" w:ascii="楷体" w:hAnsi="楷体" w:eastAsia="楷体"/>
          <w:b/>
          <w:color w:val="000000"/>
          <w:shd w:val="clear" w:color="auto" w:fill="FFFFFF"/>
        </w:rPr>
        <w:t>）</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35" w:name="_【问题】“视同销售收入”，包括哪些？"/>
      <w:bookmarkEnd w:id="35"/>
      <w:bookmarkStart w:id="36" w:name="_【问题】“转让房地产收入总额”，包括哪些？"/>
      <w:bookmarkEnd w:id="36"/>
      <w:r>
        <w:rPr>
          <w:rFonts w:hint="eastAsia"/>
          <w:sz w:val="24"/>
          <w:szCs w:val="24"/>
        </w:rPr>
        <w:t>【问题】“</w:t>
      </w:r>
      <w:r>
        <w:rPr>
          <w:sz w:val="24"/>
          <w:szCs w:val="24"/>
        </w:rPr>
        <w:t>转让房地产收入总额</w:t>
      </w:r>
      <w:r>
        <w:rPr>
          <w:rFonts w:hint="eastAsia"/>
          <w:sz w:val="24"/>
          <w:szCs w:val="24"/>
        </w:rPr>
        <w:t>”，包括哪些？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依据《</w:t>
      </w:r>
      <w:r>
        <w:fldChar w:fldCharType="begin"/>
      </w:r>
      <w:r>
        <w:instrText xml:space="preserve"> HYPERLINK "http://ssfb86.com/index/News/detail/newsid/8260.html" </w:instrText>
      </w:r>
      <w:r>
        <w:fldChar w:fldCharType="separate"/>
      </w:r>
      <w:r>
        <w:rPr>
          <w:rStyle w:val="14"/>
          <w:rFonts w:hint="eastAsia" w:ascii="楷体" w:hAnsi="楷体" w:eastAsia="楷体"/>
          <w:b/>
          <w:sz w:val="24"/>
          <w:szCs w:val="24"/>
        </w:rPr>
        <w:t>3.1.1 收入</w:t>
      </w:r>
      <w:r>
        <w:rPr>
          <w:rStyle w:val="14"/>
          <w:rFonts w:hint="eastAsia" w:ascii="楷体" w:hAnsi="楷体" w:eastAsia="楷体"/>
          <w:b/>
          <w:sz w:val="24"/>
          <w:szCs w:val="24"/>
        </w:rPr>
        <w:fldChar w:fldCharType="end"/>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kern w:val="0"/>
          <w:sz w:val="24"/>
          <w:szCs w:val="24"/>
        </w:rPr>
      </w:pPr>
      <w:r>
        <w:rPr>
          <w:rFonts w:hint="eastAsia" w:ascii="楷体" w:hAnsi="楷体" w:eastAsia="楷体"/>
          <w:b/>
          <w:sz w:val="24"/>
          <w:szCs w:val="24"/>
        </w:rPr>
        <w:t>第一，</w:t>
      </w:r>
      <w:r>
        <w:rPr>
          <w:rFonts w:hint="eastAsia" w:ascii="楷体" w:hAnsi="楷体" w:eastAsia="楷体"/>
          <w:b/>
          <w:color w:val="C55911" w:themeColor="accent2" w:themeShade="BF"/>
          <w:sz w:val="24"/>
          <w:szCs w:val="24"/>
        </w:rPr>
        <w:t>清算时，收入的确认时</w:t>
      </w:r>
      <w:r>
        <w:rPr>
          <w:rFonts w:hint="eastAsia" w:ascii="楷体" w:hAnsi="楷体" w:eastAsia="楷体"/>
          <w:b/>
          <w:sz w:val="24"/>
          <w:szCs w:val="24"/>
        </w:rPr>
        <w:t>间——依据：</w:t>
      </w:r>
      <w:r>
        <w:fldChar w:fldCharType="begin"/>
      </w:r>
      <w:r>
        <w:instrText xml:space="preserve"> HYPERLINK "http://ssfb86.com/index/News/detail/newsid/1939.html" </w:instrText>
      </w:r>
      <w:r>
        <w:fldChar w:fldCharType="separate"/>
      </w:r>
      <w:r>
        <w:rPr>
          <w:rFonts w:hint="eastAsia" w:ascii="楷体" w:hAnsi="楷体" w:eastAsia="楷体"/>
          <w:b/>
          <w:color w:val="6E6E6E"/>
          <w:kern w:val="0"/>
          <w:sz w:val="24"/>
          <w:szCs w:val="24"/>
          <w:u w:val="single"/>
        </w:rPr>
        <w:t>国税函〔2010〕220号</w:t>
      </w:r>
      <w:r>
        <w:rPr>
          <w:rFonts w:hint="eastAsia" w:ascii="楷体" w:hAnsi="楷体" w:eastAsia="楷体"/>
          <w:b/>
          <w:color w:val="6E6E6E"/>
          <w:kern w:val="0"/>
          <w:sz w:val="24"/>
          <w:szCs w:val="24"/>
          <w:u w:val="single"/>
        </w:rPr>
        <w:fldChar w:fldCharType="end"/>
      </w:r>
      <w:r>
        <w:rPr>
          <w:rFonts w:hint="eastAsia" w:ascii="楷体" w:hAnsi="楷体" w:eastAsia="楷体"/>
          <w:b/>
          <w:kern w:val="0"/>
          <w:sz w:val="24"/>
          <w:szCs w:val="24"/>
        </w:rPr>
        <w:t>第一条：</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（1）已全额开具发票的——按照发票所载金额确认收入；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（2）未开具发票或未全额开具发票的——以交易双方签订的销售合同所载的售房金额及其他收益确认收入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（3）销售合同所载商品房面积与有关部门实际测量面积不一致——在清算前已发生补、退房款的，应在计算土地增值税时予以调整</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第二，收入的内容</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（1）从形态上——包括：A、货币收入；B、实物收入；C、其他收入。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（2）从内容上——包括两部分：</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A、转让房地产的全部价款</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B、有关的经济收益</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w:t>
      </w:r>
      <w:r>
        <w:rPr>
          <w:rFonts w:hint="eastAsia" w:ascii="楷体" w:hAnsi="楷体" w:eastAsia="楷体"/>
          <w:b/>
          <w:color w:val="C55911" w:themeColor="accent2" w:themeShade="BF"/>
          <w:sz w:val="24"/>
          <w:szCs w:val="24"/>
        </w:rPr>
        <w:t>违约金、滞纳金、赔偿金、分期付款（延期付款）利息以及其他各种性质的经济收益</w:t>
      </w:r>
      <w:r>
        <w:rPr>
          <w:rFonts w:hint="eastAsia" w:ascii="楷体" w:hAnsi="楷体" w:eastAsia="楷体"/>
          <w:b/>
          <w:sz w:val="24"/>
          <w:szCs w:val="24"/>
        </w:rPr>
        <w:t>——注意：因购买方违约，导致</w:t>
      </w:r>
      <w:r>
        <w:rPr>
          <w:rFonts w:hint="eastAsia" w:ascii="楷体" w:hAnsi="楷体" w:eastAsia="楷体"/>
          <w:b/>
          <w:color w:val="C55911" w:themeColor="accent2" w:themeShade="BF"/>
          <w:sz w:val="24"/>
          <w:szCs w:val="24"/>
        </w:rPr>
        <w:t>房地产未能转让，转让方收取的该项违约金不作为与转让房地产有关的经济利益，不确认为房地产转让收入</w:t>
      </w:r>
      <w:r>
        <w:rPr>
          <w:rFonts w:hint="eastAsia" w:ascii="楷体" w:hAnsi="楷体" w:eastAsia="楷体"/>
          <w:b/>
          <w:sz w:val="24"/>
          <w:szCs w:val="24"/>
        </w:rPr>
        <w:t>（提示：计入营业外收入）。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w:t>
      </w:r>
      <w:r>
        <w:rPr>
          <w:rFonts w:hint="eastAsia" w:ascii="楷体" w:hAnsi="楷体" w:eastAsia="楷体"/>
          <w:b/>
          <w:color w:val="C55911" w:themeColor="accent2" w:themeShade="BF"/>
          <w:sz w:val="24"/>
          <w:szCs w:val="24"/>
        </w:rPr>
        <w:t>售后返租</w:t>
      </w:r>
      <w:r>
        <w:rPr>
          <w:rFonts w:hint="eastAsia" w:ascii="楷体" w:hAnsi="楷体" w:eastAsia="楷体"/>
          <w:b/>
          <w:sz w:val="24"/>
          <w:szCs w:val="24"/>
        </w:rPr>
        <w:t>——单位和个人转让房地产，同时要求购房者将所购房地产无</w:t>
      </w:r>
      <w:r>
        <w:rPr>
          <w:rFonts w:hint="eastAsia" w:ascii="楷体" w:hAnsi="楷体" w:eastAsia="楷体"/>
          <w:b/>
          <w:color w:val="C55911" w:themeColor="accent2" w:themeShade="BF"/>
          <w:sz w:val="24"/>
          <w:szCs w:val="24"/>
        </w:rPr>
        <w:t>偿或低价给转让方或者转让方的关联方使用一段时间</w:t>
      </w:r>
      <w:r>
        <w:rPr>
          <w:rFonts w:hint="eastAsia" w:ascii="楷体" w:hAnsi="楷体" w:eastAsia="楷体"/>
          <w:b/>
          <w:sz w:val="24"/>
          <w:szCs w:val="24"/>
        </w:rPr>
        <w:t>，其实质是转让方获取与转让房地产有关的经济利益。对以此方式转让房地产的行为，应将转让房地产的全部价款及有关的经济收益确认为转让收入，依法计征土地增值税。——处理方法，两顺位</w:t>
      </w:r>
    </w:p>
    <w:p>
      <w:pPr>
        <w:spacing w:beforeLines="50" w:after="0" w:line="360" w:lineRule="auto"/>
        <w:ind w:left="477" w:leftChars="227" w:firstLine="354" w:firstLineChars="147"/>
        <w:rPr>
          <w:color w:val="333333"/>
          <w:sz w:val="19"/>
          <w:szCs w:val="19"/>
          <w:shd w:val="clear" w:color="auto" w:fill="FFFFFF"/>
        </w:rPr>
      </w:pPr>
      <w:r>
        <w:rPr>
          <w:rFonts w:hint="eastAsia" w:ascii="楷体" w:hAnsi="楷体" w:eastAsia="楷体"/>
          <w:b/>
          <w:sz w:val="24"/>
          <w:szCs w:val="24"/>
        </w:rPr>
        <w:t>（a）实际取得使用收益的——主管税务机关可按"定期限内房地产企业（或者其关联方）实际取得的使用收益（如对外转租取得的租金等“来测算”一定期限的使用权"的具体价值，并据以征收土地增值税。</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color w:val="C55911" w:themeColor="accent2" w:themeShade="BF"/>
          <w:sz w:val="24"/>
          <w:szCs w:val="24"/>
        </w:rPr>
        <w:t>（b）有关经济利益无法确认的——应判断其转让价格是否明显偏低。对转让价格明显偏低且无正当理由的，应采用评估或其他合理的方法确定其转让收入</w:t>
      </w:r>
      <w:r>
        <w:rPr>
          <w:rFonts w:hint="eastAsia" w:ascii="楷体" w:hAnsi="楷体" w:eastAsia="楷体"/>
          <w:b/>
          <w:sz w:val="24"/>
          <w:szCs w:val="24"/>
        </w:rPr>
        <w:t>，依法计征土地增值税。</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商业地产，售后返租，统一招商，如何节税</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C</w:t>
      </w:r>
      <w:r>
        <w:rPr>
          <w:rFonts w:hint="eastAsia" w:ascii="楷体" w:hAnsi="楷体" w:eastAsia="楷体"/>
          <w:b/>
          <w:sz w:val="24"/>
          <w:szCs w:val="24"/>
        </w:rPr>
        <w:t>、</w:t>
      </w:r>
      <w:r>
        <w:rPr>
          <w:rFonts w:hint="eastAsia" w:ascii="楷体" w:hAnsi="楷体" w:eastAsia="楷体"/>
          <w:b/>
          <w:color w:val="C55911" w:themeColor="accent2" w:themeShade="BF"/>
          <w:sz w:val="24"/>
          <w:szCs w:val="24"/>
        </w:rPr>
        <w:t>县级及县级以上人民政府要求代收的各项费用</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（a）如果代收费用是计入房价中向购买方一并收取的——可作为转让房地产所取得的收入计税；</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（b）如果代收费用未计入房价中，而是在房价之外单独收取的——可以不作为转让房地产的收入。</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代收费用，如何节税</w:t>
      </w:r>
      <w:r>
        <w:rPr>
          <w:rFonts w:hint="eastAsia" w:ascii="楷体" w:hAnsi="楷体" w:eastAsia="楷体"/>
          <w:b/>
          <w:sz w:val="24"/>
          <w:szCs w:val="24"/>
        </w:rPr>
        <w:t>？——</w:t>
      </w:r>
      <w:r>
        <w:rPr>
          <w:rFonts w:hint="eastAsia" w:ascii="楷体" w:hAnsi="楷体" w:eastAsia="楷体"/>
          <w:b/>
          <w:color w:val="C55911" w:themeColor="accent2" w:themeShade="BF"/>
          <w:sz w:val="24"/>
          <w:szCs w:val="24"/>
        </w:rPr>
        <w:t>在房价外单独收取</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第三，价格明显偏低，怎么办？</w:t>
      </w:r>
    </w:p>
    <w:p>
      <w:pPr>
        <w:spacing w:beforeLines="50" w:after="0" w:line="360" w:lineRule="auto"/>
        <w:ind w:left="477" w:leftChars="227" w:firstLine="354" w:firstLineChars="147"/>
        <w:rPr>
          <w:rFonts w:ascii="楷体" w:hAnsi="楷体" w:eastAsia="楷体"/>
          <w:b/>
          <w:color w:val="333333"/>
          <w:kern w:val="0"/>
          <w:sz w:val="24"/>
          <w:szCs w:val="24"/>
        </w:rPr>
      </w:pPr>
      <w:r>
        <w:rPr>
          <w:rFonts w:hint="eastAsia" w:ascii="楷体" w:hAnsi="楷体" w:eastAsia="楷体"/>
          <w:b/>
          <w:sz w:val="24"/>
          <w:szCs w:val="24"/>
        </w:rPr>
        <w:t>依据：</w:t>
      </w:r>
      <w:r>
        <w:fldChar w:fldCharType="begin"/>
      </w:r>
      <w:r>
        <w:instrText xml:space="preserve"> HYPERLINK "http://ssfb86.com/index/News/detail/newsid/8243.html" </w:instrText>
      </w:r>
      <w:r>
        <w:fldChar w:fldCharType="separate"/>
      </w:r>
      <w:r>
        <w:rPr>
          <w:rFonts w:hint="eastAsia" w:ascii="楷体" w:hAnsi="楷体" w:eastAsia="楷体"/>
          <w:b/>
          <w:color w:val="6E6E6E"/>
          <w:kern w:val="0"/>
          <w:sz w:val="24"/>
          <w:szCs w:val="24"/>
          <w:u w:val="single"/>
        </w:rPr>
        <w:t>苏地税规〔2012〕1号</w:t>
      </w:r>
      <w:r>
        <w:rPr>
          <w:rFonts w:hint="eastAsia" w:ascii="楷体" w:hAnsi="楷体" w:eastAsia="楷体"/>
          <w:b/>
          <w:color w:val="6E6E6E"/>
          <w:kern w:val="0"/>
          <w:sz w:val="24"/>
          <w:szCs w:val="24"/>
          <w:u w:val="single"/>
        </w:rPr>
        <w:fldChar w:fldCharType="end"/>
      </w:r>
      <w:r>
        <w:rPr>
          <w:rFonts w:hint="eastAsia" w:ascii="楷体" w:hAnsi="楷体" w:eastAsia="楷体"/>
          <w:b/>
          <w:color w:val="333333"/>
          <w:kern w:val="0"/>
          <w:sz w:val="24"/>
          <w:szCs w:val="24"/>
        </w:rPr>
        <w:t>第三条第三项：</w:t>
      </w:r>
    </w:p>
    <w:p>
      <w:pPr>
        <w:spacing w:beforeLines="50" w:after="0" w:line="360" w:lineRule="auto"/>
        <w:ind w:left="477" w:leftChars="227" w:firstLine="354" w:firstLineChars="147"/>
        <w:rPr>
          <w:rFonts w:ascii="楷体" w:hAnsi="楷体" w:eastAsia="楷体"/>
          <w:b/>
          <w:color w:val="333333"/>
          <w:kern w:val="0"/>
          <w:sz w:val="24"/>
          <w:szCs w:val="24"/>
        </w:rPr>
      </w:pPr>
      <w:r>
        <w:rPr>
          <w:rFonts w:hint="eastAsia" w:ascii="楷体" w:hAnsi="楷体" w:eastAsia="楷体"/>
          <w:b/>
          <w:color w:val="333333"/>
          <w:kern w:val="0"/>
          <w:sz w:val="24"/>
          <w:szCs w:val="24"/>
        </w:rPr>
        <w:t>（1）明显偏低的判定标准——</w:t>
      </w:r>
      <w:r>
        <w:rPr>
          <w:rFonts w:hint="eastAsia" w:ascii="楷体" w:hAnsi="楷体" w:eastAsia="楷体"/>
          <w:b/>
          <w:color w:val="C55911" w:themeColor="accent2" w:themeShade="BF"/>
          <w:sz w:val="24"/>
          <w:szCs w:val="24"/>
        </w:rPr>
        <w:t>低于同期同类房地产平均销售价格10%</w:t>
      </w:r>
      <w:r>
        <w:rPr>
          <w:rFonts w:hint="eastAsia" w:ascii="楷体" w:hAnsi="楷体" w:eastAsia="楷体"/>
          <w:b/>
          <w:sz w:val="24"/>
          <w:szCs w:val="24"/>
        </w:rPr>
        <w:t>的</w:t>
      </w:r>
      <w:r>
        <w:rPr>
          <w:rFonts w:hint="eastAsia" w:ascii="楷体" w:hAnsi="楷体" w:eastAsia="楷体"/>
          <w:b/>
          <w:color w:val="333333"/>
          <w:kern w:val="0"/>
          <w:sz w:val="24"/>
          <w:szCs w:val="24"/>
        </w:rPr>
        <w:t>——计算“同期同类房地产平均销售价格”时，三顺位：</w:t>
      </w:r>
    </w:p>
    <w:p>
      <w:pPr>
        <w:spacing w:beforeLines="50" w:after="0" w:line="360" w:lineRule="auto"/>
        <w:ind w:left="477" w:leftChars="227" w:firstLine="354" w:firstLineChars="147"/>
        <w:rPr>
          <w:rFonts w:ascii="楷体" w:hAnsi="楷体" w:eastAsia="楷体"/>
          <w:b/>
          <w:color w:val="333333"/>
          <w:kern w:val="0"/>
          <w:sz w:val="24"/>
          <w:szCs w:val="24"/>
        </w:rPr>
      </w:pPr>
      <w:r>
        <w:rPr>
          <w:rFonts w:hint="eastAsia" w:ascii="楷体" w:hAnsi="楷体" w:eastAsia="楷体"/>
          <w:b/>
          <w:color w:val="333333"/>
          <w:kern w:val="0"/>
          <w:sz w:val="24"/>
          <w:szCs w:val="24"/>
        </w:rPr>
        <w:t>A、优先采集同一企业销售</w:t>
      </w:r>
      <w:r>
        <w:rPr>
          <w:rFonts w:hint="eastAsia" w:ascii="楷体" w:hAnsi="楷体" w:eastAsia="楷体"/>
          <w:b/>
          <w:color w:val="C55911" w:themeColor="accent2" w:themeShade="BF"/>
          <w:kern w:val="0"/>
          <w:sz w:val="24"/>
          <w:szCs w:val="24"/>
        </w:rPr>
        <w:t>当月同类</w:t>
      </w:r>
      <w:r>
        <w:rPr>
          <w:rFonts w:hint="eastAsia" w:ascii="楷体" w:hAnsi="楷体" w:eastAsia="楷体"/>
          <w:b/>
          <w:color w:val="333333"/>
          <w:kern w:val="0"/>
          <w:sz w:val="24"/>
          <w:szCs w:val="24"/>
        </w:rPr>
        <w:t>房地产销售价格。</w:t>
      </w:r>
    </w:p>
    <w:p>
      <w:pPr>
        <w:spacing w:beforeLines="50" w:after="0" w:line="360" w:lineRule="auto"/>
        <w:ind w:left="477" w:leftChars="227" w:firstLine="354" w:firstLineChars="147"/>
        <w:rPr>
          <w:rFonts w:ascii="楷体" w:hAnsi="楷体" w:eastAsia="楷体"/>
          <w:b/>
          <w:color w:val="333333"/>
          <w:kern w:val="0"/>
          <w:sz w:val="24"/>
          <w:szCs w:val="24"/>
        </w:rPr>
      </w:pPr>
      <w:r>
        <w:rPr>
          <w:rFonts w:hint="eastAsia" w:ascii="楷体" w:hAnsi="楷体" w:eastAsia="楷体"/>
          <w:b/>
          <w:color w:val="333333"/>
          <w:kern w:val="0"/>
          <w:sz w:val="24"/>
          <w:szCs w:val="24"/>
        </w:rPr>
        <w:t>B、如果不存在当月价格的——可采集</w:t>
      </w:r>
      <w:r>
        <w:rPr>
          <w:rFonts w:hint="eastAsia" w:ascii="楷体" w:hAnsi="楷体" w:eastAsia="楷体"/>
          <w:b/>
          <w:color w:val="C55911" w:themeColor="accent2" w:themeShade="BF"/>
          <w:kern w:val="0"/>
          <w:sz w:val="24"/>
          <w:szCs w:val="24"/>
        </w:rPr>
        <w:t>同一企业销售日前后三个月内的同类</w:t>
      </w:r>
      <w:r>
        <w:rPr>
          <w:rFonts w:hint="eastAsia" w:ascii="楷体" w:hAnsi="楷体" w:eastAsia="楷体"/>
          <w:b/>
          <w:color w:val="333333"/>
          <w:kern w:val="0"/>
          <w:sz w:val="24"/>
          <w:szCs w:val="24"/>
        </w:rPr>
        <w:t>房地产销售价格。</w:t>
      </w:r>
    </w:p>
    <w:p>
      <w:pPr>
        <w:spacing w:beforeLines="50" w:after="0" w:line="360" w:lineRule="auto"/>
        <w:ind w:left="477" w:leftChars="227" w:firstLine="354" w:firstLineChars="147"/>
        <w:rPr>
          <w:rFonts w:ascii="楷体" w:hAnsi="楷体" w:eastAsia="楷体"/>
          <w:b/>
          <w:color w:val="333333"/>
          <w:kern w:val="0"/>
          <w:sz w:val="24"/>
          <w:szCs w:val="24"/>
        </w:rPr>
      </w:pPr>
      <w:r>
        <w:rPr>
          <w:rFonts w:hint="eastAsia" w:ascii="楷体" w:hAnsi="楷体" w:eastAsia="楷体"/>
          <w:b/>
          <w:color w:val="333333"/>
          <w:kern w:val="0"/>
          <w:sz w:val="24"/>
          <w:szCs w:val="24"/>
        </w:rPr>
        <w:t>D、如果不存在前后三个月内的销售价格的——可采集</w:t>
      </w:r>
      <w:r>
        <w:rPr>
          <w:rFonts w:hint="eastAsia" w:ascii="楷体" w:hAnsi="楷体" w:eastAsia="楷体"/>
          <w:b/>
          <w:color w:val="C55911" w:themeColor="accent2" w:themeShade="BF"/>
          <w:kern w:val="0"/>
          <w:sz w:val="24"/>
          <w:szCs w:val="24"/>
        </w:rPr>
        <w:t>相同或者近似地段其他企业销售日当月或者前后三个月内的同类</w:t>
      </w:r>
      <w:r>
        <w:rPr>
          <w:rFonts w:hint="eastAsia" w:ascii="楷体" w:hAnsi="楷体" w:eastAsia="楷体"/>
          <w:b/>
          <w:color w:val="333333"/>
          <w:kern w:val="0"/>
          <w:sz w:val="24"/>
          <w:szCs w:val="24"/>
        </w:rPr>
        <w:t>房地产销售价格。</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新房销售，一房一价，如相差超过10%，怎么办</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（2）税务机关的措施——可委托房地产评估机构评估。</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（3）纳税人申辩的理由——正确理由，主要包括两方面因素：</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w:t>
      </w:r>
      <w:r>
        <w:rPr>
          <w:rFonts w:hint="eastAsia" w:ascii="楷体" w:hAnsi="楷体" w:eastAsia="楷体"/>
          <w:b/>
          <w:color w:val="C55911" w:themeColor="accent2" w:themeShade="BF"/>
          <w:sz w:val="24"/>
          <w:szCs w:val="24"/>
        </w:rPr>
        <w:t>开发产品本身存瑕疵</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w:t>
      </w:r>
      <w:r>
        <w:rPr>
          <w:rFonts w:hint="eastAsia" w:ascii="楷体" w:hAnsi="楷体" w:eastAsia="楷体"/>
          <w:b/>
          <w:color w:val="C55911" w:themeColor="accent2" w:themeShade="BF"/>
          <w:sz w:val="24"/>
          <w:szCs w:val="24"/>
        </w:rPr>
        <w:t>市场供求关系发生变化</w:t>
      </w:r>
      <w:r>
        <w:rPr>
          <w:rFonts w:hint="eastAsia" w:ascii="楷体" w:hAnsi="楷体" w:eastAsia="楷体"/>
          <w:b/>
          <w:sz w:val="24"/>
          <w:szCs w:val="24"/>
        </w:rPr>
        <w:t>——以下，反映了特定市场，可视为有正当理由：</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a、法院判定或裁定的转让价格； </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b、以</w:t>
      </w:r>
      <w:r>
        <w:rPr>
          <w:rFonts w:hint="eastAsia" w:ascii="楷体" w:hAnsi="楷体" w:eastAsia="楷体"/>
          <w:b/>
          <w:color w:val="C55911" w:themeColor="accent2" w:themeShade="BF"/>
          <w:sz w:val="24"/>
          <w:szCs w:val="24"/>
        </w:rPr>
        <w:t>公开拍卖方式转让</w:t>
      </w:r>
      <w:r>
        <w:rPr>
          <w:rFonts w:hint="eastAsia" w:ascii="楷体" w:hAnsi="楷体" w:eastAsia="楷体"/>
          <w:b/>
          <w:sz w:val="24"/>
          <w:szCs w:val="24"/>
        </w:rPr>
        <w:t>房地产的价格——</w:t>
      </w:r>
      <w:r>
        <w:fldChar w:fldCharType="begin"/>
      </w:r>
      <w:r>
        <w:instrText xml:space="preserve"> HYPERLINK "http://ssfb86.com/index/News/detail/newsid/9319.html" </w:instrText>
      </w:r>
      <w:r>
        <w:fldChar w:fldCharType="separate"/>
      </w:r>
      <w:r>
        <w:rPr>
          <w:rStyle w:val="14"/>
          <w:rFonts w:hint="eastAsia" w:ascii="楷体" w:hAnsi="楷体" w:eastAsia="楷体"/>
          <w:b/>
          <w:sz w:val="24"/>
          <w:szCs w:val="24"/>
        </w:rPr>
        <w:t>德发案</w:t>
      </w:r>
      <w:r>
        <w:rPr>
          <w:rStyle w:val="14"/>
          <w:rFonts w:hint="eastAsia" w:ascii="楷体" w:hAnsi="楷体" w:eastAsia="楷体"/>
          <w:b/>
          <w:sz w:val="24"/>
          <w:szCs w:val="24"/>
        </w:rPr>
        <w:fldChar w:fldCharType="end"/>
      </w:r>
      <w:r>
        <w:rPr>
          <w:rFonts w:hint="eastAsia" w:ascii="楷体" w:hAnsi="楷体" w:eastAsia="楷体"/>
          <w:b/>
          <w:sz w:val="24"/>
          <w:szCs w:val="24"/>
        </w:rPr>
        <w:t>的思考； </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c、政府物价部门确定的转让价格； </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d、经</w:t>
      </w:r>
      <w:r>
        <w:rPr>
          <w:rFonts w:hint="eastAsia" w:ascii="楷体" w:hAnsi="楷体" w:eastAsia="楷体"/>
          <w:b/>
          <w:color w:val="C55911" w:themeColor="accent2" w:themeShade="BF"/>
          <w:sz w:val="24"/>
          <w:szCs w:val="24"/>
        </w:rPr>
        <w:t>主管税务机关认定的其他合理</w:t>
      </w:r>
      <w:r>
        <w:rPr>
          <w:rFonts w:hint="eastAsia" w:ascii="楷体" w:hAnsi="楷体" w:eastAsia="楷体"/>
          <w:b/>
          <w:sz w:val="24"/>
          <w:szCs w:val="24"/>
        </w:rPr>
        <w:t>情形。 </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（注：其他因素，如销售给关联方、股东和管理人员的亲朋好友等，一般不得认定为存在正当理由）</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（4）最终的处理——低于房地产评估机构评定的交易价，又无正当理由的，应按照房地产评估机构评定的价格确认转让收入。</w:t>
      </w:r>
      <w:r>
        <w:rPr>
          <w:rFonts w:hint="eastAsia"/>
          <w:b/>
          <w:sz w:val="24"/>
          <w:szCs w:val="24"/>
        </w:rPr>
        <w:t> </w:t>
      </w:r>
    </w:p>
    <w:p>
      <w:pPr>
        <w:spacing w:beforeLines="50" w:after="0" w:line="360" w:lineRule="auto"/>
        <w:ind w:left="477" w:leftChars="227" w:firstLine="354" w:firstLineChars="147"/>
        <w:rPr>
          <w:rFonts w:ascii="楷体" w:hAnsi="楷体" w:eastAsia="楷体"/>
          <w:b/>
          <w:sz w:val="24"/>
          <w:szCs w:val="24"/>
        </w:rPr>
      </w:pPr>
      <w:bookmarkStart w:id="37" w:name="_【问题】“扣除项目金额”，有哪些总体规定？"/>
      <w:bookmarkEnd w:id="37"/>
    </w:p>
    <w:p>
      <w:pPr>
        <w:pStyle w:val="4"/>
        <w:spacing w:beforeLines="50" w:after="0" w:line="360" w:lineRule="auto"/>
        <w:ind w:left="271" w:leftChars="129" w:firstLine="360" w:firstLineChars="150"/>
        <w:jc w:val="left"/>
        <w:rPr>
          <w:sz w:val="24"/>
          <w:szCs w:val="24"/>
        </w:rPr>
      </w:pPr>
      <w:r>
        <w:rPr>
          <w:rFonts w:hint="eastAsia"/>
          <w:sz w:val="24"/>
          <w:szCs w:val="24"/>
        </w:rPr>
        <w:t>【问题】“扣除项目金额”，有哪些总体规定？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第一，预提费用——除另有规定外，不得扣除。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第二，缴纳的政府性基金和行政事业性收费——</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（1）同时符合以下条件的——计入开发成本：</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A、特有性——即：开发房地产项目特有的，如新型墙体材料转项基金、散装水泥基金等——房地产行业以及其他行业普遍缴纳的基金费（如防洪保安资金、退役士兵安置保障金）不允许计入开发成本；</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B、直接相关性——即：与开发活动直接相关</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C、发生时间在开发项目竣工验收之前——指政府性基金和行政事业性收费的</w:t>
      </w:r>
      <w:r>
        <w:rPr>
          <w:rFonts w:hint="eastAsia" w:ascii="楷体" w:hAnsi="楷体" w:eastAsia="楷体"/>
          <w:b/>
          <w:color w:val="C55911" w:themeColor="accent2" w:themeShade="BF"/>
          <w:sz w:val="24"/>
          <w:szCs w:val="24"/>
        </w:rPr>
        <w:t>发生环节</w:t>
      </w:r>
      <w:r>
        <w:rPr>
          <w:rFonts w:hint="eastAsia" w:ascii="楷体" w:hAnsi="楷体" w:eastAsia="楷体"/>
          <w:b/>
          <w:sz w:val="24"/>
          <w:szCs w:val="24"/>
        </w:rPr>
        <w:t>在竣工验收之前，</w:t>
      </w:r>
      <w:r>
        <w:rPr>
          <w:rFonts w:hint="eastAsia" w:ascii="楷体" w:hAnsi="楷体" w:eastAsia="楷体"/>
          <w:b/>
          <w:color w:val="C55911" w:themeColor="accent2" w:themeShade="BF"/>
          <w:sz w:val="24"/>
          <w:szCs w:val="24"/>
        </w:rPr>
        <w:t>而不是要求实际缴纳时间在竣工验收之前</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（2）不同时符合上述条件的——计入开发费用</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第三，扣除凭证的问题——</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（1）除另有规定外，须提供</w:t>
      </w:r>
      <w:r>
        <w:rPr>
          <w:rFonts w:hint="eastAsia" w:ascii="楷体" w:hAnsi="楷体" w:eastAsia="楷体"/>
          <w:b/>
          <w:color w:val="C55911" w:themeColor="accent2" w:themeShade="BF"/>
          <w:sz w:val="24"/>
          <w:szCs w:val="24"/>
        </w:rPr>
        <w:t>合法有效凭证</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（2）不能提供合法有效凭证的——不予扣除。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第四，增值税进项税额的问题——</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（1）允许在销项税额中计算抵扣的——不计入扣除项目</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（2）不允许在销项税额中计算抵扣的——可以计入扣除项目。</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注：采用一般计税方法的房地产项目，在土地增值税清算时，因扣减销售额而减少的销项税额——不同于抵扣的进项税额，不能参照上述规定执行。</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第五，多个房地产项目共同的成本费用——应按</w:t>
      </w:r>
      <w:r>
        <w:rPr>
          <w:rFonts w:hint="eastAsia" w:ascii="楷体" w:hAnsi="楷体" w:eastAsia="楷体"/>
          <w:b/>
          <w:color w:val="C55911" w:themeColor="accent2" w:themeShade="BF"/>
          <w:sz w:val="24"/>
          <w:szCs w:val="24"/>
        </w:rPr>
        <w:t>清算项目可售建筑面积占多个项目可售总建筑面积的比例或其他合理的方法</w:t>
      </w:r>
      <w:r>
        <w:rPr>
          <w:rFonts w:hint="eastAsia" w:ascii="楷体" w:hAnsi="楷体" w:eastAsia="楷体"/>
          <w:b/>
          <w:sz w:val="24"/>
          <w:szCs w:val="24"/>
        </w:rPr>
        <w:t>，计算确定清算项目的扣除金额。</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38" w:name="_【问题】“取得土地使用权所支付的金额”，有哪些规定？"/>
      <w:bookmarkEnd w:id="38"/>
      <w:r>
        <w:rPr>
          <w:rFonts w:hint="eastAsia"/>
          <w:sz w:val="24"/>
          <w:szCs w:val="24"/>
        </w:rPr>
        <w:t>【问题】“取得土地使用权所支付的金额”，有哪些规定？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依据：</w:t>
      </w:r>
      <w:r>
        <w:fldChar w:fldCharType="begin"/>
      </w:r>
      <w:r>
        <w:instrText xml:space="preserve"> HYPERLINK "http://ssfb86.com/index/News/detail/newsid/8261.html" </w:instrText>
      </w:r>
      <w:r>
        <w:fldChar w:fldCharType="separate"/>
      </w:r>
      <w:r>
        <w:rPr>
          <w:rStyle w:val="14"/>
          <w:rFonts w:hint="eastAsia" w:ascii="楷体" w:hAnsi="楷体" w:eastAsia="楷体"/>
          <w:b/>
          <w:sz w:val="24"/>
          <w:szCs w:val="24"/>
        </w:rPr>
        <w:t>3.1.2.2 新房的扣除项目</w:t>
      </w:r>
      <w:r>
        <w:rPr>
          <w:rStyle w:val="14"/>
          <w:rFonts w:hint="eastAsia" w:ascii="楷体" w:hAnsi="楷体" w:eastAsia="楷体"/>
          <w:b/>
          <w:sz w:val="24"/>
          <w:szCs w:val="24"/>
        </w:rPr>
        <w:fldChar w:fldCharType="end"/>
      </w:r>
      <w:r>
        <w:rPr>
          <w:rFonts w:hint="eastAsia" w:ascii="楷体" w:hAnsi="楷体" w:eastAsia="楷体"/>
          <w:b/>
          <w:sz w:val="24"/>
          <w:szCs w:val="24"/>
        </w:rPr>
        <w:t>——</w:t>
      </w:r>
    </w:p>
    <w:p>
      <w:pPr>
        <w:pStyle w:val="21"/>
        <w:numPr>
          <w:ilvl w:val="0"/>
          <w:numId w:val="9"/>
        </w:numPr>
        <w:spacing w:beforeLines="50" w:after="0" w:line="360" w:lineRule="auto"/>
        <w:ind w:left="1597" w:firstLineChars="0"/>
        <w:rPr>
          <w:rFonts w:ascii="楷体" w:hAnsi="楷体" w:eastAsia="楷体"/>
          <w:b/>
          <w:sz w:val="24"/>
          <w:szCs w:val="24"/>
        </w:rPr>
      </w:pPr>
      <w:r>
        <w:rPr>
          <w:rFonts w:hint="eastAsia" w:ascii="楷体" w:hAnsi="楷体" w:eastAsia="楷体"/>
          <w:b/>
          <w:sz w:val="24"/>
          <w:szCs w:val="24"/>
        </w:rPr>
        <w:t>主要构成——两部分：</w:t>
      </w:r>
    </w:p>
    <w:p>
      <w:pPr>
        <w:spacing w:beforeLines="50" w:after="0" w:line="360" w:lineRule="auto"/>
        <w:ind w:left="841" w:firstLine="0"/>
        <w:rPr>
          <w:rFonts w:ascii="楷体" w:hAnsi="楷体" w:eastAsia="楷体"/>
          <w:b/>
          <w:sz w:val="24"/>
          <w:szCs w:val="24"/>
        </w:rPr>
      </w:pPr>
      <w:r>
        <w:rPr>
          <w:rFonts w:hint="eastAsia" w:ascii="楷体" w:hAnsi="楷体" w:eastAsia="楷体"/>
          <w:b/>
          <w:sz w:val="24"/>
          <w:szCs w:val="24"/>
        </w:rPr>
        <w:t>（1）为取得土地使用权所支付的地价款——以纳税人实际支付土地出让金（包括后期补缴的土地出让金），减去</w:t>
      </w:r>
      <w:r>
        <w:rPr>
          <w:rFonts w:hint="eastAsia" w:ascii="楷体" w:hAnsi="楷体" w:eastAsia="楷体"/>
          <w:b/>
          <w:color w:val="C55911" w:themeColor="accent2" w:themeShade="BF"/>
          <w:sz w:val="24"/>
          <w:szCs w:val="24"/>
        </w:rPr>
        <w:t>因受让该宗土地</w:t>
      </w:r>
      <w:r>
        <w:rPr>
          <w:rFonts w:hint="eastAsia" w:ascii="楷体" w:hAnsi="楷体" w:eastAsia="楷体"/>
          <w:b/>
          <w:sz w:val="24"/>
          <w:szCs w:val="24"/>
        </w:rPr>
        <w:t>政府以各种形式支付给纳税人的经济利益后予以确认</w:t>
      </w:r>
    </w:p>
    <w:p>
      <w:pPr>
        <w:spacing w:beforeLines="50" w:after="0" w:line="360" w:lineRule="auto"/>
        <w:ind w:left="841" w:firstLine="0"/>
        <w:rPr>
          <w:rFonts w:ascii="楷体" w:hAnsi="楷体" w:eastAsia="楷体"/>
          <w:b/>
          <w:sz w:val="24"/>
          <w:szCs w:val="24"/>
        </w:rPr>
      </w:pPr>
      <w:r>
        <w:rPr>
          <w:rFonts w:hint="eastAsia" w:ascii="楷体" w:hAnsi="楷体" w:eastAsia="楷体"/>
          <w:b/>
          <w:sz w:val="24"/>
          <w:szCs w:val="24"/>
        </w:rPr>
        <w:t>（2）按国家统一法规缴纳的有关费用</w:t>
      </w:r>
    </w:p>
    <w:p>
      <w:pPr>
        <w:spacing w:beforeLines="50" w:after="0" w:line="360" w:lineRule="auto"/>
        <w:ind w:left="841" w:firstLine="0"/>
        <w:rPr>
          <w:rFonts w:ascii="楷体" w:hAnsi="楷体" w:eastAsia="楷体"/>
          <w:b/>
          <w:sz w:val="24"/>
          <w:szCs w:val="24"/>
        </w:rPr>
      </w:pPr>
      <w:r>
        <w:rPr>
          <w:rFonts w:hint="eastAsia" w:ascii="楷体" w:hAnsi="楷体" w:eastAsia="楷体"/>
          <w:b/>
          <w:sz w:val="24"/>
          <w:szCs w:val="24"/>
        </w:rPr>
        <w:t>A、契税——视同“按国家统一规定交纳的有关费用”</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B、逾期开发缴纳的土地闲置费——不得扣除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第二，土地成本的分摊——两层：</w:t>
      </w:r>
    </w:p>
    <w:p>
      <w:pPr>
        <w:spacing w:beforeLines="50" w:after="0" w:line="360" w:lineRule="auto"/>
        <w:ind w:left="841" w:firstLine="0"/>
        <w:rPr>
          <w:rFonts w:ascii="楷体" w:hAnsi="楷体" w:eastAsia="楷体"/>
          <w:b/>
          <w:sz w:val="24"/>
          <w:szCs w:val="24"/>
        </w:rPr>
      </w:pPr>
      <w:r>
        <w:rPr>
          <w:rFonts w:hint="eastAsia" w:ascii="楷体" w:hAnsi="楷体" w:eastAsia="楷体"/>
          <w:b/>
          <w:sz w:val="24"/>
          <w:szCs w:val="24"/>
        </w:rPr>
        <w:t>（1）成片受让土地、分期分批开发的分摊——3种选择：</w:t>
      </w:r>
    </w:p>
    <w:p>
      <w:pPr>
        <w:spacing w:beforeLines="50" w:after="0" w:line="360" w:lineRule="auto"/>
        <w:ind w:left="841" w:firstLine="0"/>
        <w:rPr>
          <w:rFonts w:ascii="楷体" w:hAnsi="楷体" w:eastAsia="楷体"/>
          <w:b/>
          <w:sz w:val="24"/>
          <w:szCs w:val="24"/>
        </w:rPr>
      </w:pPr>
      <w:r>
        <w:rPr>
          <w:rFonts w:hint="eastAsia" w:ascii="楷体" w:hAnsi="楷体" w:eastAsia="楷体"/>
          <w:b/>
          <w:sz w:val="24"/>
          <w:szCs w:val="24"/>
        </w:rPr>
        <w:t>A、按转让土地使用权的面积占总面积的比例计算分摊——关于总面积的问题：“</w:t>
      </w:r>
      <w:r>
        <w:rPr>
          <w:rFonts w:hint="eastAsia" w:ascii="楷体" w:hAnsi="楷体" w:eastAsia="楷体"/>
          <w:b/>
          <w:color w:val="C55911" w:themeColor="accent2" w:themeShade="BF"/>
          <w:sz w:val="24"/>
          <w:szCs w:val="24"/>
        </w:rPr>
        <w:t>总面积”是指可转让土地使用权的土地总面积</w:t>
      </w:r>
      <w:r>
        <w:rPr>
          <w:rFonts w:hint="eastAsia" w:ascii="楷体" w:hAnsi="楷体" w:eastAsia="楷体"/>
          <w:b/>
          <w:sz w:val="24"/>
          <w:szCs w:val="24"/>
        </w:rPr>
        <w:t>。在土地开发中，因道路、绿化等公共设施用地是不能转让的，按《</w:t>
      </w:r>
      <w:r>
        <w:fldChar w:fldCharType="begin"/>
      </w:r>
      <w:r>
        <w:instrText xml:space="preserve"> HYPERLINK "http://ssfb86.com/index/News/detail/newsid/5327.html" \t "_self" </w:instrText>
      </w:r>
      <w:r>
        <w:fldChar w:fldCharType="separate"/>
      </w:r>
      <w:r>
        <w:rPr>
          <w:rStyle w:val="14"/>
          <w:rFonts w:hint="eastAsia" w:ascii="楷体" w:hAnsi="楷体" w:eastAsia="楷体"/>
          <w:b/>
          <w:sz w:val="24"/>
          <w:szCs w:val="24"/>
        </w:rPr>
        <w:t>细则</w:t>
      </w:r>
      <w:r>
        <w:rPr>
          <w:rStyle w:val="14"/>
          <w:rFonts w:hint="eastAsia" w:ascii="楷体" w:hAnsi="楷体" w:eastAsia="楷体"/>
          <w:b/>
          <w:sz w:val="24"/>
          <w:szCs w:val="24"/>
        </w:rPr>
        <w:fldChar w:fldCharType="end"/>
      </w:r>
      <w:r>
        <w:rPr>
          <w:rFonts w:hint="eastAsia" w:ascii="楷体" w:hAnsi="楷体" w:eastAsia="楷体"/>
          <w:b/>
          <w:sz w:val="24"/>
          <w:szCs w:val="24"/>
        </w:rPr>
        <w:t>》第七条法规，这些不能有偿转让的公共配套设施的费用是计算增值额的扣除项目。因此，在计算转让土地的增值额时，按实际转让土地的面积占可转让土地总面积来计算分摊，即：可转让土地面积为开发土地总面积减除不能转让的公共设施用地面积后的剩余面积。</w:t>
      </w:r>
    </w:p>
    <w:p>
      <w:pPr>
        <w:spacing w:beforeLines="50" w:after="0" w:line="360" w:lineRule="auto"/>
        <w:ind w:left="841" w:firstLine="0"/>
        <w:rPr>
          <w:rFonts w:ascii="楷体" w:hAnsi="楷体" w:eastAsia="楷体"/>
          <w:b/>
          <w:sz w:val="24"/>
          <w:szCs w:val="24"/>
        </w:rPr>
      </w:pPr>
      <w:r>
        <w:rPr>
          <w:rFonts w:hint="eastAsia" w:ascii="楷体" w:hAnsi="楷体" w:eastAsia="楷体"/>
          <w:b/>
          <w:sz w:val="24"/>
          <w:szCs w:val="24"/>
        </w:rPr>
        <w:t>B、或按建筑面积计算分摊</w:t>
      </w:r>
    </w:p>
    <w:p>
      <w:pPr>
        <w:spacing w:beforeLines="50" w:after="0" w:line="360" w:lineRule="auto"/>
        <w:ind w:left="841" w:firstLine="0"/>
        <w:rPr>
          <w:rFonts w:ascii="楷体" w:hAnsi="楷体" w:eastAsia="楷体"/>
          <w:b/>
          <w:sz w:val="24"/>
          <w:szCs w:val="24"/>
        </w:rPr>
      </w:pPr>
      <w:r>
        <w:rPr>
          <w:rFonts w:hint="eastAsia" w:ascii="楷体" w:hAnsi="楷体" w:eastAsia="楷体"/>
          <w:b/>
          <w:sz w:val="24"/>
          <w:szCs w:val="24"/>
        </w:rPr>
        <w:t>C、按税务机关确认的其他方式计算分摊</w:t>
      </w:r>
    </w:p>
    <w:p>
      <w:pPr>
        <w:spacing w:beforeLines="50" w:after="0" w:line="360" w:lineRule="auto"/>
        <w:ind w:left="477" w:leftChars="227" w:firstLine="354" w:firstLineChars="147"/>
        <w:rPr>
          <w:rFonts w:ascii="楷体" w:hAnsi="楷体" w:eastAsia="楷体"/>
          <w:b/>
          <w:color w:val="C55911" w:themeColor="accent2" w:themeShade="BF"/>
          <w:sz w:val="24"/>
          <w:szCs w:val="24"/>
        </w:rPr>
      </w:pPr>
      <w:r>
        <w:rPr>
          <w:rFonts w:hint="eastAsia" w:ascii="楷体" w:hAnsi="楷体" w:eastAsia="楷体"/>
          <w:b/>
          <w:sz w:val="24"/>
          <w:szCs w:val="24"/>
        </w:rPr>
        <w:t>（2）不同清算单位，同一清算单位不同类型房产的分摊</w:t>
      </w:r>
      <w:r>
        <w:rPr>
          <w:rFonts w:hint="eastAsia" w:ascii="楷体" w:hAnsi="楷体" w:eastAsia="楷体"/>
          <w:b/>
          <w:color w:val="C55911" w:themeColor="accent2" w:themeShade="BF"/>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w:t>
      </w:r>
      <w:r>
        <w:rPr>
          <w:rFonts w:hint="eastAsia" w:ascii="楷体" w:hAnsi="楷体" w:eastAsia="楷体"/>
          <w:b/>
          <w:color w:val="C55911" w:themeColor="accent2" w:themeShade="BF"/>
          <w:sz w:val="24"/>
          <w:szCs w:val="24"/>
        </w:rPr>
        <w:t>总体原则：</w:t>
      </w:r>
      <w:r>
        <w:rPr>
          <w:rFonts w:hint="eastAsia" w:ascii="楷体" w:hAnsi="楷体" w:eastAsia="楷体"/>
          <w:b/>
          <w:sz w:val="24"/>
          <w:szCs w:val="24"/>
        </w:rPr>
        <w:t>土地成本</w:t>
      </w:r>
      <w:r>
        <w:rPr>
          <w:rFonts w:hint="eastAsia" w:ascii="楷体" w:hAnsi="楷体" w:eastAsia="楷体"/>
          <w:b/>
          <w:color w:val="C55911" w:themeColor="accent2" w:themeShade="BF"/>
          <w:sz w:val="24"/>
          <w:szCs w:val="24"/>
        </w:rPr>
        <w:t>仅在能够办理权属登记手续的建筑物及其附着物之间分摊</w:t>
      </w:r>
      <w:r>
        <w:rPr>
          <w:rFonts w:hint="eastAsia" w:ascii="楷体" w:hAnsi="楷体" w:eastAsia="楷体"/>
          <w:b/>
          <w:sz w:val="24"/>
          <w:szCs w:val="24"/>
        </w:rPr>
        <w:t>——比如：</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a、对购房人购买车库车位储藏室等后无法办理权属登记手续的——土地成本只能在建造的商品房之间进行分摊。</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b、上述，可办理权属登记手续的——土地成本只能在所有商品房、车库车位储藏室等之间进行分摊。</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B、具体操作——分两类：</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a、可直接归集的，应直接计入该清算单位或该类型房产的土地成本；</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b、不能直接归集的——两种选择：</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（a）、可按建筑面积法计算分摊，</w:t>
      </w:r>
    </w:p>
    <w:p>
      <w:pPr>
        <w:spacing w:beforeLines="50" w:after="0" w:line="360" w:lineRule="auto"/>
        <w:ind w:left="477" w:leftChars="227" w:firstLine="354" w:firstLineChars="147"/>
        <w:rPr>
          <w:rFonts w:ascii="楷体" w:hAnsi="楷体" w:eastAsia="楷体"/>
          <w:b/>
          <w:color w:val="C55911" w:themeColor="accent2" w:themeShade="BF"/>
          <w:sz w:val="24"/>
          <w:szCs w:val="24"/>
        </w:rPr>
      </w:pPr>
      <w:r>
        <w:rPr>
          <w:rFonts w:hint="eastAsia" w:ascii="楷体" w:hAnsi="楷体" w:eastAsia="楷体"/>
          <w:b/>
          <w:sz w:val="24"/>
          <w:szCs w:val="24"/>
        </w:rPr>
        <w:t>（b）、也可按税务机关</w:t>
      </w:r>
      <w:r>
        <w:rPr>
          <w:rFonts w:hint="eastAsia" w:ascii="楷体" w:hAnsi="楷体" w:eastAsia="楷体"/>
          <w:b/>
          <w:color w:val="C55911" w:themeColor="accent2" w:themeShade="BF"/>
          <w:sz w:val="24"/>
          <w:szCs w:val="24"/>
        </w:rPr>
        <w:t>认可</w:t>
      </w:r>
      <w:r>
        <w:rPr>
          <w:rFonts w:hint="eastAsia" w:ascii="楷体" w:hAnsi="楷体" w:eastAsia="楷体"/>
          <w:b/>
          <w:sz w:val="24"/>
          <w:szCs w:val="24"/>
        </w:rPr>
        <w:t>的其他合理方法计算分摊——包括：</w:t>
      </w:r>
      <w:r>
        <w:rPr>
          <w:rFonts w:hint="eastAsia" w:ascii="楷体" w:hAnsi="楷体" w:eastAsia="楷体"/>
          <w:b/>
          <w:color w:val="C55911" w:themeColor="accent2" w:themeShade="BF"/>
          <w:sz w:val="24"/>
          <w:szCs w:val="24"/>
        </w:rPr>
        <w:t>占地面积法、售价系数法等</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哪种分摊方法，更节税？</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39" w:name="_【问题】_“房地产开发成本”，有哪些特别规定？"/>
      <w:bookmarkEnd w:id="39"/>
      <w:r>
        <w:rPr>
          <w:rFonts w:hint="eastAsia"/>
          <w:sz w:val="24"/>
          <w:szCs w:val="24"/>
        </w:rPr>
        <w:t>【问题】“房地产开发成本”，有哪些总体规定？</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第一，凭证资料的要求——根据</w:t>
      </w:r>
      <w:r>
        <w:fldChar w:fldCharType="begin"/>
      </w:r>
      <w:r>
        <w:instrText xml:space="preserve"> HYPERLINK "http://ssfb86.com/index/News/detail/newsid/8235.html" </w:instrText>
      </w:r>
      <w:r>
        <w:fldChar w:fldCharType="separate"/>
      </w:r>
      <w:r>
        <w:rPr>
          <w:rStyle w:val="14"/>
          <w:rFonts w:hint="eastAsia" w:ascii="楷体" w:hAnsi="楷体" w:eastAsia="楷体"/>
          <w:b/>
          <w:sz w:val="24"/>
          <w:szCs w:val="24"/>
        </w:rPr>
        <w:t>参考资料JS9</w:t>
      </w:r>
      <w:r>
        <w:rPr>
          <w:rStyle w:val="14"/>
          <w:rFonts w:hint="eastAsia" w:ascii="楷体" w:hAnsi="楷体" w:eastAsia="楷体"/>
          <w:b/>
          <w:sz w:val="24"/>
          <w:szCs w:val="24"/>
        </w:rPr>
        <w:fldChar w:fldCharType="end"/>
      </w:r>
      <w:r>
        <w:rPr>
          <w:rFonts w:hint="eastAsia" w:ascii="楷体" w:hAnsi="楷体" w:eastAsia="楷体"/>
          <w:b/>
          <w:sz w:val="24"/>
          <w:szCs w:val="24"/>
        </w:rPr>
        <w:t>第一条规定：对房地产开发企业所附送的前期工程费、建筑安装工程费、基础设施费、开发间接费用的</w:t>
      </w:r>
      <w:r>
        <w:rPr>
          <w:rFonts w:hint="eastAsia" w:ascii="楷体" w:hAnsi="楷体" w:eastAsia="楷体"/>
          <w:b/>
          <w:color w:val="C55911" w:themeColor="accent2" w:themeShade="BF"/>
          <w:sz w:val="24"/>
          <w:szCs w:val="24"/>
        </w:rPr>
        <w:t>凭证或资料不符合清算要求或不实</w:t>
      </w:r>
      <w:r>
        <w:rPr>
          <w:rFonts w:hint="eastAsia" w:ascii="楷体" w:hAnsi="楷体" w:eastAsia="楷体"/>
          <w:b/>
          <w:sz w:val="24"/>
          <w:szCs w:val="24"/>
        </w:rPr>
        <w:t>的，各省辖市税务局可</w:t>
      </w:r>
      <w:r>
        <w:rPr>
          <w:rFonts w:hint="eastAsia" w:ascii="楷体" w:hAnsi="楷体" w:eastAsia="楷体"/>
          <w:b/>
          <w:color w:val="C55911" w:themeColor="accent2" w:themeShade="BF"/>
          <w:sz w:val="24"/>
          <w:szCs w:val="24"/>
        </w:rPr>
        <w:t>参照当地建设工程管理造价部门最新公布的建安造价定额资料，结合房屋结构、用途、区位等因素，核定上述四项开发成本的单位面积金额标准</w:t>
      </w:r>
      <w:r>
        <w:rPr>
          <w:rFonts w:hint="eastAsia" w:ascii="楷体" w:hAnsi="楷体" w:eastAsia="楷体"/>
          <w:b/>
          <w:sz w:val="24"/>
          <w:szCs w:val="24"/>
        </w:rPr>
        <w:t>，并据以计算扣除。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提示：如四项开发成本明显高于建安造价定额资料，会引发税收风险！！！</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第二，成本分摊的要求——</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（1）能分摊的——按规定的核算对象分别归集。</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（2）不能分别归集的——应按照不同类型房地产的建筑面积占该项目总建筑面积比例分摊。</w:t>
      </w:r>
      <w:r>
        <w:rPr>
          <w:rFonts w:hint="eastAsia"/>
          <w:b/>
          <w:sz w:val="24"/>
          <w:szCs w:val="24"/>
        </w:rPr>
        <w:t> </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（3）特别规定——如果某一类型房地产存在区别于其他类型房地产的特定成本（例如某一类型房地产发生了装修成本）的，此类特定成本应单独归集并准确核算，并将此类特定成本直接归集至该类型房地产。</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40" w:name="_【问题】“土地征用及拆迁补偿费”，有哪些规定？"/>
      <w:bookmarkEnd w:id="40"/>
      <w:r>
        <w:rPr>
          <w:rFonts w:hint="eastAsia"/>
          <w:sz w:val="24"/>
          <w:szCs w:val="24"/>
        </w:rPr>
        <w:t>【问题】“土地征用及拆迁补偿费”，包括哪些？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第一，范围——（1）土地征用费；（2）耕地占用税；（3）劳动力安置费；（4）有关地上、地下附着物拆迁补偿的净支出；（5）安置动迁用房支出等</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第二，关于安置动迁用房支出——</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用建造的本项目房地产安置回迁户的——安置用房视同销售处理——同时将此确认为房地产开发项目的拆迁补偿费。房地产开发企业支付给回迁户的补差价款，计入拆迁补偿费；回迁户支付给房地产开发企业的补差价款，应抵减本项目拆迁补偿费。</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（3）采取异地安置——异地安置的房屋属于自行开发建造的，确认收入，并计入本项目的拆迁补偿费；异地安置的房屋属于购入的，以实际支付的购房支出计入拆迁补偿费。</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第三，关于货币安置拆迁——凭合法有效凭据计入拆迁补偿费。</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哪些属于合法有效凭据</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41" w:name="_【问题】_“前期工程费”，包括哪些？"/>
      <w:bookmarkEnd w:id="41"/>
      <w:r>
        <w:rPr>
          <w:rFonts w:hint="eastAsia"/>
          <w:sz w:val="24"/>
          <w:szCs w:val="24"/>
        </w:rPr>
        <w:t>【问题】 “前期工程费”，包括哪些？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包括规划、设计、项目可行性研究和水文、地质、勘察、测绘、“三通一平”等支出。</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42" w:name="_【问题】_“建筑安装工程费”，包括哪些？"/>
      <w:bookmarkEnd w:id="42"/>
      <w:r>
        <w:rPr>
          <w:rFonts w:hint="eastAsia"/>
          <w:sz w:val="24"/>
          <w:szCs w:val="24"/>
        </w:rPr>
        <w:t>【问题】 “建筑安装工程费”，包括哪些？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两类：</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第一，出包方式——支付给承包单位的建筑安装工程费——接受建筑安装服务取得的增值税发票，</w:t>
      </w:r>
      <w:r>
        <w:rPr>
          <w:rFonts w:hint="eastAsia" w:ascii="楷体" w:hAnsi="楷体" w:eastAsia="楷体"/>
          <w:b/>
          <w:color w:val="BE8F00" w:themeColor="accent4" w:themeShade="BF"/>
          <w:sz w:val="24"/>
          <w:szCs w:val="24"/>
        </w:rPr>
        <w:t>发票的备注栏注明建筑服务发生地县（市、区）名称及项目名称</w:t>
      </w:r>
      <w:r>
        <w:rPr>
          <w:rFonts w:hint="eastAsia" w:ascii="楷体" w:hAnsi="楷体" w:eastAsia="楷体"/>
          <w:b/>
          <w:sz w:val="24"/>
          <w:szCs w:val="24"/>
        </w:rPr>
        <w:t>——否则，不得计入土地增值税扣除项目。此外：</w:t>
      </w:r>
    </w:p>
    <w:p>
      <w:pPr>
        <w:spacing w:beforeLines="50" w:after="0" w:line="360" w:lineRule="auto"/>
        <w:ind w:left="477" w:leftChars="227" w:firstLine="354" w:firstLineChars="147"/>
        <w:rPr>
          <w:rFonts w:ascii="楷体" w:hAnsi="楷体" w:eastAsia="楷体"/>
          <w:b/>
          <w:bCs/>
          <w:sz w:val="24"/>
          <w:szCs w:val="24"/>
        </w:rPr>
      </w:pPr>
      <w:r>
        <w:rPr>
          <w:rFonts w:hint="eastAsia" w:ascii="楷体" w:hAnsi="楷体" w:eastAsia="楷体"/>
          <w:b/>
          <w:sz w:val="24"/>
          <w:szCs w:val="24"/>
        </w:rPr>
        <w:t>（1）</w:t>
      </w:r>
      <w:r>
        <w:rPr>
          <w:rFonts w:hint="eastAsia" w:ascii="楷体" w:hAnsi="楷体" w:eastAsia="楷体"/>
          <w:b/>
          <w:bCs/>
          <w:sz w:val="24"/>
          <w:szCs w:val="24"/>
        </w:rPr>
        <w:t>未支付的质量保证金——</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A、开具发票的——按发票所载金额予以扣除；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B、未开具发票的——扣留的质保金不得计算扣除。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（2）装修费用——可以计入房地产开发成本，其中：</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A、以建筑物或构筑物为载体，移动后会引起性质、形状改变或者功能受损的装修支出（如：地上地下的各种建筑及各种附属设施，花、草、树木等）——可作为开发成本予以扣除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B、可移动的物品（如可移动的家用电器、家具、日用品、装饰用品等）——不计收入也不允许扣除相关成本费用</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毛坏房、精装修房，哪个更节税</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第二，自营方式——发生的建筑安装工程费。</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43" w:name="_【问题】_“基础设施费”，包括哪些？"/>
      <w:bookmarkEnd w:id="43"/>
      <w:r>
        <w:rPr>
          <w:rFonts w:hint="eastAsia"/>
          <w:sz w:val="24"/>
          <w:szCs w:val="24"/>
        </w:rPr>
        <w:t>【问题】 “基础设施费”，包括哪些？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包括：</w:t>
      </w:r>
      <w:r>
        <w:rPr>
          <w:rFonts w:hint="eastAsia" w:ascii="楷体" w:hAnsi="楷体" w:eastAsia="楷体"/>
          <w:b/>
          <w:color w:val="C55911" w:themeColor="accent2" w:themeShade="BF"/>
          <w:sz w:val="24"/>
          <w:szCs w:val="24"/>
        </w:rPr>
        <w:t>开发小区内</w:t>
      </w:r>
      <w:r>
        <w:rPr>
          <w:rFonts w:hint="eastAsia" w:ascii="楷体" w:hAnsi="楷体" w:eastAsia="楷体"/>
          <w:b/>
          <w:sz w:val="24"/>
          <w:szCs w:val="24"/>
        </w:rPr>
        <w:t>——（1）道路；（2）供水；（3）供电；（4）供气；（5）排污；（6）排洪；（7）通讯；（8）照明；（9）环卫；（10）绿化等工程发生的支出。</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44" w:name="_【问题】_“公共配套设施费”，包括哪些？"/>
      <w:bookmarkEnd w:id="44"/>
      <w:r>
        <w:rPr>
          <w:rFonts w:hint="eastAsia"/>
          <w:sz w:val="24"/>
          <w:szCs w:val="24"/>
        </w:rPr>
        <w:t>【问题】 “公共配套设施费”，包括哪些？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第一，范围——包括</w:t>
      </w:r>
      <w:r>
        <w:rPr>
          <w:rFonts w:hint="eastAsia" w:ascii="楷体" w:hAnsi="楷体" w:eastAsia="楷体"/>
          <w:b/>
          <w:color w:val="C55911" w:themeColor="accent2" w:themeShade="BF"/>
          <w:sz w:val="24"/>
          <w:szCs w:val="24"/>
        </w:rPr>
        <w:t>不能有偿转让</w:t>
      </w:r>
      <w:r>
        <w:rPr>
          <w:rFonts w:hint="eastAsia" w:ascii="楷体" w:hAnsi="楷体" w:eastAsia="楷体"/>
          <w:b/>
          <w:sz w:val="24"/>
          <w:szCs w:val="24"/>
        </w:rPr>
        <w:t>的</w:t>
      </w:r>
      <w:r>
        <w:rPr>
          <w:rFonts w:hint="eastAsia" w:ascii="楷体" w:hAnsi="楷体" w:eastAsia="楷体"/>
          <w:b/>
          <w:color w:val="C55911" w:themeColor="accent2" w:themeShade="BF"/>
          <w:sz w:val="24"/>
          <w:szCs w:val="24"/>
        </w:rPr>
        <w:t>开发小区内</w:t>
      </w:r>
      <w:r>
        <w:rPr>
          <w:rFonts w:hint="eastAsia" w:ascii="楷体" w:hAnsi="楷体" w:eastAsia="楷体"/>
          <w:b/>
          <w:sz w:val="24"/>
          <w:szCs w:val="24"/>
        </w:rPr>
        <w:t>公共配套设施发生的支出——（1）居委会和派出所用房；（2）会所；（3）停车场（库）、</w:t>
      </w:r>
      <w:r>
        <w:rPr>
          <w:rFonts w:hint="eastAsia" w:ascii="楷体" w:hAnsi="楷体" w:eastAsia="楷体"/>
          <w:b/>
          <w:color w:val="C55911" w:themeColor="accent2" w:themeShade="BF"/>
          <w:sz w:val="24"/>
          <w:szCs w:val="24"/>
        </w:rPr>
        <w:t>地下机械车位</w:t>
      </w:r>
      <w:r>
        <w:rPr>
          <w:rFonts w:hint="eastAsia" w:ascii="楷体" w:hAnsi="楷体" w:eastAsia="楷体"/>
          <w:b/>
          <w:sz w:val="24"/>
          <w:szCs w:val="24"/>
        </w:rPr>
        <w:t>；（4）物业管理场所；（5）变电站；（6）热力站；（7）水厂；（8）文体场馆；（9）学校；（10）幼儿园；（11）托儿所；（12）医院；（13）邮电通讯等与清算项目配套公共设施</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第二，处理原则——</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（1）建成后产权属于全体业主所有的——其成本、费用可以扣除；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A、法院判决书、裁定书、调解书以及仲裁裁决书、调解书确定属于全体业主共有的；</w:t>
      </w:r>
    </w:p>
    <w:p>
      <w:pPr>
        <w:spacing w:beforeLines="50" w:after="0" w:line="360" w:lineRule="auto"/>
        <w:ind w:left="477" w:leftChars="227" w:firstLine="354" w:firstLineChars="147"/>
        <w:rPr>
          <w:rFonts w:ascii="楷体" w:hAnsi="楷体" w:eastAsia="楷体"/>
          <w:b/>
          <w:sz w:val="24"/>
          <w:szCs w:val="24"/>
        </w:rPr>
      </w:pPr>
      <w:bookmarkStart w:id="45" w:name="_Hlk57316411"/>
      <w:bookmarkEnd w:id="45"/>
      <w:r>
        <w:rPr>
          <w:rFonts w:hint="eastAsia" w:ascii="楷体" w:hAnsi="楷体" w:eastAsia="楷体"/>
          <w:b/>
          <w:sz w:val="24"/>
          <w:szCs w:val="24"/>
        </w:rPr>
        <w:t>B、在不动产登记机构不动产登记簿中明确属于全体业主共有的；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C、商品房销售合同、协议或合同性质凭证中载明归全体业主共有，且经业主委员会书面证明属于全体业主共有的；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D、纳税人出具经公证承诺永久属于全体业主共有声明的。</w:t>
      </w:r>
    </w:p>
    <w:p>
      <w:pPr>
        <w:spacing w:beforeLines="50" w:after="0" w:line="360" w:lineRule="auto"/>
        <w:ind w:left="477" w:leftChars="227" w:firstLine="354" w:firstLineChars="147"/>
        <w:rPr>
          <w:rFonts w:ascii="楷体" w:hAnsi="楷体" w:eastAsia="楷体"/>
          <w:b/>
          <w:sz w:val="24"/>
          <w:szCs w:val="24"/>
        </w:rPr>
      </w:pPr>
      <w:bookmarkStart w:id="46" w:name="_Hlk57316684"/>
      <w:bookmarkEnd w:id="46"/>
      <w:r>
        <w:rPr>
          <w:rFonts w:hint="eastAsia" w:ascii="楷体" w:hAnsi="楷体" w:eastAsia="楷体"/>
          <w:b/>
          <w:sz w:val="24"/>
          <w:szCs w:val="24"/>
        </w:rPr>
        <w:t>（2）建成后无偿移交给政府、公用事业单位用于非营利性社会公共事业的——其成本、费用可以扣除；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w:t>
      </w:r>
      <w:r>
        <w:rPr>
          <w:rFonts w:hint="eastAsia" w:ascii="楷体" w:hAnsi="楷体" w:eastAsia="楷体"/>
          <w:b/>
          <w:color w:val="C55911" w:themeColor="accent2" w:themeShade="BF"/>
          <w:sz w:val="24"/>
          <w:szCs w:val="24"/>
        </w:rPr>
        <w:t>建成后有偿转让的</w:t>
      </w:r>
      <w:r>
        <w:rPr>
          <w:rFonts w:hint="eastAsia" w:ascii="楷体" w:hAnsi="楷体" w:eastAsia="楷体"/>
          <w:b/>
          <w:sz w:val="24"/>
          <w:szCs w:val="24"/>
        </w:rPr>
        <w:t>——应计算收入，并准予扣除成本、费用。</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第三，几个特定问题——</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（1）车库（车位、储藏室等）单独转让时——函询同级不动产登记部门，请其确认是否能够办理权属登记手续</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A、能够办理权属登记手续——应按“其他类型房产”确认收入并计算成本费用。</w:t>
      </w:r>
      <w:r>
        <w:rPr>
          <w:rFonts w:hint="eastAsia"/>
          <w:b/>
          <w:sz w:val="24"/>
          <w:szCs w:val="24"/>
        </w:rPr>
        <w:t> </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B、不能办理权属登记手续——按公共配套设施费</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（2）人防工程问题——依法配建并经验收合格的，允许扣除相关成本、费用——投资者处置</w:t>
      </w:r>
      <w:r>
        <w:rPr>
          <w:rFonts w:hint="eastAsia" w:ascii="楷体" w:hAnsi="楷体" w:eastAsia="楷体"/>
          <w:b/>
          <w:color w:val="C55911" w:themeColor="accent2" w:themeShade="BF"/>
          <w:sz w:val="24"/>
          <w:szCs w:val="24"/>
        </w:rPr>
        <w:t>利用地下人防设施建造的车库（位）等设施不能实现产权转移，取得的收入不应视为转让房地产收入</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处置利用人防设施建造的车库（位），是否要冲减相关的人防工程成本——有的观点：不冲减</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47" w:name="_【问题】_“开发间接费用”，如何计算？"/>
      <w:bookmarkEnd w:id="47"/>
      <w:r>
        <w:rPr>
          <w:rFonts w:hint="eastAsia"/>
          <w:sz w:val="24"/>
          <w:szCs w:val="24"/>
        </w:rPr>
        <w:t>【问题】 “开发间接费用”，包括哪些？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直接组织、管理开发项目发生的费用，包括工资、职工福利费、折旧费、修理费、办公费、水电费、劳动保护费、周转房摊销等。</w:t>
      </w:r>
    </w:p>
    <w:p>
      <w:pPr>
        <w:spacing w:beforeLines="50" w:after="0" w:line="360" w:lineRule="auto"/>
        <w:ind w:left="477" w:leftChars="227" w:firstLine="308" w:firstLineChars="147"/>
        <w:rPr>
          <w:color w:val="262626"/>
        </w:rPr>
      </w:pPr>
    </w:p>
    <w:p>
      <w:pPr>
        <w:pStyle w:val="4"/>
        <w:spacing w:beforeLines="50" w:after="0" w:line="360" w:lineRule="auto"/>
        <w:ind w:left="271" w:leftChars="129" w:firstLine="360" w:firstLineChars="150"/>
        <w:jc w:val="left"/>
        <w:rPr>
          <w:sz w:val="24"/>
          <w:szCs w:val="24"/>
        </w:rPr>
      </w:pPr>
      <w:bookmarkStart w:id="48" w:name="_【问题】_“房地产开发费用”，包括哪些？"/>
      <w:bookmarkEnd w:id="48"/>
      <w:r>
        <w:rPr>
          <w:rFonts w:hint="eastAsia"/>
          <w:sz w:val="24"/>
          <w:szCs w:val="24"/>
        </w:rPr>
        <w:t>【问题】 “房地产开发费用”，包括哪些？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第一，范围——房地产开发项目有关的：（1）销售费用；（2）管理费用；（3）财务费用。</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第二，关于限额扣除——分两种情况</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（1）凡</w:t>
      </w:r>
      <w:r>
        <w:rPr>
          <w:rFonts w:hint="eastAsia" w:ascii="楷体" w:hAnsi="楷体" w:eastAsia="楷体"/>
          <w:b/>
          <w:color w:val="C55911" w:themeColor="accent2" w:themeShade="BF"/>
          <w:sz w:val="24"/>
          <w:szCs w:val="24"/>
        </w:rPr>
        <w:t>财务费用中的利息支出能够按转让房地产项目计算分摊并提供金融机构证明的</w:t>
      </w:r>
      <w:r>
        <w:rPr>
          <w:rFonts w:hint="eastAsia" w:ascii="楷体" w:hAnsi="楷体" w:eastAsia="楷体"/>
          <w:b/>
          <w:sz w:val="24"/>
          <w:szCs w:val="24"/>
        </w:rPr>
        <w:t>——允许据实扣除， 但最高不能超过按商业银行同类同期贷款利率计算的金额，其它房地产开发费用按《</w:t>
      </w:r>
      <w:r>
        <w:fldChar w:fldCharType="begin"/>
      </w:r>
      <w:r>
        <w:instrText xml:space="preserve"> HYPERLINK "http://ssfb86.com/index/News/detail/newsid/5327.html" \t "_self" </w:instrText>
      </w:r>
      <w:r>
        <w:fldChar w:fldCharType="separate"/>
      </w:r>
      <w:r>
        <w:rPr>
          <w:rStyle w:val="14"/>
          <w:rFonts w:hint="eastAsia" w:ascii="楷体" w:hAnsi="楷体" w:eastAsia="楷体"/>
          <w:b/>
          <w:sz w:val="24"/>
          <w:szCs w:val="24"/>
        </w:rPr>
        <w:t>细则</w:t>
      </w:r>
      <w:r>
        <w:rPr>
          <w:rStyle w:val="14"/>
          <w:rFonts w:hint="eastAsia" w:ascii="楷体" w:hAnsi="楷体" w:eastAsia="楷体"/>
          <w:b/>
          <w:sz w:val="24"/>
          <w:szCs w:val="24"/>
        </w:rPr>
        <w:fldChar w:fldCharType="end"/>
      </w:r>
      <w:r>
        <w:rPr>
          <w:rFonts w:hint="eastAsia" w:ascii="楷体" w:hAnsi="楷体" w:eastAsia="楷体"/>
          <w:b/>
          <w:sz w:val="24"/>
          <w:szCs w:val="24"/>
        </w:rPr>
        <w:t>》第七条（一）、（二）项规定计算的金融之和的百分之五计算扣除；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（2）凡不能按转让房地产项目计算分摊利息支出或不能提供金融机构证明的——房地产开发费用按《</w:t>
      </w:r>
      <w:r>
        <w:fldChar w:fldCharType="begin"/>
      </w:r>
      <w:r>
        <w:instrText xml:space="preserve"> HYPERLINK "http://ssfb86.com/index/News/detail/newsid/5327.html" \t "_self" </w:instrText>
      </w:r>
      <w:r>
        <w:fldChar w:fldCharType="separate"/>
      </w:r>
      <w:r>
        <w:rPr>
          <w:rStyle w:val="14"/>
          <w:rFonts w:hint="eastAsia" w:ascii="楷体" w:hAnsi="楷体" w:eastAsia="楷体"/>
          <w:b/>
          <w:sz w:val="24"/>
          <w:szCs w:val="24"/>
        </w:rPr>
        <w:t>细则</w:t>
      </w:r>
      <w:r>
        <w:rPr>
          <w:rStyle w:val="14"/>
          <w:rFonts w:hint="eastAsia" w:ascii="楷体" w:hAnsi="楷体" w:eastAsia="楷体"/>
          <w:b/>
          <w:sz w:val="24"/>
          <w:szCs w:val="24"/>
        </w:rPr>
        <w:fldChar w:fldCharType="end"/>
      </w:r>
      <w:r>
        <w:rPr>
          <w:rFonts w:hint="eastAsia" w:ascii="楷体" w:hAnsi="楷体" w:eastAsia="楷体"/>
          <w:b/>
          <w:sz w:val="24"/>
          <w:szCs w:val="24"/>
        </w:rPr>
        <w:t>》第七条（一）、（二）项规定计算的金额之和的百分之十计算扣除.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第三，特定问题的处理：</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（1）全部使用自有资金，没有利息支出的——按照以上方法扣除。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（2）既向金融机构借款，又有其他借款的——其房地产开发费用计算扣除时不能同时适用本条（一）、（二）项所述两种办法。</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49" w:name="_【问题】_“利息支出”，包括哪些？"/>
      <w:bookmarkEnd w:id="49"/>
      <w:r>
        <w:rPr>
          <w:rFonts w:hint="eastAsia"/>
          <w:sz w:val="24"/>
          <w:szCs w:val="24"/>
        </w:rPr>
        <w:t>【问题】 “利息支出”，包括哪些？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第一，范围——土地增值税清算时，</w:t>
      </w:r>
      <w:r>
        <w:rPr>
          <w:rFonts w:hint="eastAsia" w:ascii="楷体" w:hAnsi="楷体" w:eastAsia="楷体"/>
          <w:b/>
          <w:color w:val="C55911" w:themeColor="accent2" w:themeShade="BF"/>
          <w:sz w:val="24"/>
          <w:szCs w:val="24"/>
        </w:rPr>
        <w:t>已经计入房地产开发成本的利息支出</w:t>
      </w:r>
      <w:r>
        <w:rPr>
          <w:rFonts w:hint="eastAsia" w:ascii="楷体" w:hAnsi="楷体" w:eastAsia="楷体"/>
          <w:b/>
          <w:sz w:val="24"/>
          <w:szCs w:val="24"/>
        </w:rPr>
        <w:t>——</w:t>
      </w:r>
      <w:r>
        <w:rPr>
          <w:rFonts w:hint="eastAsia" w:ascii="楷体" w:hAnsi="楷体" w:eastAsia="楷体"/>
          <w:b/>
          <w:color w:val="C55911" w:themeColor="accent2" w:themeShade="BF"/>
          <w:sz w:val="24"/>
          <w:szCs w:val="24"/>
        </w:rPr>
        <w:t>应调整至财务费用中计算扣除</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第二，几个具体问题的处理——</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（1）利息支出能够分摊，并提供金融机构证明的——允许据实扣除，但最高不能超过按商业银行同类同期贷款利率计算的金额。</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A、关于据实扣除——需要同时符合以下四个条件</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a、如果纳税人存在非房地产经营项目——应当能够将利息在房地产项目和非房地产项目之间准确划分；</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b、利息支出能够在不同清算单位之间准确归集；</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c、利息支出能够按不同类型房地产计算分摊；</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d、能够提供金融机构证明（纳税人支付的</w:t>
      </w:r>
      <w:r>
        <w:rPr>
          <w:rFonts w:hint="eastAsia" w:ascii="楷体" w:hAnsi="楷体" w:eastAsia="楷体"/>
          <w:b/>
          <w:color w:val="C55911" w:themeColor="accent2" w:themeShade="BF"/>
          <w:sz w:val="24"/>
          <w:szCs w:val="24"/>
        </w:rPr>
        <w:t>委托贷款利息支出属于不能提供金融机构证明的利息支出</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不能同时符合上述四个条件的，则应当按照取得土地使用权支付的金额与房地产开发成本之和的5%计算扣除——如果纳税人</w:t>
      </w:r>
      <w:r>
        <w:rPr>
          <w:rFonts w:hint="eastAsia" w:ascii="楷体" w:hAnsi="楷体" w:eastAsia="楷体"/>
          <w:b/>
          <w:color w:val="C55911" w:themeColor="accent2" w:themeShade="BF"/>
          <w:sz w:val="24"/>
          <w:szCs w:val="24"/>
        </w:rPr>
        <w:t>实际发生的利息支出小于取得土地使用权支付的金额与房地产开发成本之和的5%，仍可按取得土地使用权支付的金额与房地产开发成本之和的5%计算扣除</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B、关于同类同期贷款利率</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a、利息的上浮幅度按国家的有关规定执行，</w:t>
      </w:r>
      <w:r>
        <w:rPr>
          <w:rFonts w:hint="eastAsia" w:ascii="楷体" w:hAnsi="楷体" w:eastAsia="楷体"/>
          <w:b/>
          <w:color w:val="C55911" w:themeColor="accent2" w:themeShade="BF"/>
          <w:sz w:val="24"/>
          <w:szCs w:val="24"/>
        </w:rPr>
        <w:t>超过上浮幅度的部分——</w:t>
      </w:r>
      <w:r>
        <w:rPr>
          <w:rFonts w:hint="eastAsia" w:ascii="楷体" w:hAnsi="楷体" w:eastAsia="楷体"/>
          <w:b/>
          <w:sz w:val="24"/>
          <w:szCs w:val="24"/>
        </w:rPr>
        <w:t>不允许扣除；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b、对于</w:t>
      </w:r>
      <w:r>
        <w:rPr>
          <w:rFonts w:hint="eastAsia" w:ascii="楷体" w:hAnsi="楷体" w:eastAsia="楷体"/>
          <w:b/>
          <w:color w:val="C55911" w:themeColor="accent2" w:themeShade="BF"/>
          <w:sz w:val="24"/>
          <w:szCs w:val="24"/>
        </w:rPr>
        <w:t>超过贷款期限的利息部分和加罚的利息</w:t>
      </w:r>
      <w:r>
        <w:rPr>
          <w:rFonts w:hint="eastAsia" w:ascii="楷体" w:hAnsi="楷体" w:eastAsia="楷体"/>
          <w:b/>
          <w:sz w:val="24"/>
          <w:szCs w:val="24"/>
        </w:rPr>
        <w:t>——不允许扣除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（2）利息支出不能分摊，或不能提供金融机构证明的——房地产开发费用在按“取得土地使用权所支付的金额”与“房地产开发成本”金额之和的10%以内计算扣除。</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50" w:name="_【问题】_“其他房地产开发费用单位成本费用”，如何计算？"/>
      <w:bookmarkEnd w:id="50"/>
      <w:r>
        <w:rPr>
          <w:rFonts w:hint="eastAsia"/>
          <w:sz w:val="24"/>
          <w:szCs w:val="24"/>
        </w:rPr>
        <w:t>【问题】 “其他房地产开发费用”，如何计算？</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利息支出以外的其他房地产开发费用一律按照取得土地使用权支付的金额与房地产开发成本之和的5%计算扣除——</w:t>
      </w:r>
      <w:r>
        <w:rPr>
          <w:rFonts w:hint="eastAsia" w:ascii="楷体" w:hAnsi="楷体" w:eastAsia="楷体"/>
          <w:b/>
          <w:color w:val="C55911" w:themeColor="accent2" w:themeShade="BF"/>
          <w:sz w:val="24"/>
          <w:szCs w:val="24"/>
        </w:rPr>
        <w:t>不必考虑纳税人的实际发生额</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51" w:name="_【问题】_“与转让房地产有关的税金等”，包括哪些？"/>
      <w:bookmarkEnd w:id="51"/>
      <w:r>
        <w:rPr>
          <w:rFonts w:hint="eastAsia"/>
          <w:sz w:val="24"/>
          <w:szCs w:val="24"/>
        </w:rPr>
        <w:t>【问题】 “与转让房地产有关的税金等”，包括哪些？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（1）营业税——NOT增值税</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（2）城市维护建设税、教育费附加——分两种情况：</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A、凡能够按清算项目准确计算的——允许据实扣除。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B、凡不能按清算项目准确计算的——则按该清算项目预缴增值税时实际缴纳的城建税、教育费附加扣除。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地方教育附加费，是否可扣——可扣</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提示：</w:t>
      </w:r>
      <w:r>
        <w:rPr>
          <w:rFonts w:hint="eastAsia" w:ascii="楷体" w:hAnsi="楷体" w:eastAsia="楷体"/>
          <w:b/>
          <w:sz w:val="24"/>
          <w:szCs w:val="24"/>
          <w:shd w:val="clear" w:color="auto" w:fill="FFFFFF"/>
        </w:rPr>
        <w:t>《</w:t>
      </w:r>
      <w:r>
        <w:fldChar w:fldCharType="begin"/>
      </w:r>
      <w:r>
        <w:instrText xml:space="preserve"> HYPERLINK "http://ssfb86.com/index/News/detail/newsid/5327.html" </w:instrText>
      </w:r>
      <w:r>
        <w:fldChar w:fldCharType="separate"/>
      </w:r>
      <w:r>
        <w:rPr>
          <w:rStyle w:val="14"/>
          <w:rFonts w:hint="eastAsia" w:ascii="楷体" w:hAnsi="楷体" w:eastAsia="楷体"/>
          <w:b/>
          <w:color w:val="6E6E6E"/>
          <w:sz w:val="24"/>
          <w:szCs w:val="24"/>
          <w:shd w:val="clear" w:color="auto" w:fill="FFFFFF"/>
        </w:rPr>
        <w:t>土地增值税暂行条例实施细则</w:t>
      </w:r>
      <w:r>
        <w:rPr>
          <w:rStyle w:val="14"/>
          <w:rFonts w:hint="eastAsia" w:ascii="楷体" w:hAnsi="楷体" w:eastAsia="楷体"/>
          <w:b/>
          <w:color w:val="6E6E6E"/>
          <w:sz w:val="24"/>
          <w:szCs w:val="24"/>
          <w:shd w:val="clear" w:color="auto" w:fill="FFFFFF"/>
        </w:rPr>
        <w:fldChar w:fldCharType="end"/>
      </w:r>
      <w:r>
        <w:rPr>
          <w:rFonts w:hint="eastAsia" w:ascii="楷体" w:hAnsi="楷体" w:eastAsia="楷体"/>
          <w:b/>
          <w:sz w:val="24"/>
          <w:szCs w:val="24"/>
          <w:shd w:val="clear" w:color="auto" w:fill="FFFFFF"/>
        </w:rPr>
        <w:t>》第七条第五款规定，</w:t>
      </w:r>
      <w:r>
        <w:rPr>
          <w:rFonts w:hint="eastAsia" w:ascii="楷体" w:hAnsi="楷体" w:eastAsia="楷体"/>
          <w:b/>
          <w:color w:val="C55911" w:themeColor="accent2" w:themeShade="BF"/>
          <w:sz w:val="24"/>
          <w:szCs w:val="24"/>
          <w:shd w:val="clear" w:color="auto" w:fill="FFFFFF"/>
        </w:rPr>
        <w:t>可扣除的</w:t>
      </w:r>
      <w:r>
        <w:rPr>
          <w:rFonts w:hint="eastAsia" w:ascii="楷体" w:hAnsi="楷体" w:eastAsia="楷体"/>
          <w:b/>
          <w:color w:val="C55911" w:themeColor="accent2" w:themeShade="BF"/>
          <w:sz w:val="24"/>
          <w:szCs w:val="24"/>
        </w:rPr>
        <w:t>印花税，在申报表中无法填报</w:t>
      </w:r>
      <w:r>
        <w:rPr>
          <w:rFonts w:hint="eastAsia" w:ascii="楷体" w:hAnsi="楷体" w:eastAsia="楷体"/>
          <w:b/>
          <w:sz w:val="24"/>
          <w:szCs w:val="24"/>
        </w:rPr>
        <w:t>。——原在“管理费用”中列支，现在“税金及附加”，但无法扣除！</w:t>
      </w:r>
    </w:p>
    <w:p>
      <w:pPr>
        <w:spacing w:beforeLines="50" w:after="0" w:line="360" w:lineRule="auto"/>
        <w:ind w:left="477" w:leftChars="227" w:firstLine="308" w:firstLineChars="147"/>
        <w:rPr>
          <w:color w:val="262626"/>
        </w:rPr>
      </w:pPr>
    </w:p>
    <w:p>
      <w:pPr>
        <w:pStyle w:val="4"/>
        <w:spacing w:beforeLines="50" w:after="0" w:line="360" w:lineRule="auto"/>
        <w:ind w:left="271" w:leftChars="129" w:firstLine="360" w:firstLineChars="150"/>
        <w:jc w:val="left"/>
        <w:rPr>
          <w:sz w:val="24"/>
          <w:szCs w:val="24"/>
        </w:rPr>
      </w:pPr>
      <w:bookmarkStart w:id="52" w:name="_【问题】_“财政部规定的其他扣除项目”，包括哪些？"/>
      <w:bookmarkEnd w:id="52"/>
      <w:r>
        <w:rPr>
          <w:rFonts w:hint="eastAsia"/>
          <w:sz w:val="24"/>
          <w:szCs w:val="24"/>
        </w:rPr>
        <w:t>【问题】 “财政部规定的其他扣除项目”，包括哪些？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对从事房地产开发的纳税人可按本条（一），（二）项法规计算的金额之和，加计20％的扣除。</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53" w:name="_【问题】_“代收费用”，包括哪些？"/>
      <w:bookmarkEnd w:id="53"/>
      <w:bookmarkStart w:id="54" w:name="_Hlk88078903"/>
      <w:r>
        <w:rPr>
          <w:rFonts w:hint="eastAsia"/>
          <w:sz w:val="24"/>
          <w:szCs w:val="24"/>
        </w:rPr>
        <w:t>【问题】 “代收费用”，包括哪些？</w:t>
      </w:r>
    </w:p>
    <w:bookmarkEnd w:id="54"/>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第一，两种情况，分别处理：</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（1）对于代收费用作为转让收入计税的——在计算扣除项目金额时，可予以扣除，但不允许作为加计20%扣除的基数</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（2）对于代收费用</w:t>
      </w:r>
      <w:r>
        <w:rPr>
          <w:rFonts w:hint="eastAsia" w:ascii="楷体" w:hAnsi="楷体" w:eastAsia="楷体"/>
          <w:b/>
          <w:color w:val="C55911" w:themeColor="accent2" w:themeShade="BF"/>
          <w:sz w:val="24"/>
          <w:szCs w:val="24"/>
        </w:rPr>
        <w:t>未作为转让房地产的收入计税</w:t>
      </w:r>
      <w:r>
        <w:rPr>
          <w:rFonts w:hint="eastAsia" w:ascii="楷体" w:hAnsi="楷体" w:eastAsia="楷体"/>
          <w:b/>
          <w:sz w:val="24"/>
          <w:szCs w:val="24"/>
        </w:rPr>
        <w:t>的——在计算增值额时</w:t>
      </w:r>
      <w:r>
        <w:rPr>
          <w:rFonts w:hint="eastAsia" w:ascii="楷体" w:hAnsi="楷体" w:eastAsia="楷体"/>
          <w:b/>
          <w:color w:val="C55911" w:themeColor="accent2" w:themeShade="BF"/>
          <w:sz w:val="24"/>
          <w:szCs w:val="24"/>
        </w:rPr>
        <w:t>不允许扣除</w:t>
      </w:r>
      <w:r>
        <w:rPr>
          <w:rFonts w:hint="eastAsia" w:ascii="楷体" w:hAnsi="楷体" w:eastAsia="楷体"/>
          <w:b/>
          <w:sz w:val="24"/>
          <w:szCs w:val="24"/>
        </w:rPr>
        <w:t>代收费用。</w:t>
      </w:r>
    </w:p>
    <w:p>
      <w:pPr>
        <w:spacing w:beforeLines="50" w:after="0" w:line="360" w:lineRule="auto"/>
        <w:ind w:left="477" w:leftChars="227" w:firstLine="354" w:firstLineChars="147"/>
        <w:rPr>
          <w:b/>
          <w:sz w:val="24"/>
          <w:szCs w:val="24"/>
        </w:rPr>
      </w:pPr>
      <w:r>
        <w:rPr>
          <w:rFonts w:hint="eastAsia" w:ascii="楷体" w:hAnsi="楷体" w:eastAsia="楷体"/>
          <w:b/>
          <w:sz w:val="24"/>
          <w:szCs w:val="24"/>
        </w:rPr>
        <w:t>第二，参照上述处理的：（1）</w:t>
      </w:r>
      <w:r>
        <w:rPr>
          <w:rFonts w:hint="eastAsia" w:ascii="楷体" w:hAnsi="楷体" w:eastAsia="楷体"/>
          <w:b/>
          <w:color w:val="C55911" w:themeColor="accent2" w:themeShade="BF"/>
          <w:sz w:val="24"/>
          <w:szCs w:val="24"/>
        </w:rPr>
        <w:t>市政公用基础设施配套费；（2）人防工程异地建设</w:t>
      </w:r>
      <w:r>
        <w:rPr>
          <w:rFonts w:hint="eastAsia" w:ascii="楷体" w:hAnsi="楷体" w:eastAsia="楷体"/>
          <w:b/>
          <w:sz w:val="24"/>
          <w:szCs w:val="24"/>
        </w:rPr>
        <w:t>费。</w:t>
      </w:r>
      <w:r>
        <w:rPr>
          <w:rFonts w:hint="eastAsia"/>
          <w:b/>
          <w:sz w:val="24"/>
          <w:szCs w:val="24"/>
        </w:rPr>
        <w:t> </w:t>
      </w:r>
    </w:p>
    <w:p>
      <w:pPr>
        <w:spacing w:beforeLines="50" w:after="0" w:line="360" w:lineRule="auto"/>
        <w:ind w:left="477" w:leftChars="227" w:firstLine="354" w:firstLineChars="147"/>
        <w:rPr>
          <w:b/>
          <w:sz w:val="24"/>
          <w:szCs w:val="24"/>
        </w:rPr>
      </w:pPr>
    </w:p>
    <w:p>
      <w:pPr>
        <w:pStyle w:val="4"/>
        <w:spacing w:beforeLines="50" w:after="0" w:line="360" w:lineRule="auto"/>
        <w:ind w:left="271" w:leftChars="129" w:firstLine="360" w:firstLineChars="150"/>
        <w:jc w:val="left"/>
        <w:rPr>
          <w:sz w:val="24"/>
          <w:szCs w:val="24"/>
        </w:rPr>
      </w:pPr>
      <w:bookmarkStart w:id="55" w:name="_【问题】_“减免税”，包括哪些？"/>
      <w:bookmarkEnd w:id="55"/>
      <w:r>
        <w:rPr>
          <w:rFonts w:hint="eastAsia"/>
          <w:sz w:val="24"/>
          <w:szCs w:val="24"/>
        </w:rPr>
        <w:t>【问题】 “减免税”，包括哪些？</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（1）个人转让住房</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（2）个人互换住房</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（3）因国家建设需要</w:t>
      </w:r>
      <w:r>
        <w:rPr>
          <w:rFonts w:hint="eastAsia" w:ascii="楷体" w:hAnsi="楷体" w:eastAsia="楷体"/>
          <w:b/>
          <w:color w:val="C55911" w:themeColor="accent2" w:themeShade="BF"/>
          <w:sz w:val="24"/>
          <w:szCs w:val="24"/>
        </w:rPr>
        <w:t>依法征收、收回的房地产</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w:t>
      </w:r>
      <w:r>
        <w:rPr>
          <w:rFonts w:ascii="楷体" w:hAnsi="楷体" w:eastAsia="楷体"/>
          <w:b/>
          <w:sz w:val="24"/>
          <w:szCs w:val="24"/>
        </w:rPr>
        <w:t>4</w:t>
      </w:r>
      <w:r>
        <w:rPr>
          <w:rFonts w:hint="eastAsia" w:ascii="楷体" w:hAnsi="楷体" w:eastAsia="楷体"/>
          <w:b/>
          <w:sz w:val="24"/>
          <w:szCs w:val="24"/>
        </w:rPr>
        <w:t>）建造普通标准住宅出售，增值额未超过扣除项目金额20%的——增值额超过扣除项目金额之和20％的，应就其全部增值额按法规计税。</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（5）双方合作建房，建成后按比例分房自用——N</w:t>
      </w:r>
      <w:r>
        <w:rPr>
          <w:rFonts w:ascii="楷体" w:hAnsi="楷体" w:eastAsia="楷体"/>
          <w:b/>
          <w:sz w:val="24"/>
          <w:szCs w:val="24"/>
        </w:rPr>
        <w:t>OT</w:t>
      </w:r>
      <w:r>
        <w:rPr>
          <w:rFonts w:hint="eastAsia" w:ascii="楷体" w:hAnsi="楷体" w:eastAsia="楷体"/>
          <w:b/>
          <w:sz w:val="24"/>
          <w:szCs w:val="24"/>
        </w:rPr>
        <w:t>建成后转让</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（6）转让旧房作为公租房房源</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（7）转让旧房作为经济实用房房源增值额未超过20%的</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（8）转让旧房作为棚户区改造安置住房房源增值额未超过20%的</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56" w:name="_【问题】_“本次清算后尾盘销售的销售面积”，怎么填？"/>
      <w:bookmarkEnd w:id="56"/>
      <w:r>
        <w:rPr>
          <w:rFonts w:hint="eastAsia"/>
          <w:sz w:val="24"/>
          <w:szCs w:val="24"/>
        </w:rPr>
        <w:t>【问题】 “</w:t>
      </w:r>
      <w:r>
        <w:rPr>
          <w:sz w:val="24"/>
          <w:szCs w:val="24"/>
        </w:rPr>
        <w:t>本次清算后尾盘销售的销售面积</w:t>
      </w:r>
      <w:r>
        <w:rPr>
          <w:rFonts w:hint="eastAsia"/>
          <w:sz w:val="24"/>
          <w:szCs w:val="24"/>
        </w:rPr>
        <w:t>”，怎么填？</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按申报税款所属期纳税人尾盘销售的建筑面积填报。</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57" w:name="_【问题】尾盘销售中，“单位成本费用”，如何计算？"/>
      <w:bookmarkEnd w:id="57"/>
      <w:r>
        <w:rPr>
          <w:rFonts w:hint="eastAsia"/>
          <w:sz w:val="24"/>
          <w:szCs w:val="24"/>
        </w:rPr>
        <w:t>【问题】“单位成本费用”，如何计算？</w:t>
      </w:r>
    </w:p>
    <w:p>
      <w:pPr>
        <w:spacing w:beforeLines="50" w:after="0" w:line="360" w:lineRule="auto"/>
        <w:ind w:left="477" w:leftChars="227" w:firstLine="354" w:firstLineChars="147"/>
        <w:rPr>
          <w:rFonts w:ascii="楷体" w:hAnsi="楷体" w:eastAsia="楷体"/>
          <w:b/>
          <w:color w:val="333333"/>
          <w:kern w:val="0"/>
          <w:sz w:val="24"/>
          <w:szCs w:val="24"/>
        </w:rPr>
      </w:pPr>
      <w:r>
        <w:rPr>
          <w:rFonts w:hint="eastAsia" w:ascii="楷体" w:hAnsi="楷体" w:eastAsia="楷体"/>
          <w:b/>
          <w:sz w:val="24"/>
          <w:szCs w:val="24"/>
        </w:rPr>
        <w:t>依据：</w:t>
      </w:r>
      <w:r>
        <w:fldChar w:fldCharType="begin"/>
      </w:r>
      <w:r>
        <w:instrText xml:space="preserve"> HYPERLINK "http://ssfb86.com/index/News/detail/newsid/2846.html" </w:instrText>
      </w:r>
      <w:r>
        <w:fldChar w:fldCharType="separate"/>
      </w:r>
      <w:r>
        <w:rPr>
          <w:rStyle w:val="14"/>
          <w:rFonts w:hint="eastAsia" w:ascii="楷体" w:hAnsi="楷体" w:eastAsia="楷体"/>
          <w:b/>
          <w:color w:val="6E6E6E"/>
          <w:kern w:val="0"/>
          <w:sz w:val="24"/>
          <w:szCs w:val="24"/>
        </w:rPr>
        <w:t>国税发〔2006〕187号</w:t>
      </w:r>
      <w:r>
        <w:rPr>
          <w:rStyle w:val="14"/>
          <w:rFonts w:hint="eastAsia" w:ascii="楷体" w:hAnsi="楷体" w:eastAsia="楷体"/>
          <w:b/>
          <w:color w:val="6E6E6E"/>
          <w:kern w:val="0"/>
          <w:sz w:val="24"/>
          <w:szCs w:val="24"/>
        </w:rPr>
        <w:fldChar w:fldCharType="end"/>
      </w:r>
      <w:r>
        <w:rPr>
          <w:rFonts w:hint="eastAsia" w:ascii="楷体" w:hAnsi="楷体" w:eastAsia="楷体"/>
          <w:b/>
          <w:kern w:val="0"/>
          <w:sz w:val="24"/>
          <w:szCs w:val="24"/>
        </w:rPr>
        <w:t>第八条第一款——</w:t>
      </w:r>
      <w:r>
        <w:rPr>
          <w:rFonts w:hint="eastAsia" w:ascii="楷体" w:hAnsi="楷体" w:eastAsia="楷体"/>
          <w:b/>
          <w:color w:val="C55911" w:themeColor="accent2" w:themeShade="BF"/>
          <w:sz w:val="24"/>
          <w:szCs w:val="24"/>
        </w:rPr>
        <w:t>按清算时的单位建筑面积成本费</w:t>
      </w:r>
      <w:r>
        <w:rPr>
          <w:rFonts w:hint="eastAsia" w:ascii="楷体" w:hAnsi="楷体" w:eastAsia="楷体"/>
          <w:b/>
          <w:sz w:val="24"/>
          <w:szCs w:val="24"/>
        </w:rPr>
        <w:t>用</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单位成本费用=清算申报时或清算审核确定的扣除项目金额÷清算的总已售面积。</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公式中的“扣除项目金额”</w:t>
      </w:r>
      <w:r>
        <w:rPr>
          <w:rFonts w:ascii="楷体" w:hAnsi="楷体" w:eastAsia="楷体"/>
          <w:b/>
          <w:color w:val="C55911" w:themeColor="accent2" w:themeShade="BF"/>
          <w:sz w:val="24"/>
          <w:szCs w:val="24"/>
        </w:rPr>
        <w:t>不包括清算时扣除的“与转让房地产有关的税金”</w:t>
      </w:r>
      <w:r>
        <w:rPr>
          <w:rFonts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58" w:name="_【问题】_“旧房及建筑物的评估价格”，如何填？"/>
      <w:bookmarkEnd w:id="58"/>
      <w:r>
        <w:rPr>
          <w:rFonts w:hint="eastAsia"/>
          <w:sz w:val="24"/>
          <w:szCs w:val="24"/>
        </w:rPr>
        <w:t>【问题】 “</w:t>
      </w:r>
      <w:r>
        <w:rPr>
          <w:sz w:val="24"/>
          <w:szCs w:val="24"/>
        </w:rPr>
        <w:t>旧房及建筑物的评估价格</w:t>
      </w:r>
      <w:r>
        <w:rPr>
          <w:rFonts w:hint="eastAsia"/>
          <w:sz w:val="24"/>
          <w:szCs w:val="24"/>
        </w:rPr>
        <w:t>”，如何填？</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按重置成本法</w:t>
      </w:r>
      <w:r>
        <w:rPr>
          <w:rFonts w:hint="eastAsia" w:ascii="楷体" w:hAnsi="楷体" w:eastAsia="楷体"/>
          <w:b/>
          <w:sz w:val="24"/>
          <w:szCs w:val="24"/>
        </w:rPr>
        <w:t>，</w:t>
      </w:r>
      <w:r>
        <w:rPr>
          <w:rFonts w:ascii="楷体" w:hAnsi="楷体" w:eastAsia="楷体"/>
          <w:b/>
          <w:sz w:val="24"/>
          <w:szCs w:val="24"/>
        </w:rPr>
        <w:t>评估旧房及建筑物并经当地税务机关确认的评估价格的数额。</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本栏由第8栏与第9栏相乘得出。如果本栏数额能够直接根据评估报告填报，则本表第8、9栏可以不必再填报。</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59" w:name="_【问题】_“旧房及建筑物的重置成本价”，如何填？"/>
      <w:bookmarkEnd w:id="59"/>
      <w:r>
        <w:rPr>
          <w:rFonts w:hint="eastAsia"/>
          <w:sz w:val="24"/>
          <w:szCs w:val="24"/>
        </w:rPr>
        <w:t>【问题】 “</w:t>
      </w:r>
      <w:r>
        <w:rPr>
          <w:sz w:val="24"/>
          <w:szCs w:val="24"/>
        </w:rPr>
        <w:t>旧房及建筑物的重置成本价</w:t>
      </w:r>
      <w:r>
        <w:rPr>
          <w:rFonts w:hint="eastAsia"/>
          <w:sz w:val="24"/>
          <w:szCs w:val="24"/>
        </w:rPr>
        <w:t>”，如何填？</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指按照《条例》和《细则》规定，由政府批准设立的房地产评估机构评定的重置成本价。</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60" w:name="_【问题】_“成新度折扣率”，如何填？"/>
      <w:bookmarkEnd w:id="60"/>
      <w:r>
        <w:rPr>
          <w:rFonts w:hint="eastAsia"/>
          <w:sz w:val="24"/>
          <w:szCs w:val="24"/>
        </w:rPr>
        <w:t>【问题】 “</w:t>
      </w:r>
      <w:r>
        <w:rPr>
          <w:sz w:val="24"/>
          <w:szCs w:val="24"/>
        </w:rPr>
        <w:t>成新度折扣率</w:t>
      </w:r>
      <w:r>
        <w:rPr>
          <w:rFonts w:hint="eastAsia"/>
          <w:sz w:val="24"/>
          <w:szCs w:val="24"/>
        </w:rPr>
        <w:t>”，如何填？</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指按照《条例》和《细则》规定，由政府批准设立的房地产评估机构评定的旧房及建筑物的新旧程度折扣率。</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61" w:name="_【问题】_“评估费用”，如何填？"/>
      <w:bookmarkEnd w:id="61"/>
      <w:r>
        <w:rPr>
          <w:rFonts w:hint="eastAsia"/>
          <w:sz w:val="24"/>
          <w:szCs w:val="24"/>
        </w:rPr>
        <w:t>【问题】 “</w:t>
      </w:r>
      <w:r>
        <w:rPr>
          <w:sz w:val="24"/>
          <w:szCs w:val="24"/>
        </w:rPr>
        <w:t>评估费用</w:t>
      </w:r>
      <w:r>
        <w:rPr>
          <w:rFonts w:hint="eastAsia"/>
          <w:sz w:val="24"/>
          <w:szCs w:val="24"/>
        </w:rPr>
        <w:t>”，如何填？</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分两种情况：</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w:t>
      </w:r>
      <w:r>
        <w:rPr>
          <w:rFonts w:ascii="楷体" w:hAnsi="楷体" w:eastAsia="楷体"/>
          <w:b/>
          <w:sz w:val="24"/>
          <w:szCs w:val="24"/>
        </w:rPr>
        <w:t>纳税人转让旧房及建筑物时因计算纳税的需要而对房地产进行评估，其支付的评估费用允许在计算增值额时予以扣除。</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（2）因隐瞒、虚报房地产成交价格等情形而按房地产评估价格计算征收土地增值税所发生的评估费用——不允许在计算土地增值税时予以扣除。</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rFonts w:ascii="楷体" w:hAnsi="楷体" w:eastAsia="楷体"/>
          <w:b/>
          <w:sz w:val="24"/>
          <w:szCs w:val="24"/>
        </w:rPr>
      </w:pPr>
      <w:bookmarkStart w:id="62" w:name="_【问题】_“购房发票金额”，如何填？"/>
      <w:bookmarkEnd w:id="62"/>
      <w:r>
        <w:rPr>
          <w:rFonts w:hint="eastAsia"/>
          <w:sz w:val="24"/>
          <w:szCs w:val="24"/>
        </w:rPr>
        <w:t>【问题】 “</w:t>
      </w:r>
      <w:r>
        <w:rPr>
          <w:sz w:val="24"/>
          <w:szCs w:val="24"/>
        </w:rPr>
        <w:t>购房发票金额</w:t>
      </w:r>
      <w:r>
        <w:rPr>
          <w:rFonts w:hint="eastAsia"/>
          <w:sz w:val="24"/>
          <w:szCs w:val="24"/>
        </w:rPr>
        <w:t>”，如何填？</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（1）</w:t>
      </w:r>
      <w:r>
        <w:rPr>
          <w:rFonts w:ascii="楷体" w:hAnsi="楷体" w:eastAsia="楷体"/>
          <w:b/>
          <w:sz w:val="24"/>
          <w:szCs w:val="24"/>
        </w:rPr>
        <w:t>提供营业税销售不动产发票的</w:t>
      </w:r>
      <w:r>
        <w:rPr>
          <w:rFonts w:hint="eastAsia" w:ascii="楷体" w:hAnsi="楷体" w:eastAsia="楷体"/>
          <w:b/>
          <w:sz w:val="24"/>
          <w:szCs w:val="24"/>
        </w:rPr>
        <w:t>——</w:t>
      </w:r>
      <w:r>
        <w:rPr>
          <w:rFonts w:ascii="楷体" w:hAnsi="楷体" w:eastAsia="楷体"/>
          <w:b/>
          <w:sz w:val="24"/>
          <w:szCs w:val="24"/>
        </w:rPr>
        <w:t>按发票所载金额填写；</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（2）</w:t>
      </w:r>
      <w:r>
        <w:rPr>
          <w:rFonts w:ascii="楷体" w:hAnsi="楷体" w:eastAsia="楷体"/>
          <w:b/>
          <w:sz w:val="24"/>
          <w:szCs w:val="24"/>
        </w:rPr>
        <w:t>提供增值税专用发票的</w:t>
      </w:r>
      <w:r>
        <w:rPr>
          <w:rFonts w:hint="eastAsia" w:ascii="楷体" w:hAnsi="楷体" w:eastAsia="楷体"/>
          <w:b/>
          <w:sz w:val="24"/>
          <w:szCs w:val="24"/>
        </w:rPr>
        <w:t>——</w:t>
      </w:r>
      <w:r>
        <w:rPr>
          <w:rFonts w:ascii="楷体" w:hAnsi="楷体" w:eastAsia="楷体"/>
          <w:b/>
          <w:sz w:val="24"/>
          <w:szCs w:val="24"/>
        </w:rPr>
        <w:t>按发票所载金额与不允许抵扣进项税额合计金额数填写；</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（3）</w:t>
      </w:r>
      <w:r>
        <w:rPr>
          <w:rFonts w:ascii="楷体" w:hAnsi="楷体" w:eastAsia="楷体"/>
          <w:b/>
          <w:sz w:val="24"/>
          <w:szCs w:val="24"/>
        </w:rPr>
        <w:t>提供增值税普通发票的</w:t>
      </w:r>
      <w:r>
        <w:rPr>
          <w:rFonts w:hint="eastAsia" w:ascii="楷体" w:hAnsi="楷体" w:eastAsia="楷体"/>
          <w:b/>
          <w:sz w:val="24"/>
          <w:szCs w:val="24"/>
        </w:rPr>
        <w:t>——</w:t>
      </w:r>
      <w:r>
        <w:rPr>
          <w:rFonts w:ascii="楷体" w:hAnsi="楷体" w:eastAsia="楷体"/>
          <w:b/>
          <w:sz w:val="24"/>
          <w:szCs w:val="24"/>
        </w:rPr>
        <w:t>按照发票所载价税合计金额数填写。</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注：</w:t>
      </w:r>
      <w:r>
        <w:rPr>
          <w:rFonts w:hint="eastAsia" w:ascii="楷体" w:hAnsi="楷体" w:eastAsia="楷体"/>
          <w:b/>
          <w:color w:val="C55911" w:themeColor="accent2" w:themeShade="BF"/>
          <w:sz w:val="24"/>
          <w:szCs w:val="24"/>
        </w:rPr>
        <w:t>司法拍卖取得的房地产</w:t>
      </w:r>
      <w:r>
        <w:rPr>
          <w:rFonts w:hint="eastAsia" w:ascii="楷体" w:hAnsi="楷体" w:eastAsia="楷体"/>
          <w:b/>
          <w:sz w:val="24"/>
          <w:szCs w:val="24"/>
        </w:rPr>
        <w:t>，买受方无法取得发票但是持有契税完税凭证，再转让时——可将契税完税凭证上的计税依据视同发票所载金额，从购买年度起至转让年度止加计5%计算土地增值税</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rFonts w:ascii="楷体" w:hAnsi="楷体" w:eastAsia="楷体"/>
          <w:b/>
          <w:sz w:val="24"/>
          <w:szCs w:val="24"/>
        </w:rPr>
      </w:pPr>
      <w:bookmarkStart w:id="63" w:name="_【问题】_“发票加计扣除金额购房发票金额”，如何填？"/>
      <w:bookmarkEnd w:id="63"/>
      <w:r>
        <w:rPr>
          <w:rFonts w:hint="eastAsia"/>
          <w:sz w:val="24"/>
          <w:szCs w:val="24"/>
        </w:rPr>
        <w:t>【问题】 “</w:t>
      </w:r>
      <w:r>
        <w:rPr>
          <w:sz w:val="24"/>
          <w:szCs w:val="24"/>
        </w:rPr>
        <w:t>发票加计扣除金额购房发票金额</w:t>
      </w:r>
      <w:r>
        <w:rPr>
          <w:rFonts w:hint="eastAsia"/>
          <w:sz w:val="24"/>
          <w:szCs w:val="24"/>
        </w:rPr>
        <w:t>”，如何填？</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指购房发票金额乘以房产实际持有年数乘以5%的积数。</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rFonts w:ascii="楷体" w:hAnsi="楷体" w:eastAsia="楷体"/>
          <w:b/>
          <w:sz w:val="24"/>
          <w:szCs w:val="24"/>
        </w:rPr>
      </w:pPr>
      <w:bookmarkStart w:id="64" w:name="_【问题】_“房产实际持有年数”，如何填？"/>
      <w:bookmarkEnd w:id="64"/>
      <w:r>
        <w:rPr>
          <w:rFonts w:hint="eastAsia"/>
          <w:sz w:val="24"/>
          <w:szCs w:val="24"/>
        </w:rPr>
        <w:t>【问题】 “</w:t>
      </w:r>
      <w:r>
        <w:rPr>
          <w:sz w:val="24"/>
          <w:szCs w:val="24"/>
        </w:rPr>
        <w:t>房产实际持有年数</w:t>
      </w:r>
      <w:r>
        <w:rPr>
          <w:rFonts w:hint="eastAsia"/>
          <w:sz w:val="24"/>
          <w:szCs w:val="24"/>
        </w:rPr>
        <w:t>”，如何填？</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按购房发票所载日期起至售房发票开具之日止，每满12个月计一年；</w:t>
      </w:r>
      <w:r>
        <w:rPr>
          <w:rFonts w:ascii="楷体" w:hAnsi="楷体" w:eastAsia="楷体"/>
          <w:b/>
          <w:color w:val="C55911" w:themeColor="accent2" w:themeShade="BF"/>
          <w:sz w:val="24"/>
          <w:szCs w:val="24"/>
        </w:rPr>
        <w:t>未满12个月但超过6个月的，可以视同为一年</w:t>
      </w:r>
      <w:r>
        <w:rPr>
          <w:rFonts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rFonts w:ascii="楷体" w:hAnsi="楷体" w:eastAsia="楷体"/>
          <w:b/>
          <w:sz w:val="24"/>
          <w:szCs w:val="24"/>
        </w:rPr>
      </w:pPr>
      <w:bookmarkStart w:id="65" w:name="_【问题】_“购房契税”，如何填？"/>
      <w:bookmarkEnd w:id="65"/>
      <w:r>
        <w:rPr>
          <w:rFonts w:hint="eastAsia"/>
          <w:sz w:val="24"/>
          <w:szCs w:val="24"/>
        </w:rPr>
        <w:t>【问题】 “</w:t>
      </w:r>
      <w:r>
        <w:rPr>
          <w:sz w:val="24"/>
          <w:szCs w:val="24"/>
        </w:rPr>
        <w:t>购房契税</w:t>
      </w:r>
      <w:r>
        <w:rPr>
          <w:rFonts w:hint="eastAsia"/>
          <w:sz w:val="24"/>
          <w:szCs w:val="24"/>
        </w:rPr>
        <w:t>”，如何填？</w:t>
      </w: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指购房时支付的契税。</w:t>
      </w: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r>
        <w:rPr>
          <w:rFonts w:ascii="楷体" w:hAnsi="楷体" w:eastAsia="楷体"/>
          <w:b/>
          <w:sz w:val="24"/>
          <w:szCs w:val="24"/>
        </w:rPr>
        <w:t>14.第16栏至19栏，按纳税人转让房地产时实际缴纳的有关税金的数额填写。开具营业税发票的，按转让房地产时缴纳的营业税数额填写；开具增值税发票的，第16栏营业税为0。</w:t>
      </w: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p>
    <w:p>
      <w:pPr>
        <w:pStyle w:val="4"/>
        <w:spacing w:beforeLines="50" w:after="0" w:line="360" w:lineRule="auto"/>
        <w:ind w:left="271" w:leftChars="129" w:firstLine="360" w:firstLineChars="150"/>
        <w:jc w:val="left"/>
        <w:rPr>
          <w:sz w:val="24"/>
          <w:szCs w:val="24"/>
        </w:rPr>
      </w:pPr>
      <w:bookmarkStart w:id="66" w:name="_【问题】旧房，核定征收，有哪些规定？"/>
      <w:bookmarkEnd w:id="66"/>
      <w:bookmarkStart w:id="67" w:name="_【问题】“核定征收率”，是多少？"/>
      <w:bookmarkEnd w:id="67"/>
      <w:r>
        <w:rPr>
          <w:rFonts w:hint="eastAsia"/>
          <w:sz w:val="24"/>
          <w:szCs w:val="24"/>
        </w:rPr>
        <w:t>【问题】“核定征收率”，是多少？</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按《国家税务总局关于加强土地增值税征管工作的通知》（</w:t>
      </w:r>
      <w:r>
        <w:fldChar w:fldCharType="begin"/>
      </w:r>
      <w:r>
        <w:instrText xml:space="preserve"> HYPERLINK "http://ssfb86.com/index/News/detail/newsid/1932.html" \t "_self" </w:instrText>
      </w:r>
      <w:r>
        <w:fldChar w:fldCharType="separate"/>
      </w:r>
      <w:r>
        <w:rPr>
          <w:rFonts w:hint="eastAsia" w:ascii="楷体" w:hAnsi="楷体" w:eastAsia="楷体"/>
          <w:b/>
          <w:sz w:val="24"/>
          <w:szCs w:val="24"/>
        </w:rPr>
        <w:t>国税发[2010]53号</w:t>
      </w:r>
      <w:r>
        <w:rPr>
          <w:rFonts w:hint="eastAsia" w:ascii="楷体" w:hAnsi="楷体" w:eastAsia="楷体"/>
          <w:b/>
          <w:sz w:val="24"/>
          <w:szCs w:val="24"/>
        </w:rPr>
        <w:fldChar w:fldCharType="end"/>
      </w:r>
      <w:r>
        <w:rPr>
          <w:rFonts w:hint="eastAsia" w:ascii="楷体" w:hAnsi="楷体" w:eastAsia="楷体"/>
          <w:b/>
          <w:sz w:val="24"/>
          <w:szCs w:val="24"/>
        </w:rPr>
        <w:t>）文件第四条规定，核定征收率原则上不得低于5%.并应按</w:t>
      </w:r>
      <w:r>
        <w:fldChar w:fldCharType="begin"/>
      </w:r>
      <w:r>
        <w:instrText xml:space="preserve"> HYPERLINK "http://ssfb86.com/index/News/detail/newsid/8240.html" \t "_self" </w:instrText>
      </w:r>
      <w:r>
        <w:fldChar w:fldCharType="separate"/>
      </w:r>
      <w:r>
        <w:rPr>
          <w:rFonts w:hint="eastAsia" w:ascii="楷体" w:hAnsi="楷体" w:eastAsia="楷体"/>
          <w:b/>
          <w:sz w:val="24"/>
          <w:szCs w:val="24"/>
        </w:rPr>
        <w:t>JS14</w:t>
      </w:r>
      <w:r>
        <w:rPr>
          <w:rFonts w:hint="eastAsia" w:ascii="楷体" w:hAnsi="楷体" w:eastAsia="楷体"/>
          <w:b/>
          <w:sz w:val="24"/>
          <w:szCs w:val="24"/>
        </w:rPr>
        <w:fldChar w:fldCharType="end"/>
      </w:r>
      <w:r>
        <w:rPr>
          <w:rFonts w:hint="eastAsia" w:ascii="楷体" w:hAnsi="楷体" w:eastAsia="楷体"/>
          <w:b/>
          <w:sz w:val="24"/>
          <w:szCs w:val="24"/>
        </w:rPr>
        <w:t>第三条规定，在测算增值率的基础上，确定核定征收率，计征土地增值税。</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个人转让</w:t>
      </w:r>
      <w:r>
        <w:rPr>
          <w:rFonts w:hint="eastAsia" w:ascii="楷体" w:hAnsi="楷体" w:eastAsia="楷体"/>
          <w:b/>
          <w:color w:val="C55911" w:themeColor="accent2" w:themeShade="BF"/>
          <w:sz w:val="24"/>
          <w:szCs w:val="24"/>
        </w:rPr>
        <w:t>非住宅类的旧房及建筑物</w:t>
      </w:r>
      <w:r>
        <w:rPr>
          <w:rFonts w:hint="eastAsia" w:ascii="楷体" w:hAnsi="楷体" w:eastAsia="楷体"/>
          <w:b/>
          <w:sz w:val="24"/>
          <w:szCs w:val="24"/>
        </w:rPr>
        <w:t>，既没有计算增值额的扣除项目的评估价格，又不能提供购房发票的，可以实行核定征收，</w:t>
      </w:r>
      <w:r>
        <w:rPr>
          <w:rFonts w:hint="eastAsia" w:ascii="楷体" w:hAnsi="楷体" w:eastAsia="楷体"/>
          <w:b/>
          <w:color w:val="C55911" w:themeColor="accent2" w:themeShade="BF"/>
          <w:sz w:val="24"/>
          <w:szCs w:val="24"/>
        </w:rPr>
        <w:t>核定征收率为5%</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r>
        <w:rPr>
          <w:rFonts w:hint="eastAsia" w:ascii="楷体" w:hAnsi="楷体" w:eastAsia="楷体"/>
          <w:b/>
          <w:sz w:val="24"/>
          <w:szCs w:val="24"/>
        </w:rPr>
        <w:t>思考：</w:t>
      </w:r>
      <w:r>
        <w:rPr>
          <w:rFonts w:hint="eastAsia" w:ascii="楷体" w:hAnsi="楷体" w:eastAsia="楷体"/>
          <w:b/>
          <w:color w:val="0070C0"/>
          <w:sz w:val="24"/>
          <w:szCs w:val="24"/>
        </w:rPr>
        <w:t>个人转让住宅类的旧房，核定征收率，是多少</w:t>
      </w:r>
      <w:r>
        <w:rPr>
          <w:rFonts w:hint="eastAsia" w:ascii="楷体" w:hAnsi="楷体" w:eastAsia="楷体"/>
          <w:b/>
          <w:sz w:val="24"/>
          <w:szCs w:val="24"/>
        </w:rPr>
        <w:t>？</w:t>
      </w: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7" w:leftChars="227" w:firstLine="354" w:firstLineChars="147"/>
        <w:rPr>
          <w:rFonts w:ascii="楷体" w:hAnsi="楷体" w:eastAsia="楷体"/>
          <w:b/>
          <w:sz w:val="24"/>
          <w:szCs w:val="24"/>
        </w:rPr>
      </w:pPr>
    </w:p>
    <w:p>
      <w:pPr>
        <w:spacing w:beforeLines="50" w:after="0" w:line="360" w:lineRule="auto"/>
        <w:ind w:left="476"/>
        <w:rPr>
          <w:rFonts w:ascii="楷体" w:hAnsi="楷体" w:eastAsia="楷体"/>
          <w:b/>
          <w:sz w:val="24"/>
          <w:szCs w:val="24"/>
        </w:rPr>
      </w:pPr>
    </w:p>
    <w:p>
      <w:pPr>
        <w:spacing w:beforeLines="50" w:after="0" w:line="360" w:lineRule="auto"/>
        <w:ind w:left="476"/>
        <w:rPr>
          <w:rFonts w:ascii="楷体" w:hAnsi="楷体" w:eastAsia="楷体"/>
          <w:b/>
          <w:sz w:val="24"/>
          <w:szCs w:val="24"/>
        </w:rPr>
      </w:pPr>
    </w:p>
    <w:p>
      <w:pPr>
        <w:spacing w:beforeLines="50" w:after="0" w:line="360" w:lineRule="auto"/>
        <w:ind w:left="476"/>
        <w:rPr>
          <w:rFonts w:ascii="楷体" w:hAnsi="楷体" w:eastAsia="楷体"/>
          <w:b/>
          <w:sz w:val="24"/>
          <w:szCs w:val="24"/>
        </w:rPr>
      </w:pPr>
    </w:p>
    <w:p>
      <w:pPr>
        <w:spacing w:beforeLines="50" w:after="0" w:line="360" w:lineRule="auto"/>
        <w:ind w:left="476"/>
        <w:rPr>
          <w:rFonts w:ascii="楷体" w:hAnsi="楷体" w:eastAsia="楷体"/>
          <w:b/>
          <w:sz w:val="24"/>
          <w:szCs w:val="24"/>
        </w:rPr>
      </w:pPr>
    </w:p>
    <w:p>
      <w:pPr>
        <w:spacing w:beforeLines="50" w:after="0" w:line="360" w:lineRule="auto"/>
        <w:ind w:left="476"/>
        <w:rPr>
          <w:rFonts w:ascii="楷体" w:hAnsi="楷体" w:eastAsia="楷体"/>
          <w:b/>
          <w:sz w:val="24"/>
          <w:szCs w:val="24"/>
        </w:rPr>
      </w:pPr>
    </w:p>
    <w:p>
      <w:pPr>
        <w:spacing w:beforeLines="50" w:after="0" w:line="360" w:lineRule="auto"/>
        <w:ind w:left="476"/>
      </w:pPr>
      <w:r>
        <w:rPr>
          <w:sz w:val="24"/>
          <w:szCs w:val="24"/>
        </w:rPr>
        <w:br w:type="page"/>
      </w:r>
    </w:p>
    <w:p>
      <w:pPr>
        <w:spacing w:after="110"/>
        <w:ind w:left="857"/>
        <w:rPr>
          <w:color w:val="262626"/>
        </w:rPr>
      </w:pP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"http://ssfb86.com/index/News/detail/newsid/8838.html" </w:instrText>
      </w:r>
      <w:r>
        <w:rPr>
          <w:rFonts w:hint="eastAsia" w:ascii="宋体" w:hAnsi="宋体" w:eastAsia="宋体" w:cs="宋体"/>
          <w:i w:val="0"/>
          <w:caps w:val="0"/>
          <w:color w:val="6E6E6E"/>
          <w:spacing w:val="0"/>
          <w:sz w:val="24"/>
          <w:szCs w:val="24"/>
          <w:u w:val="single"/>
          <w:shd w:val="clear" w:fill="FFFFFF"/>
        </w:rPr>
        <w:fldChar w:fldCharType="separate"/>
      </w:r>
      <w:r>
        <w:rPr>
          <w:rStyle w:val="14"/>
          <w:rFonts w:hint="eastAsia" w:ascii="宋体" w:hAnsi="宋体" w:eastAsia="宋体" w:cs="宋体"/>
          <w:i w:val="0"/>
          <w:caps w:val="0"/>
          <w:color w:val="6E6E6E"/>
          <w:spacing w:val="0"/>
          <w:sz w:val="24"/>
          <w:szCs w:val="24"/>
          <w:u w:val="single"/>
          <w:shd w:val="clear" w:fill="FFFFFF"/>
        </w:rPr>
        <w:t>国家税务总局公告2021年第9号</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附件2</w:t>
      </w:r>
    </w:p>
    <w:p>
      <w:pPr>
        <w:pStyle w:val="3"/>
        <w:spacing w:after="0"/>
        <w:ind w:left="501" w:firstLine="0"/>
        <w:rPr>
          <w:color w:val="262626"/>
        </w:rPr>
      </w:pPr>
      <w:r>
        <w:rPr>
          <w:color w:val="262626"/>
        </w:rPr>
        <w:t>环境保护税税源明细表</w:t>
      </w:r>
    </w:p>
    <w:p>
      <w:pPr>
        <w:spacing w:after="110"/>
        <w:ind w:left="857"/>
      </w:pPr>
      <w:r>
        <w:t>纳税人识别号（统一社会信用代码）：□□□□□□□□□□□□□□□□□□</w:t>
      </w:r>
    </w:p>
    <w:p>
      <w:pPr>
        <w:tabs>
          <w:tab w:val="center" w:pos="1476"/>
          <w:tab w:val="right" w:pos="9670"/>
        </w:tabs>
        <w:ind w:left="0" w:firstLine="0"/>
      </w:pPr>
      <w:r>
        <w:rPr>
          <w:rFonts w:ascii="Calibri" w:hAnsi="Calibri" w:eastAsia="Calibri" w:cs="Calibri"/>
          <w:sz w:val="22"/>
        </w:rPr>
        <w:tab/>
      </w:r>
      <w:r>
        <w:t>纳税人名称：</w:t>
      </w:r>
      <w:r>
        <w:tab/>
      </w:r>
      <w:r>
        <w:t>金额单位：人民币元（列至角分）</w:t>
      </w:r>
    </w:p>
    <w:tbl>
      <w:tblPr>
        <w:tblStyle w:val="18"/>
        <w:tblW w:w="8600" w:type="dxa"/>
        <w:tblInd w:w="739" w:type="dxa"/>
        <w:tblLayout w:type="autofit"/>
        <w:tblCellMar>
          <w:top w:w="62" w:type="dxa"/>
          <w:left w:w="101" w:type="dxa"/>
          <w:bottom w:w="0" w:type="dxa"/>
          <w:right w:w="0" w:type="dxa"/>
        </w:tblCellMar>
      </w:tblPr>
      <w:tblGrid>
        <w:gridCol w:w="1001"/>
        <w:gridCol w:w="2232"/>
        <w:gridCol w:w="877"/>
        <w:gridCol w:w="1526"/>
        <w:gridCol w:w="963"/>
        <w:gridCol w:w="1022"/>
        <w:gridCol w:w="979"/>
      </w:tblGrid>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nil"/>
            </w:tcBorders>
          </w:tcPr>
          <w:p>
            <w:pPr>
              <w:spacing w:after="0" w:line="259" w:lineRule="auto"/>
              <w:ind w:left="1325" w:firstLine="0"/>
            </w:pPr>
            <w:r>
              <w:t>1.按次申报□</w:t>
            </w:r>
          </w:p>
        </w:tc>
        <w:tc>
          <w:tcPr>
            <w:tcW w:w="877"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4490"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0" w:right="102" w:firstLine="0"/>
              <w:jc w:val="center"/>
            </w:pPr>
            <w:r>
              <w:t>2.从事海洋工程□</w:t>
            </w: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nil"/>
            </w:tcBorders>
          </w:tcPr>
          <w:p>
            <w:pPr>
              <w:spacing w:after="0" w:line="259" w:lineRule="auto"/>
              <w:ind w:left="0" w:right="-82" w:firstLine="0"/>
              <w:jc w:val="right"/>
            </w:pPr>
            <w:r>
              <w:t>3.城乡污水集中处理场所□</w:t>
            </w:r>
          </w:p>
        </w:tc>
        <w:tc>
          <w:tcPr>
            <w:tcW w:w="877"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4490"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0" w:right="102" w:firstLine="0"/>
              <w:jc w:val="center"/>
            </w:pPr>
            <w:r>
              <w:t>4.生活垃圾集中处理场所□</w:t>
            </w: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3" w:firstLine="0"/>
              <w:jc w:val="center"/>
            </w:pPr>
            <w:r>
              <w:t>*5.污染物类别</w:t>
            </w:r>
          </w:p>
        </w:tc>
        <w:tc>
          <w:tcPr>
            <w:tcW w:w="5367"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大气污染物 □水污染物 □固体废物 □噪声 □</w:t>
            </w: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3" w:firstLine="0"/>
              <w:jc w:val="center"/>
            </w:pPr>
            <w:r>
              <w:t>6.排污许可证编号</w:t>
            </w:r>
          </w:p>
        </w:tc>
        <w:tc>
          <w:tcPr>
            <w:tcW w:w="5367" w:type="dxa"/>
            <w:gridSpan w:val="5"/>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3" w:firstLine="0"/>
              <w:jc w:val="center"/>
            </w:pPr>
            <w:r>
              <w:t>*7.生产经营所在区划</w:t>
            </w:r>
          </w:p>
        </w:tc>
        <w:tc>
          <w:tcPr>
            <w:tcW w:w="5367" w:type="dxa"/>
            <w:gridSpan w:val="5"/>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3" w:firstLine="0"/>
              <w:jc w:val="center"/>
            </w:pPr>
            <w:r>
              <w:t>*8.生态环境主管部门</w:t>
            </w:r>
          </w:p>
        </w:tc>
        <w:tc>
          <w:tcPr>
            <w:tcW w:w="5367" w:type="dxa"/>
            <w:gridSpan w:val="5"/>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512" w:hRule="atLeast"/>
        </w:trPr>
        <w:tc>
          <w:tcPr>
            <w:tcW w:w="3233"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5367" w:type="dxa"/>
            <w:gridSpan w:val="5"/>
            <w:tcBorders>
              <w:top w:val="single" w:color="000000" w:sz="4" w:space="0"/>
              <w:left w:val="nil"/>
              <w:bottom w:val="single" w:color="000000" w:sz="4" w:space="0"/>
              <w:right w:val="single" w:color="000000" w:sz="4" w:space="0"/>
            </w:tcBorders>
            <w:vAlign w:val="center"/>
          </w:tcPr>
          <w:p>
            <w:pPr>
              <w:spacing w:after="0" w:line="259" w:lineRule="auto"/>
              <w:ind w:left="127" w:firstLine="0"/>
            </w:pPr>
            <w:r>
              <w:t>税源基础采集信息</w:t>
            </w:r>
          </w:p>
        </w:tc>
      </w:tr>
      <w:tr>
        <w:tblPrEx>
          <w:tblCellMar>
            <w:top w:w="62" w:type="dxa"/>
            <w:left w:w="101" w:type="dxa"/>
            <w:bottom w:w="0" w:type="dxa"/>
            <w:right w:w="0" w:type="dxa"/>
          </w:tblCellMar>
        </w:tblPrEx>
        <w:trPr>
          <w:trHeight w:val="320" w:hRule="atLeast"/>
        </w:trPr>
        <w:tc>
          <w:tcPr>
            <w:tcW w:w="3233"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5367" w:type="dxa"/>
            <w:gridSpan w:val="5"/>
            <w:tcBorders>
              <w:top w:val="single" w:color="000000" w:sz="4" w:space="0"/>
              <w:left w:val="nil"/>
              <w:bottom w:val="single" w:color="000000" w:sz="4" w:space="0"/>
              <w:right w:val="single" w:color="000000" w:sz="4" w:space="0"/>
            </w:tcBorders>
          </w:tcPr>
          <w:p>
            <w:pPr>
              <w:spacing w:after="0" w:line="259" w:lineRule="auto"/>
              <w:ind w:left="0" w:right="109" w:firstLine="0"/>
              <w:jc w:val="right"/>
            </w:pPr>
            <w:r>
              <w:t>新增 □变更□删除 □</w:t>
            </w: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3" w:firstLine="0"/>
              <w:jc w:val="center"/>
            </w:pPr>
            <w:r>
              <w:t>*税源编号</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（1）</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排放口编号</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（2）</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3" w:firstLine="0"/>
              <w:jc w:val="center"/>
            </w:pPr>
            <w:r>
              <w:t>*排放口名称或噪声源名称</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（3）</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334"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3" w:firstLine="0"/>
              <w:jc w:val="center"/>
            </w:pPr>
            <w:r>
              <w:t>*生产经营所在街乡</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（4）</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328" w:hRule="atLeast"/>
        </w:trPr>
        <w:tc>
          <w:tcPr>
            <w:tcW w:w="1001"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排放口地理坐</w:t>
            </w: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96" w:firstLine="0"/>
              <w:jc w:val="center"/>
            </w:pPr>
            <w:r>
              <w:t>*经度</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（5）</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318"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96" w:firstLine="0"/>
              <w:jc w:val="center"/>
            </w:pPr>
            <w:r>
              <w:t>*纬度</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（6）</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*有效期起止</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（7）</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*污染物类别</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（8）</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3" w:firstLine="0"/>
              <w:jc w:val="center"/>
            </w:pPr>
            <w:r>
              <w:t>水污染物种类</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（9）</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*污染物名称</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（10）</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1" w:firstLine="0"/>
              <w:jc w:val="center"/>
            </w:pPr>
            <w:r>
              <w:t>危险废物污染物子类</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（11）</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3" w:firstLine="0"/>
              <w:jc w:val="center"/>
            </w:pPr>
            <w:r>
              <w:t>*污染物排放量计算方法</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（12）</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1001"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19" w:hanging="19"/>
              <w:jc w:val="center"/>
            </w:pPr>
            <w:r>
              <w:t>大气、水污染物标准排放限值</w:t>
            </w: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0" w:firstLine="0"/>
              <w:jc w:val="center"/>
            </w:pPr>
            <w:r>
              <w:t>*执行标准</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（13）</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859"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232" w:type="dxa"/>
            <w:tcBorders>
              <w:top w:val="single" w:color="000000" w:sz="4" w:space="0"/>
              <w:left w:val="single" w:color="000000" w:sz="4" w:space="0"/>
              <w:bottom w:val="single" w:color="000000" w:sz="4" w:space="0"/>
              <w:right w:val="single" w:color="000000" w:sz="4" w:space="0"/>
            </w:tcBorders>
            <w:vAlign w:val="center"/>
          </w:tcPr>
          <w:p>
            <w:pPr>
              <w:spacing w:after="33" w:line="259" w:lineRule="auto"/>
              <w:ind w:left="67" w:firstLine="0"/>
              <w:jc w:val="both"/>
            </w:pPr>
            <w:r>
              <w:t>*标准浓度值（毫克/</w:t>
            </w:r>
          </w:p>
          <w:p>
            <w:pPr>
              <w:spacing w:after="0" w:line="259" w:lineRule="auto"/>
              <w:ind w:left="14" w:firstLine="0"/>
              <w:jc w:val="both"/>
            </w:pPr>
            <w:r>
              <w:t>升或毫克/标立方米）</w:t>
            </w:r>
          </w:p>
        </w:tc>
        <w:tc>
          <w:tcPr>
            <w:tcW w:w="2403"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4" w:firstLine="0"/>
              <w:jc w:val="center"/>
            </w:pPr>
            <w:r>
              <w:t>（14）</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1" w:hanging="74"/>
            </w:pPr>
            <w:r>
              <w:t>产（排）污系数</w:t>
            </w: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0" w:firstLine="0"/>
              <w:jc w:val="center"/>
            </w:pPr>
            <w:r>
              <w:t>*计税基数单位</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（15）</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8" w:firstLine="0"/>
              <w:jc w:val="center"/>
            </w:pPr>
            <w:r>
              <w:t>*污染物单位</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（16）</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0" w:firstLine="0"/>
              <w:jc w:val="center"/>
            </w:pPr>
            <w:r>
              <w:t>*产污系数</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（17）</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40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0" w:firstLine="0"/>
              <w:jc w:val="center"/>
            </w:pPr>
            <w:r>
              <w:t>*排污系数</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（18）</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336" w:hRule="atLeast"/>
        </w:trPr>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固体废物信息</w:t>
            </w: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3" w:firstLine="0"/>
              <w:jc w:val="center"/>
            </w:pPr>
            <w:r>
              <w:t>贮存情况</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（19）</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336"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3" w:firstLine="0"/>
              <w:jc w:val="center"/>
            </w:pPr>
            <w:r>
              <w:t>处置情况</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（20）</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336"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0" w:firstLine="0"/>
              <w:jc w:val="center"/>
            </w:pPr>
            <w:r>
              <w:t>综合利用情况</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（21）</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312" w:hRule="atLeast"/>
        </w:trPr>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86" w:firstLine="0"/>
              <w:jc w:val="center"/>
            </w:pPr>
            <w:r>
              <w:t>噪声信息</w:t>
            </w: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0" w:firstLine="0"/>
              <w:jc w:val="center"/>
            </w:pPr>
            <w:r>
              <w:t>*是否昼夜产生</w:t>
            </w:r>
          </w:p>
        </w:tc>
        <w:tc>
          <w:tcPr>
            <w:tcW w:w="240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04" w:firstLine="0"/>
              <w:jc w:val="center"/>
            </w:pPr>
            <w:r>
              <w:t>（22）</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647"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*标准值——昼间(6时至22时)</w:t>
            </w:r>
          </w:p>
        </w:tc>
        <w:tc>
          <w:tcPr>
            <w:tcW w:w="2403"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4" w:firstLine="0"/>
              <w:jc w:val="center"/>
            </w:pPr>
            <w:r>
              <w:t>（23）</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2" w:type="dxa"/>
            <w:left w:w="101" w:type="dxa"/>
            <w:bottom w:w="0" w:type="dxa"/>
            <w:right w:w="0" w:type="dxa"/>
          </w:tblCellMar>
        </w:tblPrEx>
        <w:trPr>
          <w:trHeight w:val="598"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23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*标准值——夜间(22 时至次日6时)</w:t>
            </w:r>
          </w:p>
        </w:tc>
        <w:tc>
          <w:tcPr>
            <w:tcW w:w="2403"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4" w:firstLine="0"/>
              <w:jc w:val="center"/>
            </w:pPr>
            <w:r>
              <w:t>（24）</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0" w:line="259" w:lineRule="auto"/>
        <w:ind w:left="-953" w:right="331" w:firstLine="0"/>
      </w:pPr>
    </w:p>
    <w:tbl>
      <w:tblPr>
        <w:tblStyle w:val="18"/>
        <w:tblW w:w="8600" w:type="dxa"/>
        <w:tblInd w:w="739" w:type="dxa"/>
        <w:tblLayout w:type="autofit"/>
        <w:tblCellMar>
          <w:top w:w="70" w:type="dxa"/>
          <w:left w:w="108" w:type="dxa"/>
          <w:bottom w:w="0" w:type="dxa"/>
          <w:right w:w="62" w:type="dxa"/>
        </w:tblCellMar>
      </w:tblPr>
      <w:tblGrid>
        <w:gridCol w:w="1008"/>
        <w:gridCol w:w="2225"/>
        <w:gridCol w:w="2403"/>
        <w:gridCol w:w="963"/>
        <w:gridCol w:w="1022"/>
        <w:gridCol w:w="979"/>
      </w:tblGrid>
      <w:tr>
        <w:tblPrEx>
          <w:tblCellMar>
            <w:top w:w="70" w:type="dxa"/>
            <w:left w:w="108" w:type="dxa"/>
            <w:bottom w:w="0" w:type="dxa"/>
            <w:right w:w="62" w:type="dxa"/>
          </w:tblCellMar>
        </w:tblPrEx>
        <w:trPr>
          <w:trHeight w:val="668" w:hRule="atLeast"/>
        </w:trPr>
        <w:tc>
          <w:tcPr>
            <w:tcW w:w="8600" w:type="dxa"/>
            <w:gridSpan w:val="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39" w:firstLine="0"/>
              <w:jc w:val="center"/>
            </w:pPr>
            <w:r>
              <w:t>申报计算及减免信息</w:t>
            </w:r>
          </w:p>
        </w:tc>
      </w:tr>
      <w:tr>
        <w:tblPrEx>
          <w:tblCellMar>
            <w:top w:w="70" w:type="dxa"/>
            <w:left w:w="108" w:type="dxa"/>
            <w:bottom w:w="0" w:type="dxa"/>
            <w:right w:w="62"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48" w:firstLine="0"/>
              <w:jc w:val="center"/>
            </w:pPr>
            <w:r>
              <w:t>*税源编号</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7" w:firstLine="0"/>
              <w:jc w:val="center"/>
            </w:pPr>
            <w:r>
              <w:t>（1）</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48" w:firstLine="0"/>
              <w:jc w:val="center"/>
            </w:pPr>
            <w:r>
              <w:t>*税款所属月份</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7" w:firstLine="0"/>
              <w:jc w:val="center"/>
            </w:pPr>
            <w:r>
              <w:t>（2）</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48" w:firstLine="0"/>
              <w:jc w:val="center"/>
            </w:pPr>
            <w:r>
              <w:t>*排放口名称或噪声源名称</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7" w:firstLine="0"/>
              <w:jc w:val="center"/>
            </w:pPr>
            <w:r>
              <w:t>（3）</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46" w:firstLine="0"/>
              <w:jc w:val="center"/>
            </w:pPr>
            <w:r>
              <w:t>*污染物类别</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7" w:firstLine="0"/>
              <w:jc w:val="center"/>
            </w:pPr>
            <w:r>
              <w:t>（4）</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48" w:firstLine="0"/>
              <w:jc w:val="center"/>
            </w:pPr>
            <w:r>
              <w:t>*水污染物种类</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7" w:firstLine="0"/>
              <w:jc w:val="center"/>
            </w:pPr>
            <w:r>
              <w:t>（5）</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46" w:firstLine="0"/>
              <w:jc w:val="center"/>
            </w:pPr>
            <w:r>
              <w:t>*污染物名称</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7" w:firstLine="0"/>
              <w:jc w:val="center"/>
            </w:pPr>
            <w:r>
              <w:t>（6）</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46" w:firstLine="0"/>
              <w:jc w:val="center"/>
            </w:pPr>
            <w:r>
              <w:t>危险废物污染物子类</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7" w:firstLine="0"/>
              <w:jc w:val="center"/>
            </w:pPr>
            <w:r>
              <w:t>（7）</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323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48" w:firstLine="0"/>
              <w:jc w:val="center"/>
            </w:pPr>
            <w:r>
              <w:t>*污染物排放量计算方法</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7" w:firstLine="0"/>
              <w:jc w:val="center"/>
            </w:pPr>
            <w:r>
              <w:t>（8）</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840"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3" w:firstLine="0"/>
              <w:jc w:val="center"/>
            </w:pPr>
            <w:r>
              <w:t>大气、水污染物监测计算</w:t>
            </w:r>
          </w:p>
        </w:tc>
        <w:tc>
          <w:tcPr>
            <w:tcW w:w="222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*废气（废水）排放量（万标立方米、吨）</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7" w:firstLine="0"/>
              <w:jc w:val="center"/>
            </w:pPr>
            <w:r>
              <w:t>（9）</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995"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vAlign w:val="center"/>
          </w:tcPr>
          <w:p>
            <w:pPr>
              <w:spacing w:after="30" w:line="259" w:lineRule="auto"/>
              <w:ind w:left="60" w:firstLine="0"/>
              <w:jc w:val="both"/>
            </w:pPr>
            <w:r>
              <w:t>*实测浓度值（毫克/</w:t>
            </w:r>
          </w:p>
          <w:p>
            <w:pPr>
              <w:spacing w:after="0" w:line="259" w:lineRule="auto"/>
              <w:ind w:left="7" w:firstLine="0"/>
              <w:jc w:val="both"/>
            </w:pPr>
            <w:r>
              <w:t>标立方米、毫克/升）</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9" w:firstLine="0"/>
              <w:jc w:val="center"/>
            </w:pPr>
            <w:r>
              <w:t>（10）</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98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*月均浓度（毫克/标立方米、毫克/升）</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9" w:firstLine="0"/>
              <w:jc w:val="center"/>
            </w:pPr>
            <w:r>
              <w:t>（11）</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68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*最高浓度（毫克/标立方米、毫克/升）</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9" w:firstLine="0"/>
              <w:jc w:val="center"/>
            </w:pPr>
            <w:r>
              <w:t>（12）</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2" w:hanging="82"/>
            </w:pPr>
            <w:r>
              <w:t>产（排）污系数计算</w:t>
            </w: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right="48" w:firstLine="0"/>
              <w:jc w:val="center"/>
            </w:pPr>
            <w:r>
              <w:t>*计算基数</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9" w:firstLine="0"/>
              <w:jc w:val="center"/>
            </w:pPr>
            <w:r>
              <w:t>（13）</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right="48" w:firstLine="0"/>
              <w:jc w:val="center"/>
            </w:pPr>
            <w:r>
              <w:t>*产污系数</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9" w:firstLine="0"/>
              <w:jc w:val="center"/>
            </w:pPr>
            <w:r>
              <w:t>（14）</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right="48" w:firstLine="0"/>
              <w:jc w:val="center"/>
            </w:pPr>
            <w:r>
              <w:t>*排污系数</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9" w:firstLine="0"/>
              <w:jc w:val="center"/>
            </w:pPr>
            <w:r>
              <w:t>（15）</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672"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固体废物计算</w:t>
            </w: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*本月固体废物的产生量(吨)</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9" w:firstLine="0"/>
              <w:jc w:val="center"/>
            </w:pPr>
            <w:r>
              <w:t>（16）</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67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*本月固体废物的贮存量(吨)</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9" w:firstLine="0"/>
              <w:jc w:val="center"/>
            </w:pPr>
            <w:r>
              <w:t>（17）</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67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*本月固体废物的处置量(吨)</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9" w:firstLine="0"/>
              <w:jc w:val="center"/>
            </w:pPr>
            <w:r>
              <w:t>（18）</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689"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*本月固体废物的综合利用量（吨）</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9" w:firstLine="0"/>
              <w:jc w:val="center"/>
            </w:pPr>
            <w:r>
              <w:t>（19）</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3" w:firstLine="0"/>
              <w:jc w:val="center"/>
            </w:pPr>
            <w:r>
              <w:t>噪声计算</w:t>
            </w: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right="48" w:firstLine="0"/>
              <w:jc w:val="center"/>
            </w:pPr>
            <w:r>
              <w:t>*噪声时段</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9" w:firstLine="0"/>
              <w:jc w:val="center"/>
            </w:pPr>
            <w:r>
              <w:t>（20）</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right="46" w:firstLine="0"/>
              <w:jc w:val="center"/>
            </w:pPr>
            <w:r>
              <w:t>*监测分贝数</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9" w:firstLine="0"/>
              <w:jc w:val="center"/>
            </w:pPr>
            <w:r>
              <w:t>（21）</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right="48" w:firstLine="0"/>
              <w:jc w:val="center"/>
            </w:pPr>
            <w:r>
              <w:t>*超标不足15天</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9" w:firstLine="0"/>
              <w:jc w:val="center"/>
            </w:pPr>
            <w:r>
              <w:t>（22）</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113" w:firstLine="0"/>
            </w:pPr>
            <w:r>
              <w:t>*两处以上噪声超标</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9" w:firstLine="0"/>
              <w:jc w:val="center"/>
            </w:pPr>
            <w:r>
              <w:t>（23）</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t>抽样测算计算</w:t>
            </w: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right="51" w:firstLine="0"/>
              <w:jc w:val="center"/>
            </w:pPr>
            <w:r>
              <w:t>特征指标</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9" w:firstLine="0"/>
              <w:jc w:val="center"/>
            </w:pPr>
            <w:r>
              <w:t>（24）</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right="51" w:firstLine="0"/>
              <w:jc w:val="center"/>
            </w:pPr>
            <w:r>
              <w:t>特征单位</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9" w:firstLine="0"/>
              <w:jc w:val="center"/>
            </w:pPr>
            <w:r>
              <w:t>（25）</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400"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right="48" w:firstLine="0"/>
              <w:jc w:val="center"/>
            </w:pPr>
            <w:r>
              <w:t>特征指标数量</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9" w:firstLine="0"/>
              <w:jc w:val="center"/>
            </w:pPr>
            <w:r>
              <w:t>（26）</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70" w:type="dxa"/>
            <w:left w:w="108" w:type="dxa"/>
            <w:bottom w:w="0" w:type="dxa"/>
            <w:right w:w="62" w:type="dxa"/>
          </w:tblCellMar>
        </w:tblPrEx>
        <w:trPr>
          <w:trHeight w:val="398"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225" w:type="dxa"/>
            <w:tcBorders>
              <w:top w:val="single" w:color="000000" w:sz="4" w:space="0"/>
              <w:left w:val="single" w:color="000000" w:sz="4" w:space="0"/>
              <w:bottom w:val="single" w:color="000000" w:sz="4" w:space="0"/>
              <w:right w:val="single" w:color="000000" w:sz="4" w:space="0"/>
            </w:tcBorders>
          </w:tcPr>
          <w:p>
            <w:pPr>
              <w:spacing w:after="0" w:line="259" w:lineRule="auto"/>
              <w:ind w:left="0" w:right="51" w:firstLine="0"/>
              <w:jc w:val="center"/>
            </w:pPr>
            <w:r>
              <w:t>特征系数</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46" w:firstLine="0"/>
              <w:jc w:val="center"/>
            </w:pPr>
            <w:r>
              <w:t>(27)</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0" w:line="259" w:lineRule="auto"/>
        <w:ind w:left="-953" w:right="331" w:firstLine="0"/>
      </w:pPr>
    </w:p>
    <w:tbl>
      <w:tblPr>
        <w:tblStyle w:val="18"/>
        <w:tblW w:w="8600" w:type="dxa"/>
        <w:tblInd w:w="739" w:type="dxa"/>
        <w:tblLayout w:type="autofit"/>
        <w:tblCellMar>
          <w:top w:w="63" w:type="dxa"/>
          <w:left w:w="108" w:type="dxa"/>
          <w:bottom w:w="0" w:type="dxa"/>
          <w:right w:w="3" w:type="dxa"/>
        </w:tblCellMar>
      </w:tblPr>
      <w:tblGrid>
        <w:gridCol w:w="3233"/>
        <w:gridCol w:w="2403"/>
        <w:gridCol w:w="963"/>
        <w:gridCol w:w="1022"/>
        <w:gridCol w:w="979"/>
      </w:tblGrid>
      <w:tr>
        <w:tblPrEx>
          <w:tblCellMar>
            <w:top w:w="63" w:type="dxa"/>
            <w:left w:w="108" w:type="dxa"/>
            <w:bottom w:w="0" w:type="dxa"/>
            <w:right w:w="3" w:type="dxa"/>
          </w:tblCellMar>
        </w:tblPrEx>
        <w:trPr>
          <w:trHeight w:val="4877" w:hRule="atLeast"/>
        </w:trPr>
        <w:tc>
          <w:tcPr>
            <w:tcW w:w="3233" w:type="dxa"/>
            <w:tcBorders>
              <w:top w:val="single" w:color="000000" w:sz="4" w:space="0"/>
              <w:left w:val="single" w:color="000000" w:sz="4" w:space="0"/>
              <w:bottom w:val="single" w:color="000000" w:sz="4" w:space="0"/>
              <w:right w:val="single" w:color="000000" w:sz="4" w:space="0"/>
            </w:tcBorders>
            <w:vAlign w:val="center"/>
          </w:tcPr>
          <w:p>
            <w:pPr>
              <w:spacing w:after="30" w:line="259" w:lineRule="auto"/>
              <w:ind w:left="0" w:right="107" w:firstLine="0"/>
              <w:jc w:val="center"/>
            </w:pPr>
            <w:r>
              <w:t>污染物排放量</w:t>
            </w:r>
          </w:p>
          <w:p>
            <w:pPr>
              <w:spacing w:after="0" w:line="259" w:lineRule="auto"/>
              <w:ind w:left="0" w:right="106" w:firstLine="0"/>
              <w:jc w:val="center"/>
            </w:pPr>
            <w:r>
              <w:t>(千克或吨)</w:t>
            </w:r>
          </w:p>
        </w:tc>
        <w:tc>
          <w:tcPr>
            <w:tcW w:w="2403" w:type="dxa"/>
            <w:tcBorders>
              <w:top w:val="single" w:color="000000" w:sz="4" w:space="0"/>
              <w:left w:val="single" w:color="000000" w:sz="4" w:space="0"/>
              <w:bottom w:val="single" w:color="000000" w:sz="4" w:space="0"/>
              <w:right w:val="single" w:color="000000" w:sz="4" w:space="0"/>
            </w:tcBorders>
          </w:tcPr>
          <w:p>
            <w:pPr>
              <w:spacing w:after="0" w:line="288" w:lineRule="auto"/>
              <w:ind w:left="0" w:firstLine="0"/>
              <w:jc w:val="center"/>
            </w:pPr>
            <w:r>
              <w:t>大气、水污染物监测计算：（28）=(9)×(10)</w:t>
            </w:r>
          </w:p>
          <w:p>
            <w:pPr>
              <w:spacing w:after="33" w:line="259" w:lineRule="auto"/>
              <w:ind w:left="0" w:firstLine="0"/>
            </w:pPr>
            <w:r>
              <w:t>÷100(1000)</w:t>
            </w:r>
          </w:p>
          <w:p>
            <w:pPr>
              <w:spacing w:after="33" w:line="259" w:lineRule="auto"/>
              <w:ind w:left="0" w:firstLine="0"/>
              <w:jc w:val="both"/>
            </w:pPr>
            <w:r>
              <w:t>大气、水污染物产（排）</w:t>
            </w:r>
          </w:p>
          <w:p>
            <w:pPr>
              <w:spacing w:after="33" w:line="259" w:lineRule="auto"/>
              <w:ind w:left="0" w:firstLine="0"/>
            </w:pPr>
            <w:r>
              <w:t>污系数计算：</w:t>
            </w:r>
          </w:p>
          <w:p>
            <w:pPr>
              <w:spacing w:after="1" w:line="287" w:lineRule="auto"/>
              <w:ind w:left="0" w:firstLine="0"/>
            </w:pPr>
            <w:r>
              <w:t>（28）=(13)×(14)×M （28）=(13)×(15)×M pH值、大肠菌群数、余氯量等水污染物计算：</w:t>
            </w:r>
          </w:p>
          <w:p>
            <w:pPr>
              <w:spacing w:after="33" w:line="259" w:lineRule="auto"/>
              <w:ind w:left="0" w:firstLine="0"/>
            </w:pPr>
            <w:r>
              <w:t>（28）=(9)</w:t>
            </w:r>
          </w:p>
          <w:p>
            <w:pPr>
              <w:spacing w:after="33" w:line="259" w:lineRule="auto"/>
              <w:ind w:left="0" w:firstLine="0"/>
              <w:jc w:val="both"/>
            </w:pPr>
            <w:r>
              <w:t>色度污染物计算：（28）</w:t>
            </w:r>
          </w:p>
          <w:p>
            <w:pPr>
              <w:spacing w:after="0" w:line="288" w:lineRule="auto"/>
              <w:ind w:left="0" w:firstLine="0"/>
            </w:pPr>
            <w:r>
              <w:t>=（9）×色度超标倍数固体废物排放量（含综</w:t>
            </w:r>
          </w:p>
          <w:p>
            <w:pPr>
              <w:spacing w:after="30" w:line="259" w:lineRule="auto"/>
              <w:ind w:left="0" w:firstLine="0"/>
            </w:pPr>
            <w:r>
              <w:t>合利用量）：</w:t>
            </w:r>
          </w:p>
          <w:p>
            <w:pPr>
              <w:spacing w:after="0" w:line="259" w:lineRule="auto"/>
              <w:ind w:left="0" w:firstLine="0"/>
              <w:jc w:val="both"/>
            </w:pPr>
            <w:r>
              <w:t>（28）=(16)-(17)-(18)</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3" w:type="dxa"/>
            <w:left w:w="108" w:type="dxa"/>
            <w:bottom w:w="0" w:type="dxa"/>
            <w:right w:w="3" w:type="dxa"/>
          </w:tblCellMar>
        </w:tblPrEx>
        <w:trPr>
          <w:trHeight w:val="635" w:hRule="atLeast"/>
        </w:trPr>
        <w:tc>
          <w:tcPr>
            <w:tcW w:w="3233" w:type="dxa"/>
            <w:tcBorders>
              <w:top w:val="single" w:color="000000" w:sz="4" w:space="0"/>
              <w:left w:val="single" w:color="000000" w:sz="4" w:space="0"/>
              <w:bottom w:val="single" w:color="000000" w:sz="4" w:space="0"/>
              <w:right w:val="single" w:color="000000" w:sz="4" w:space="0"/>
            </w:tcBorders>
          </w:tcPr>
          <w:p>
            <w:pPr>
              <w:spacing w:after="33" w:line="259" w:lineRule="auto"/>
              <w:ind w:left="0" w:right="107" w:firstLine="0"/>
              <w:jc w:val="center"/>
            </w:pPr>
            <w:r>
              <w:t>*污染当量值（特征值）</w:t>
            </w:r>
          </w:p>
          <w:p>
            <w:pPr>
              <w:spacing w:after="0" w:line="259" w:lineRule="auto"/>
              <w:ind w:left="0" w:right="107" w:firstLine="0"/>
              <w:jc w:val="center"/>
            </w:pPr>
            <w:r>
              <w:t>（千克或吨）</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8" w:firstLine="0"/>
              <w:jc w:val="center"/>
            </w:pPr>
            <w:r>
              <w:t>（29）</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3" w:type="dxa"/>
            <w:left w:w="108" w:type="dxa"/>
            <w:bottom w:w="0" w:type="dxa"/>
            <w:right w:w="3" w:type="dxa"/>
          </w:tblCellMar>
        </w:tblPrEx>
        <w:trPr>
          <w:trHeight w:val="985" w:hRule="atLeast"/>
        </w:trPr>
        <w:tc>
          <w:tcPr>
            <w:tcW w:w="32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5" w:firstLine="0"/>
              <w:jc w:val="center"/>
            </w:pPr>
            <w:r>
              <w:t>*污染当量数</w:t>
            </w:r>
          </w:p>
        </w:tc>
        <w:tc>
          <w:tcPr>
            <w:tcW w:w="2403" w:type="dxa"/>
            <w:tcBorders>
              <w:top w:val="single" w:color="000000" w:sz="4" w:space="0"/>
              <w:left w:val="single" w:color="000000" w:sz="4" w:space="0"/>
              <w:bottom w:val="single" w:color="000000" w:sz="4" w:space="0"/>
              <w:right w:val="single" w:color="000000" w:sz="4" w:space="0"/>
            </w:tcBorders>
          </w:tcPr>
          <w:p>
            <w:pPr>
              <w:spacing w:after="0" w:line="288" w:lineRule="auto"/>
              <w:ind w:left="0" w:firstLine="0"/>
              <w:jc w:val="center"/>
            </w:pPr>
            <w:r>
              <w:t>大气、水污染物污染当量数计算：</w:t>
            </w:r>
          </w:p>
          <w:p>
            <w:pPr>
              <w:spacing w:after="0" w:line="259" w:lineRule="auto"/>
              <w:ind w:left="0" w:right="105" w:firstLine="0"/>
              <w:jc w:val="center"/>
            </w:pPr>
            <w:r>
              <w:t>（30）=(28)÷(29)</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3" w:type="dxa"/>
            <w:left w:w="108" w:type="dxa"/>
            <w:bottom w:w="0" w:type="dxa"/>
            <w:right w:w="3" w:type="dxa"/>
          </w:tblCellMar>
        </w:tblPrEx>
        <w:trPr>
          <w:trHeight w:val="400" w:hRule="atLeast"/>
        </w:trPr>
        <w:tc>
          <w:tcPr>
            <w:tcW w:w="32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7" w:firstLine="0"/>
              <w:jc w:val="center"/>
            </w:pPr>
            <w:r>
              <w:t>减免性质代码和项目名称</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8" w:firstLine="0"/>
              <w:jc w:val="center"/>
            </w:pPr>
            <w:r>
              <w:t>（31）</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3" w:type="dxa"/>
            <w:left w:w="108" w:type="dxa"/>
            <w:bottom w:w="0" w:type="dxa"/>
            <w:right w:w="3" w:type="dxa"/>
          </w:tblCellMar>
        </w:tblPrEx>
        <w:trPr>
          <w:trHeight w:val="400" w:hRule="atLeast"/>
        </w:trPr>
        <w:tc>
          <w:tcPr>
            <w:tcW w:w="32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7" w:firstLine="0"/>
              <w:jc w:val="center"/>
            </w:pPr>
            <w:r>
              <w:t>*单位税额</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8" w:firstLine="0"/>
              <w:jc w:val="center"/>
            </w:pPr>
            <w:r>
              <w:t>（32）</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3" w:type="dxa"/>
            <w:left w:w="108" w:type="dxa"/>
            <w:bottom w:w="0" w:type="dxa"/>
            <w:right w:w="3" w:type="dxa"/>
          </w:tblCellMar>
        </w:tblPrEx>
        <w:trPr>
          <w:trHeight w:val="6532" w:hRule="atLeast"/>
        </w:trPr>
        <w:tc>
          <w:tcPr>
            <w:tcW w:w="32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7" w:firstLine="0"/>
              <w:jc w:val="center"/>
            </w:pPr>
            <w:r>
              <w:t>*本期应纳税额</w:t>
            </w:r>
          </w:p>
        </w:tc>
        <w:tc>
          <w:tcPr>
            <w:tcW w:w="2403" w:type="dxa"/>
            <w:tcBorders>
              <w:top w:val="single" w:color="000000" w:sz="4" w:space="0"/>
              <w:left w:val="single" w:color="000000" w:sz="4" w:space="0"/>
              <w:bottom w:val="single" w:color="000000" w:sz="4" w:space="0"/>
              <w:right w:val="single" w:color="000000" w:sz="4" w:space="0"/>
            </w:tcBorders>
          </w:tcPr>
          <w:p>
            <w:pPr>
              <w:spacing w:after="0" w:line="288" w:lineRule="auto"/>
              <w:ind w:left="0" w:firstLine="0"/>
            </w:pPr>
            <w:r>
              <w:t>大气、水污染物应纳税额计算：</w:t>
            </w:r>
          </w:p>
          <w:p>
            <w:pPr>
              <w:spacing w:after="30" w:line="259" w:lineRule="auto"/>
              <w:ind w:left="0" w:firstLine="0"/>
            </w:pPr>
            <w:r>
              <w:t>（33）=(30)×(32)</w:t>
            </w:r>
          </w:p>
          <w:p>
            <w:pPr>
              <w:spacing w:after="33" w:line="259" w:lineRule="auto"/>
              <w:ind w:left="0" w:firstLine="0"/>
              <w:jc w:val="both"/>
            </w:pPr>
            <w:r>
              <w:t>固体废物应纳税额计</w:t>
            </w:r>
          </w:p>
          <w:p>
            <w:pPr>
              <w:spacing w:after="33" w:line="259" w:lineRule="auto"/>
              <w:ind w:left="0" w:firstLine="0"/>
            </w:pPr>
            <w:r>
              <w:t>算：(33)=(28)×(32)</w:t>
            </w:r>
          </w:p>
          <w:p>
            <w:pPr>
              <w:spacing w:after="33" w:line="259" w:lineRule="auto"/>
              <w:ind w:left="0" w:firstLine="0"/>
            </w:pPr>
            <w:r>
              <w:t>噪声应纳税额计算：</w:t>
            </w:r>
          </w:p>
          <w:p>
            <w:pPr>
              <w:spacing w:after="0" w:line="288" w:lineRule="auto"/>
              <w:ind w:left="0" w:firstLine="0"/>
              <w:jc w:val="center"/>
            </w:pPr>
            <w:r>
              <w:t>(33)=0.5或1[（22）为是的用0.5；为否的用</w:t>
            </w:r>
          </w:p>
          <w:p>
            <w:pPr>
              <w:spacing w:after="1" w:line="288" w:lineRule="auto"/>
              <w:ind w:left="0" w:firstLine="0"/>
              <w:jc w:val="center"/>
            </w:pPr>
            <w:r>
              <w:t>1]×2或1[(23)为是的用2，为否的用1]×(32) 按照税法所附表二中畜禽养殖业等水污染物当量值表计算：(33)=(26)</w:t>
            </w:r>
          </w:p>
          <w:p>
            <w:pPr>
              <w:spacing w:after="33" w:line="259" w:lineRule="auto"/>
              <w:ind w:left="0" w:firstLine="0"/>
            </w:pPr>
            <w:r>
              <w:t>÷(29)×(32)</w:t>
            </w:r>
          </w:p>
          <w:p>
            <w:pPr>
              <w:spacing w:after="30" w:line="259" w:lineRule="auto"/>
              <w:ind w:left="0" w:firstLine="0"/>
            </w:pPr>
            <w:r>
              <w:t>采用特征系数计算：</w:t>
            </w:r>
          </w:p>
          <w:p>
            <w:pPr>
              <w:spacing w:after="54" w:line="259" w:lineRule="auto"/>
              <w:ind w:left="0" w:firstLine="0"/>
              <w:jc w:val="both"/>
            </w:pPr>
            <w:r>
              <w:t>(33)=(26) × (27) ÷</w:t>
            </w:r>
          </w:p>
          <w:p>
            <w:pPr>
              <w:spacing w:after="33" w:line="259" w:lineRule="auto"/>
              <w:ind w:left="0" w:firstLine="0"/>
            </w:pPr>
            <w:r>
              <w:t>(29)×(32)</w:t>
            </w:r>
          </w:p>
          <w:p>
            <w:pPr>
              <w:spacing w:after="33" w:line="259" w:lineRule="auto"/>
              <w:ind w:left="0" w:firstLine="0"/>
            </w:pPr>
            <w:r>
              <w:t>采用特征值计算：</w:t>
            </w:r>
          </w:p>
          <w:p>
            <w:pPr>
              <w:spacing w:after="54" w:line="259" w:lineRule="auto"/>
              <w:ind w:left="0" w:firstLine="0"/>
              <w:jc w:val="both"/>
            </w:pPr>
            <w:r>
              <w:t>(33)=(26) × (29) ×</w:t>
            </w:r>
          </w:p>
          <w:p>
            <w:pPr>
              <w:spacing w:after="0" w:line="259" w:lineRule="auto"/>
              <w:ind w:left="0" w:firstLine="0"/>
            </w:pPr>
            <w:r>
              <w:t>(32)</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3" w:type="dxa"/>
            <w:left w:w="108" w:type="dxa"/>
            <w:bottom w:w="0" w:type="dxa"/>
            <w:right w:w="3" w:type="dxa"/>
          </w:tblCellMar>
        </w:tblPrEx>
        <w:trPr>
          <w:trHeight w:val="1640" w:hRule="atLeast"/>
        </w:trPr>
        <w:tc>
          <w:tcPr>
            <w:tcW w:w="32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3" w:firstLine="0"/>
              <w:jc w:val="center"/>
            </w:pPr>
            <w:r>
              <w:t>本期减免税额</w:t>
            </w:r>
          </w:p>
        </w:tc>
        <w:tc>
          <w:tcPr>
            <w:tcW w:w="2403" w:type="dxa"/>
            <w:tcBorders>
              <w:top w:val="single" w:color="000000" w:sz="4" w:space="0"/>
              <w:left w:val="single" w:color="000000" w:sz="4" w:space="0"/>
              <w:bottom w:val="single" w:color="000000" w:sz="4" w:space="0"/>
              <w:right w:val="single" w:color="000000" w:sz="4" w:space="0"/>
            </w:tcBorders>
          </w:tcPr>
          <w:p>
            <w:pPr>
              <w:spacing w:after="0" w:line="288" w:lineRule="auto"/>
              <w:ind w:left="0" w:firstLine="0"/>
              <w:jc w:val="center"/>
            </w:pPr>
            <w:r>
              <w:t>大气、水污染物减免税额计算：（34）=(30)×</w:t>
            </w:r>
          </w:p>
          <w:p>
            <w:pPr>
              <w:spacing w:after="33" w:line="259" w:lineRule="auto"/>
              <w:ind w:left="0" w:firstLine="0"/>
            </w:pPr>
            <w:r>
              <w:t>(32)×N</w:t>
            </w:r>
          </w:p>
          <w:p>
            <w:pPr>
              <w:spacing w:after="0" w:line="259" w:lineRule="auto"/>
              <w:ind w:left="0" w:firstLine="0"/>
              <w:jc w:val="center"/>
            </w:pPr>
            <w:r>
              <w:t>固体废物减免税额计算：（34）=(19)×(32)</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3" w:type="dxa"/>
            <w:left w:w="108" w:type="dxa"/>
            <w:bottom w:w="0" w:type="dxa"/>
            <w:right w:w="3" w:type="dxa"/>
          </w:tblCellMar>
        </w:tblPrEx>
        <w:trPr>
          <w:trHeight w:val="400" w:hRule="atLeast"/>
        </w:trPr>
        <w:tc>
          <w:tcPr>
            <w:tcW w:w="32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本期已缴税额</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（35）</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63" w:type="dxa"/>
            <w:left w:w="108" w:type="dxa"/>
            <w:bottom w:w="0" w:type="dxa"/>
            <w:right w:w="3" w:type="dxa"/>
          </w:tblCellMar>
        </w:tblPrEx>
        <w:trPr>
          <w:trHeight w:val="398" w:hRule="atLeast"/>
        </w:trPr>
        <w:tc>
          <w:tcPr>
            <w:tcW w:w="323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*本期应补（退）税额</w:t>
            </w:r>
          </w:p>
        </w:tc>
        <w:tc>
          <w:tcPr>
            <w:tcW w:w="240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both"/>
            </w:pPr>
            <w:r>
              <w:t>（36）=(33)-(34)-(35)</w:t>
            </w:r>
          </w:p>
        </w:tc>
        <w:tc>
          <w:tcPr>
            <w:tcW w:w="96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2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26"/>
        <w:ind w:left="857"/>
      </w:pPr>
      <w:r>
        <w:t>填表说明：</w:t>
      </w:r>
    </w:p>
    <w:p>
      <w:pPr>
        <w:spacing w:after="26"/>
        <w:ind w:left="857"/>
      </w:pPr>
      <w:r>
        <w:t>1．表内带*的为必填项。本表包括两部分，分别为税源基础信息和申报计算及减免信息。</w:t>
      </w:r>
    </w:p>
    <w:p>
      <w:pPr>
        <w:spacing w:after="26"/>
        <w:ind w:left="857"/>
      </w:pPr>
      <w:r>
        <w:t>2．“按次申报”：勾选后无须填写税源基础信息，直接进行申报计算。</w:t>
      </w:r>
    </w:p>
    <w:p>
      <w:pPr>
        <w:spacing w:after="26"/>
        <w:ind w:left="857"/>
      </w:pPr>
      <w:r>
        <w:t>3．“污染物类别”：包括大气污染物、水污染物、固体废物、噪声，可多选。</w:t>
      </w:r>
    </w:p>
    <w:p>
      <w:pPr>
        <w:ind w:left="857"/>
      </w:pPr>
      <w:r>
        <w:t>4．“排污许可证编号”：已纳入国务院生态环境主管部门发布的《固定污染源排污许可分类管理名录》且取得排污许可证的纳税人必填。具有多张排污许可证的纳税人应全部填写。</w:t>
      </w:r>
    </w:p>
    <w:p>
      <w:pPr>
        <w:spacing w:after="26"/>
        <w:ind w:left="857"/>
      </w:pPr>
      <w:r>
        <w:t>5．“生产经营所在区划”：填写纳税人实际生产经营所在行政区，应具体到县（旗、区）。</w:t>
      </w:r>
    </w:p>
    <w:p>
      <w:pPr>
        <w:spacing w:after="30" w:line="262" w:lineRule="auto"/>
        <w:ind w:left="857"/>
      </w:pPr>
      <w:r>
        <w:rPr>
          <w:u w:val="single" w:color="000000"/>
        </w:rPr>
        <w:t>一、税源基础信息</w:t>
      </w:r>
    </w:p>
    <w:p>
      <w:pPr>
        <w:ind w:left="857"/>
      </w:pPr>
      <w:r>
        <w:t>1.“新增”：首次填报本表或新增排放口（噪声源）、固体废物的纳税人须勾选“新增”。新增排放口（噪声源）和固体废物的，应填写新增排放口（噪声源）和固体废物及其对应的全部应税污染物信息。</w:t>
      </w:r>
    </w:p>
    <w:p>
      <w:pPr>
        <w:ind w:left="857"/>
      </w:pPr>
      <w:r>
        <w:t>“变更”：变更已填报排放口（噪声源）、固体废物信息的纳税人，须勾选“变更”。变更排放口（噪声源）和固体废物的，应填写变更排放口（噪声源）和固体废物及其对应的全部应税污染物信息。</w:t>
      </w:r>
    </w:p>
    <w:p>
      <w:pPr>
        <w:ind w:left="857"/>
      </w:pPr>
      <w:r>
        <w:t>“删除”：因排放口拆除、噪声源灭失、无固体废物产生等情形，导致排放口、噪声源、固体废物不存在的，应删除排放口（噪声源）和固体废物的相关信息。</w:t>
      </w:r>
    </w:p>
    <w:p>
      <w:pPr>
        <w:ind w:left="857"/>
      </w:pPr>
      <w:r>
        <w:t>2．第1栏“税源编号”：该项由税务机关通过征管系统根据纳税人的排放口信息或者贮存、处置或综合利用固体废物情况赋予编号。纳税人首次申报或新增排放口（噪声源）、固体废物来源的无须填写。当纳税人发生税源变更情形时须填写该项。</w:t>
      </w:r>
    </w:p>
    <w:p>
      <w:pPr>
        <w:ind w:left="857"/>
      </w:pPr>
      <w:r>
        <w:t>3．第2栏“排放口编号”：取得排污许可证的须按排污许可证载明的大气、水污染物排放口编号填写。</w:t>
      </w:r>
    </w:p>
    <w:p>
      <w:pPr>
        <w:ind w:left="857"/>
      </w:pPr>
      <w:r>
        <w:t>4．第3栏“排放口名称或噪声源名称”：纳税人可结合排放口位置、噪声源位置或施工项目名称等自行命名每一个排放口名称或噪声源等的名称。</w:t>
      </w:r>
    </w:p>
    <w:p>
      <w:pPr>
        <w:ind w:left="857"/>
      </w:pPr>
      <w:r>
        <w:t>5．第4栏“生产经营所在街乡”：填写纳税人实际生产经营所在街道乡镇。</w:t>
      </w:r>
    </w:p>
    <w:p>
      <w:pPr>
        <w:spacing w:after="26"/>
        <w:ind w:left="857"/>
      </w:pPr>
      <w:r>
        <w:t>6．第5栏“经度”：取得排污许可证的纳税人，须按照排污许可证载明的经度填写。</w:t>
      </w:r>
    </w:p>
    <w:p>
      <w:pPr>
        <w:spacing w:after="26"/>
        <w:ind w:left="857"/>
      </w:pPr>
      <w:r>
        <w:t>7．第6栏“纬度”：取得排污许可证的纳税人，须按照排污许可证载明的纬度填写。</w:t>
      </w:r>
    </w:p>
    <w:p>
      <w:pPr>
        <w:ind w:left="857"/>
      </w:pPr>
      <w:r>
        <w:t>8．第7栏“有效期起止”：取得排污许可证的纳税人，填写排污许可证载明的有效期起止日期，未取得排污许可证的纳税人，填写污染物排放口启用时间、噪声源所在厂区的投入生产日期或施工项目实际起止日期等。</w:t>
      </w:r>
    </w:p>
    <w:p>
      <w:pPr>
        <w:ind w:left="857"/>
      </w:pPr>
      <w:r>
        <w:t>9．第8栏“污染物类别”：填写大气污染物、水污染物、固体废物、噪声。</w:t>
      </w:r>
    </w:p>
    <w:p>
      <w:pPr>
        <w:ind w:left="857"/>
      </w:pPr>
      <w:r>
        <w:t>10．第9栏“水污染物种类”：填写“第一类水污染物”或“其他类水污染物”；“其他类水污染物”包括第二类水污染物、pH值、色度、大肠菌群数、余氯量。</w:t>
      </w:r>
    </w:p>
    <w:p>
      <w:pPr>
        <w:ind w:left="857"/>
      </w:pPr>
      <w:r>
        <w:t>11．第10栏“污染物名称”：大气污染物和水污染物根据《中华人民共和国环境保护税法》附表二的污染物名称填写。从事海洋工程的纳税人排放应税大气污染物的，填写大气污染物具体名称，如“二氧化硫—海洋工程（气）”、“氮氧化物—海洋工程（气）”、“一氧化碳—海洋工程（气）”等；从事海洋工程的纳税人排放应税水污染物的，填写水污染物具体名称：“石油类—海洋工程（生产污水和机舱污水）”“石油类—海洋工程（钻井泥浆和钻屑）”“总汞—海洋工程（钻井泥浆和钻屑）”“总镉—海洋工程（钻井泥浆和钻屑）”“化学需氧量（CODcr）—海洋工程（生活污水）”。固体废物和噪声根据《中华人民共和国环境保护税法》附表一填写，其中污染物名称为“固体废物（其他固体废物）”的，按照其他应税固体废物具体名称填写。产排污系数的污染物名称按照国务院生态环境主管部门发布的纳税人适用的产排污系数表中对应的“污染物指标”填写。采用《中华人民共和国环境保护税法》第十条第四项方法计算应税污染物排放量的，按照省、自治区、直辖市人民政府生态环境主管部门规定的抽样测算污染物名称填写。适用《中华人民共和国环境保护税法》所附《禽畜养殖业、小型企业和第三产业水污染物当量值》表的，按照表中“类型”填写，如“禽畜养殖场（牛）”、“禽畜养殖场（猪）”、“小型企业”等。</w:t>
      </w:r>
    </w:p>
    <w:p>
      <w:pPr>
        <w:ind w:left="857"/>
      </w:pPr>
      <w:r>
        <w:t>12．第11栏“危险废物污染物子类”：按照国务院生态环境主管部门发布的国家危险废物名录填写。</w:t>
      </w:r>
    </w:p>
    <w:p>
      <w:pPr>
        <w:ind w:left="857"/>
      </w:pPr>
      <w:r>
        <w:t>13．第12栏“污染物排放量计算方法”：填写“自动监测”“监测机构监测”“排污系数”</w:t>
      </w:r>
    </w:p>
    <w:p>
      <w:pPr>
        <w:spacing w:after="26"/>
        <w:ind w:left="857"/>
      </w:pPr>
      <w:r>
        <w:t>“物料衡算”“抽样测算”。</w:t>
      </w:r>
    </w:p>
    <w:p>
      <w:pPr>
        <w:spacing w:after="26"/>
        <w:ind w:left="857"/>
      </w:pPr>
      <w:r>
        <w:t>14．第13栏“执行标准”：按照孰严原则选择填写国家或地方污染物排放标准名称及编号。</w:t>
      </w:r>
    </w:p>
    <w:p>
      <w:pPr>
        <w:spacing w:after="26"/>
        <w:ind w:left="857"/>
      </w:pPr>
      <w:r>
        <w:t>海洋工程纳税人排放应税大气或水污染物，无对应国家和地方标准的，本栏可不填写。</w:t>
      </w:r>
    </w:p>
    <w:p>
      <w:pPr>
        <w:ind w:left="857"/>
      </w:pPr>
      <w:r>
        <w:t>15．第14栏“标准浓度值”：填写执行标准对应的浓度值。海洋工程纳税人排放应税大气或水污染物，无对应国家和地方标准的，本栏可不填写。</w:t>
      </w:r>
    </w:p>
    <w:p>
      <w:pPr>
        <w:ind w:left="857"/>
      </w:pPr>
      <w:r>
        <w:t>16．第15栏“计税基数单位”：按照国务院生态环境主管部门发布的纳税人适用的产排污系数表中“单位”栏的分母项填写，即填写前述适用产排污系数表中的产品产量或原材料耗用量单位。</w:t>
      </w:r>
    </w:p>
    <w:p>
      <w:pPr>
        <w:ind w:left="857"/>
      </w:pPr>
      <w:r>
        <w:t>17．第16栏“污染物单位”：按照国务院生态环境主管部门发布的纳税人适用的产排污系数表中“单位”栏的分子项填写，包括“吨”“千克”“克”“毫克”。</w:t>
      </w:r>
    </w:p>
    <w:p>
      <w:pPr>
        <w:ind w:left="857"/>
      </w:pPr>
      <w:r>
        <w:t>18．第17栏“产污系数”：使用产污系数法计算污染物排放量的，填写国务院生态环境主管部门发布的纳税人适用的产污系数。</w:t>
      </w:r>
    </w:p>
    <w:p>
      <w:pPr>
        <w:ind w:left="857"/>
      </w:pPr>
      <w:r>
        <w:t>19．第18栏“排污系数”：使用排污系数法计算污染物排放量的，填写国务院生态环境主管部门发布的纳税人适用的排污系数。</w:t>
      </w:r>
    </w:p>
    <w:p>
      <w:pPr>
        <w:spacing w:after="26"/>
        <w:ind w:left="857"/>
      </w:pPr>
      <w:r>
        <w:t>20．第19栏“贮存情况”：填写贮存场所（设施）名称。</w:t>
      </w:r>
    </w:p>
    <w:p>
      <w:pPr>
        <w:spacing w:after="26"/>
        <w:ind w:left="857"/>
      </w:pPr>
      <w:r>
        <w:t>21．第20栏“处置情况”：填写处置单位。</w:t>
      </w:r>
    </w:p>
    <w:p>
      <w:pPr>
        <w:spacing w:after="26"/>
        <w:ind w:left="857"/>
      </w:pPr>
      <w:r>
        <w:t>22．第21栏“综合利用情况”：填写综合利用方式。综合利用方式填写“金属材料回收”</w:t>
      </w:r>
    </w:p>
    <w:p>
      <w:pPr>
        <w:ind w:left="857"/>
      </w:pPr>
      <w:r>
        <w:t>“非金属材料回收”“能量回收”或“其他方式”。</w:t>
      </w:r>
    </w:p>
    <w:p>
      <w:pPr>
        <w:spacing w:after="26"/>
        <w:ind w:left="857"/>
      </w:pPr>
      <w:r>
        <w:t>23．第22栏“是否昼夜产生”：填写“是”或“否”。</w:t>
      </w:r>
    </w:p>
    <w:p>
      <w:pPr>
        <w:ind w:left="857"/>
      </w:pPr>
      <w:r>
        <w:t>24．第23栏“标准值——昼间（6时至22时）”：按照所属声功能区的执行标准中对应的 “标准限值”填写。其中功能区类型可以分为0类、1类、2类、3类、4a类或4b类。0类声环境功能区指康复疗养区等特别需要安静的区域；1类声环境功能区指以居民住宅、医疗卫生、文化教育、科研设计、行政办公为主要功能，需要保持安静的区域；2类声环境功能区指以商业金融、集市贸易为主要功能，或者居住、商业、工业混杂，需要维护住宅安静的区域；3类声环境功能区指以工业生产、仓储物流为主要功能，需要防止工业噪声对周围环境产生严重影响的区域；4类声环境功能区指交通干线两侧一定距离之内，需要防止交通噪声对周围环境产生严重影响的区域，包括4a类和4b类，4a类为高速公路、一级公路、二级公路、城市快速路、城市主干路、城市次干路、城市轨道交通（地面段）、内河航道两侧区域，4b类为铁路干线两侧区域。</w:t>
      </w:r>
    </w:p>
    <w:p>
      <w:pPr>
        <w:ind w:left="857"/>
      </w:pPr>
      <w:r>
        <w:t>25．第24栏“标准值——夜间（22时至次日6时）”：按照所属声功能区的执行标准中对应的“标准限值”填写。其中功能区类型可以参照第23栏“标准值——昼间（6时至22时）” 中的分类。</w:t>
      </w:r>
    </w:p>
    <w:p>
      <w:pPr>
        <w:spacing w:after="28" w:line="262" w:lineRule="auto"/>
        <w:ind w:left="857"/>
      </w:pPr>
      <w:r>
        <w:rPr>
          <w:u w:val="single" w:color="000000"/>
        </w:rPr>
        <w:t>二、申报计算及减免信息</w:t>
      </w:r>
    </w:p>
    <w:p>
      <w:pPr>
        <w:spacing w:after="26"/>
        <w:ind w:left="857"/>
      </w:pPr>
      <w:r>
        <w:t>1．第1栏“税源编号”：税源基础信息采集后，填写征管系统赋予的税源编号。</w:t>
      </w:r>
    </w:p>
    <w:p>
      <w:pPr>
        <w:spacing w:after="26"/>
        <w:ind w:left="857"/>
      </w:pPr>
      <w:r>
        <w:t>2．第2栏“税款所属月份”：按税款所属期分月填写，如“1月”“2月”“3月”。</w:t>
      </w:r>
    </w:p>
    <w:p>
      <w:pPr>
        <w:ind w:left="857" w:right="101"/>
      </w:pPr>
      <w:r>
        <w:t>3．第3栏“排放口名称或噪声源名称”：填写税源基础信息采集的排放口名称或噪声源名称。</w:t>
      </w:r>
    </w:p>
    <w:p>
      <w:pPr>
        <w:spacing w:after="26"/>
        <w:ind w:left="857"/>
      </w:pPr>
      <w:r>
        <w:t>4．第4栏“污染物类别”：填写税源基础信息采集的污染物类别。</w:t>
      </w:r>
    </w:p>
    <w:p>
      <w:pPr>
        <w:ind w:left="857"/>
      </w:pPr>
      <w:r>
        <w:t>5．第5栏“水污染物种类”：填写税源基础信息采集的水污染物种类。</w:t>
      </w:r>
    </w:p>
    <w:p>
      <w:pPr>
        <w:ind w:left="857"/>
      </w:pPr>
      <w:r>
        <w:t>6．第6栏“污染物名称”：大气污染物和水污染物根据《中华人民共和国环境保护税法》附表二的污染物名称填写。固体废物根据《中华人民共和国环境保护税法》附表一填写，其中污染物名称为“固体废物（其他固体废物）”的，按照其他应税固体废物具体名称填写。噪声填写“工业噪声超标1—3分贝”“工业噪声超标4—6分贝”“工业噪声超标7—9分贝”“工业噪声超标10—12分贝”“工业噪声超标13—15分贝”“工业噪声超标16分贝以上”。从事海洋工程的纳税人排放应税大气污染物的，填写大气污染物具体名称，如“二氧化硫—海洋工程（气）”“氮氧化物—海洋工程（气）”“一氧化碳—海洋工程（气）” 等；从事海洋工程的纳税人排放应税水污染物的，填写海洋工程相应水污染物名称：“石油类—海洋工程（生产污水和机舱污水）”“石油类—海洋工程（钻井泥浆和钻屑）”“总汞</w:t>
      </w:r>
    </w:p>
    <w:p>
      <w:pPr>
        <w:spacing w:after="26"/>
        <w:ind w:left="857"/>
      </w:pPr>
      <w:r>
        <w:t>—海洋工程（钻井泥浆和钻屑）”“总镉—海洋工程（钻井泥浆和钻屑）”“化学需氧量（CODcr）</w:t>
      </w:r>
    </w:p>
    <w:p>
      <w:pPr>
        <w:ind w:left="857"/>
      </w:pPr>
      <w:r>
        <w:t>—海洋工程（生活污水）”；从事海洋工程的纳税人排放生活垃圾的，填写“生活垃圾—海洋工程”。水污染物是“pH值”时，根据实测pH值对应填写“pH值（0—1，13—14）”“pH 值（1—2，12—13）”“pH值（2—3，11—12）”“pH值（3—4，10—11）”“pH值（4 —5，9—10）”“pH值（5—6）”；适用《中华人民共和国环境保护税法》所附《禽畜养殖业、小型企业和第三产业水污染物当量值》表的，按照表中“类型”填写，如“禽畜养殖场（牛）”“禽畜养殖场（猪）”“小型企业”等。采用《中华人民共和国环境保护税法》第十条第四项方法计算应税污染物排放量的，按照省、自治区、直辖市人民政府生态环境主管部门规定的抽样测算污染物名称填写。</w:t>
      </w:r>
    </w:p>
    <w:p>
      <w:pPr>
        <w:spacing w:after="26"/>
        <w:ind w:left="857"/>
      </w:pPr>
      <w:r>
        <w:t>7．第7栏“危险废物污染物子类”：填写税源基础信息采集的危险废物污染物子类。</w:t>
      </w:r>
    </w:p>
    <w:p>
      <w:pPr>
        <w:spacing w:after="26"/>
        <w:ind w:left="857"/>
      </w:pPr>
      <w:r>
        <w:t>8．第8栏“污染物排放量计算方法”：填写税源基础信息采集的污染物排放量计算方法。</w:t>
      </w:r>
    </w:p>
    <w:p>
      <w:pPr>
        <w:ind w:left="857"/>
      </w:pPr>
      <w:r>
        <w:t>9．第9栏“废气（废水）排放量”：污染物排放量计算方法为“自动监测”或“监测机构监测”的填写该项。</w:t>
      </w:r>
    </w:p>
    <w:p>
      <w:pPr>
        <w:ind w:left="857"/>
      </w:pPr>
      <w:r>
        <w:t>10．第10栏“实测浓度值”：采用自动监测的，按自动监测仪器当月读数填写；当自动监测设备发生故障、设备维护、启停炉、停运等状态时，应当按照相关法律法规等规定，填写标记、处理后的自动监测数据。采用监测机构监测（含符合规定的自行监测）的，按监测机构出具的报告填写。</w:t>
      </w:r>
    </w:p>
    <w:p>
      <w:pPr>
        <w:ind w:left="857"/>
      </w:pPr>
      <w:r>
        <w:t>11．第11栏“月均浓度”：按照《中华人民共和国环境保护税法实施条例》第十条规定填写。有折算浓度值的，填写折算浓度值；没有折算浓度值的，填写实测浓度值。</w:t>
      </w:r>
    </w:p>
    <w:p>
      <w:pPr>
        <w:ind w:left="857"/>
      </w:pPr>
      <w:r>
        <w:t>12．第12栏“最高浓度”：采用自动监测的，按照应税大气污染物浓度值的最高小时平均值，或者应税水污染物浓度值的最高日平均值填写；采用监测机构监测（含符合规定的自行监测）的，按照当月监测的应税大气污染物、水污染物的最高浓度值填写。有折算浓度值的，填写折算浓度值；没有折算浓度值的，填写实测浓度值。</w:t>
      </w:r>
    </w:p>
    <w:p>
      <w:pPr>
        <w:spacing w:after="26"/>
        <w:ind w:left="857"/>
      </w:pPr>
      <w:r>
        <w:t>13．第13栏“计算基数”：填写产品产量值或原材料耗用值。</w:t>
      </w:r>
    </w:p>
    <w:p>
      <w:pPr>
        <w:spacing w:after="26"/>
        <w:ind w:left="857"/>
      </w:pPr>
      <w:r>
        <w:t>14．第14栏“产污系数”：填写税源基础信息采集的产污系数。</w:t>
      </w:r>
    </w:p>
    <w:p>
      <w:pPr>
        <w:spacing w:after="26"/>
        <w:ind w:left="857"/>
      </w:pPr>
      <w:r>
        <w:t>15．第15栏“排污系数”：填写税源基础信息采集的排污系数。</w:t>
      </w:r>
    </w:p>
    <w:p>
      <w:pPr>
        <w:ind w:left="857"/>
      </w:pPr>
      <w:r>
        <w:t>16．第16栏“本月固体废物的产生量”：填写当月产生的应税固体废物数量。</w:t>
      </w:r>
    </w:p>
    <w:p>
      <w:pPr>
        <w:ind w:left="857"/>
      </w:pPr>
      <w:r>
        <w:t>17．第17栏“本月固体废物的贮存量”：填写当月在符合国家和地方环境保护标准的设施、场所贮存的固体废物数量。 18．第18栏“本月固体废物的处置量”：填写当月在符合国家和地方环境保护标准的设施、场所处置的固体废物数量。</w:t>
      </w:r>
    </w:p>
    <w:p>
      <w:pPr>
        <w:ind w:left="857"/>
      </w:pPr>
      <w:r>
        <w:t>19．第19栏“本月固体废物的综合利用量”：填写当月享受固体废物综合利用税收优惠的固体废物数量。</w:t>
      </w:r>
    </w:p>
    <w:p>
      <w:pPr>
        <w:ind w:left="857"/>
      </w:pPr>
      <w:r>
        <w:t>20．第20栏“噪声时段”：填写“昼间”或“夜间”，同一噪声源昼、夜均超标的，应分别填写。</w:t>
      </w:r>
    </w:p>
    <w:p>
      <w:pPr>
        <w:ind w:left="857"/>
      </w:pPr>
      <w:r>
        <w:t>21．第21栏“监测分贝数”：填写实际监测的最高分贝数，不足一分贝的按“四舍五入” 原则填写。</w:t>
      </w:r>
    </w:p>
    <w:p>
      <w:pPr>
        <w:spacing w:after="26"/>
        <w:ind w:left="857"/>
      </w:pPr>
      <w:r>
        <w:t>22．第22栏“超标不足15天”：超标天数区分昼、夜，分别计算。噪声源超标不足15昼</w:t>
      </w:r>
    </w:p>
    <w:p>
      <w:pPr>
        <w:spacing w:after="26"/>
        <w:ind w:left="857"/>
      </w:pPr>
      <w:r>
        <w:t>（夜）的，填写“是”；达到或超过15昼（夜）的，填写“否”。</w:t>
      </w:r>
    </w:p>
    <w:p>
      <w:pPr>
        <w:ind w:left="857"/>
      </w:pPr>
      <w:r>
        <w:t>23．第23栏“两处以上噪声超标”：沿边界长度超过100米有两处以上噪声超标的填写“是”；其他情况填写“否”。</w:t>
      </w:r>
    </w:p>
    <w:p>
      <w:pPr>
        <w:ind w:left="857"/>
      </w:pPr>
      <w:r>
        <w:t>24．第24栏“特征指标”：按照《中华人民共和国环境保护税法》所附《禽畜养殖业、小型企业和第三产业水污染物当量值》表和省、自治区、直辖市人民政府生态环境主管部门公布的抽样测算方法填写，如“牛”“猪”“鸡”“床”等。</w:t>
      </w:r>
    </w:p>
    <w:p>
      <w:pPr>
        <w:ind w:left="857" w:right="98"/>
      </w:pPr>
      <w:r>
        <w:t>25．第25栏“特征单位”：填写“特征指标”的具体单位，如“头”“羽”“张”“吨” 等。</w:t>
      </w:r>
    </w:p>
    <w:p>
      <w:pPr>
        <w:ind w:left="857"/>
      </w:pPr>
      <w:r>
        <w:t>26．第26栏“特征指标数量”：填写“特征指标”的数量，若“特征指标”是“牛”的，填写具体头数，如“500”。</w:t>
      </w:r>
    </w:p>
    <w:p>
      <w:pPr>
        <w:spacing w:after="26"/>
        <w:ind w:left="857"/>
      </w:pPr>
      <w:r>
        <w:t>27．第27栏“特征系数”：填写参与污染当量数计算的系数项。</w:t>
      </w:r>
    </w:p>
    <w:p>
      <w:pPr>
        <w:ind w:left="857"/>
      </w:pPr>
      <w:r>
        <w:t>28．第28栏“污染物排放量”：采用自动监测方法计算污染物排放量的，按照自动监测仪器当月读数填写，此时，该栏可不等于第9栏×第10栏。采用监测机构监测方法计算污染物排放量的，污染物排放量=废气（废水）排放量×实测浓度值÷100（1000）（注：将污染物排放量换算成千克）。采用排污系数方法计算污染物排放量的，污染物排放量=计算基数</w:t>
      </w:r>
    </w:p>
    <w:p>
      <w:pPr>
        <w:ind w:left="857"/>
      </w:pPr>
      <w:r>
        <w:t>×排污系数（或产污系数）×换算值M（注：将污染物排放量换算成千克）。“污染物单位” 为吨时，M为1000；“污染物单位”为千克时，M为1；“污染物单位”为克时，M为0.001；</w:t>
      </w:r>
    </w:p>
    <w:p>
      <w:pPr>
        <w:ind w:left="857"/>
      </w:pPr>
      <w:r>
        <w:t>“污染物单位”为毫克时，M为0.000001。采用物料衡算方法计算污染物排放量的，按纳税人适用的物料衡算方法计算填写污染物排放量（注：将污染物排放量换算成千克）。当污染物是“pH值”“大肠菌群数（超标）”“余氯量（用氯消毒的医院废水）”时，污染物排放量=废水排放量（污染物排放量换算成吨）。当污染物是“色度”时，污染物排放量=废水排放量（污染物排放量换算成吨）×色度超标倍数。本月应税固体废物的排放量（含综合利用量）=本月固体废物的产生量—本月固体废物的贮存量—本月固体废物的处置量。</w:t>
      </w:r>
    </w:p>
    <w:p>
      <w:pPr>
        <w:ind w:left="857"/>
      </w:pPr>
      <w:r>
        <w:t>29．第29栏“污染当量值（特征值）”：根据《中华人民共和国环境保护税法》附表二中污染当量值和省、自治区、直辖市人民政府生态环境主管部门公布的特征值填写。</w:t>
      </w:r>
    </w:p>
    <w:p>
      <w:pPr>
        <w:ind w:left="857"/>
      </w:pPr>
      <w:r>
        <w:t>30．第31栏“减免性质代码和项目名称”：按照税务机关最新制发的减免税政策代码表中最细项减免性质代码填写。</w:t>
      </w:r>
    </w:p>
    <w:p>
      <w:pPr>
        <w:ind w:left="857"/>
      </w:pPr>
      <w:r>
        <w:t>31．第32栏“单位税额”：根据《中华人民共和国环境保护税法》附表一和各省、自治区、直辖市公布的应税大气污染物、水污染物具体适用税额填写。</w:t>
      </w:r>
    </w:p>
    <w:p>
      <w:pPr>
        <w:ind w:left="857"/>
      </w:pPr>
      <w:r>
        <w:t>32．第34栏“本期减免税额”：享受大气污染物、水污染物减免税优惠的，本期减免税额= “污染当量数”×“单位税额”×N（N为减免幅度，包括25%、50%、100%）；享受固体废物综合利用税收优惠的，本期减免税额=“本月固体废物的综合利用量”×“单位税额”。</w:t>
      </w:r>
    </w:p>
    <w:p>
      <w:pPr>
        <w:ind w:left="857"/>
      </w:pPr>
    </w:p>
    <w:p>
      <w:pPr>
        <w:ind w:left="857"/>
      </w:pPr>
    </w:p>
    <w:p>
      <w:pPr>
        <w:ind w:left="857"/>
      </w:pPr>
      <w:r>
        <w:rPr>
          <w:rFonts w:hint="eastAsia" w:ascii="宋体" w:hAnsi="宋体" w:eastAsia="宋体" w:cs="宋体"/>
          <w:i w:val="0"/>
          <w:caps w:val="0"/>
          <w:color w:val="6E6E6E"/>
          <w:spacing w:val="0"/>
          <w:sz w:val="24"/>
          <w:szCs w:val="24"/>
          <w:u w:val="single"/>
          <w:shd w:val="clear" w:fill="FFFFFF"/>
        </w:rPr>
        <w:fldChar w:fldCharType="begin"/>
      </w:r>
      <w:r>
        <w:rPr>
          <w:rFonts w:hint="eastAsia" w:ascii="宋体" w:hAnsi="宋体" w:eastAsia="宋体" w:cs="宋体"/>
          <w:i w:val="0"/>
          <w:caps w:val="0"/>
          <w:color w:val="6E6E6E"/>
          <w:spacing w:val="0"/>
          <w:sz w:val="24"/>
          <w:szCs w:val="24"/>
          <w:u w:val="single"/>
          <w:shd w:val="clear" w:fill="FFFFFF"/>
        </w:rPr>
        <w:instrText xml:space="preserve"> HYPERLINK "http://ssfb86.com/index/News/detail/newsid/8838.html" </w:instrText>
      </w:r>
      <w:r>
        <w:rPr>
          <w:rFonts w:hint="eastAsia" w:ascii="宋体" w:hAnsi="宋体" w:eastAsia="宋体" w:cs="宋体"/>
          <w:i w:val="0"/>
          <w:caps w:val="0"/>
          <w:color w:val="6E6E6E"/>
          <w:spacing w:val="0"/>
          <w:sz w:val="24"/>
          <w:szCs w:val="24"/>
          <w:u w:val="single"/>
          <w:shd w:val="clear" w:fill="FFFFFF"/>
        </w:rPr>
        <w:fldChar w:fldCharType="separate"/>
      </w:r>
      <w:r>
        <w:rPr>
          <w:rStyle w:val="14"/>
          <w:rFonts w:hint="eastAsia" w:ascii="宋体" w:hAnsi="宋体" w:eastAsia="宋体" w:cs="宋体"/>
          <w:i w:val="0"/>
          <w:caps w:val="0"/>
          <w:color w:val="6E6E6E"/>
          <w:spacing w:val="0"/>
          <w:sz w:val="24"/>
          <w:szCs w:val="24"/>
          <w:u w:val="single"/>
          <w:shd w:val="clear" w:fill="FFFFFF"/>
        </w:rPr>
        <w:t>国家税务总局公告2021年第9号</w:t>
      </w:r>
      <w:r>
        <w:rPr>
          <w:rFonts w:hint="eastAsia" w:ascii="宋体" w:hAnsi="宋体" w:eastAsia="宋体" w:cs="宋体"/>
          <w:i w:val="0"/>
          <w:caps w:val="0"/>
          <w:color w:val="6E6E6E"/>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附件2</w:t>
      </w:r>
    </w:p>
    <w:p>
      <w:pPr>
        <w:ind w:left="857"/>
      </w:pPr>
    </w:p>
    <w:p>
      <w:pPr>
        <w:ind w:left="857"/>
      </w:pPr>
    </w:p>
    <w:p>
      <w:pPr>
        <w:pStyle w:val="3"/>
        <w:spacing w:after="0"/>
        <w:ind w:left="501" w:firstLine="0"/>
        <w:rPr>
          <w:color w:val="262626"/>
        </w:rPr>
      </w:pPr>
      <w:r>
        <w:rPr>
          <w:color w:val="262626"/>
        </w:rPr>
        <w:t>烟叶税税源明细表</w:t>
      </w:r>
    </w:p>
    <w:p>
      <w:pPr>
        <w:tabs>
          <w:tab w:val="center" w:pos="1792"/>
          <w:tab w:val="center" w:pos="3682"/>
          <w:tab w:val="center" w:pos="5257"/>
        </w:tabs>
        <w:spacing w:after="112"/>
        <w:ind w:left="0" w:firstLine="0"/>
        <w:rPr>
          <w:rFonts w:ascii="Calibri" w:hAnsi="Calibri" w:cs="Calibri" w:eastAsiaTheme="minorEastAsia"/>
          <w:sz w:val="22"/>
        </w:rPr>
      </w:pPr>
      <w:r>
        <w:rPr>
          <w:rFonts w:ascii="Calibri" w:hAnsi="Calibri" w:eastAsia="Calibri" w:cs="Calibri"/>
          <w:sz w:val="22"/>
        </w:rPr>
        <w:tab/>
      </w:r>
    </w:p>
    <w:p>
      <w:pPr>
        <w:tabs>
          <w:tab w:val="center" w:pos="1792"/>
          <w:tab w:val="center" w:pos="3682"/>
          <w:tab w:val="center" w:pos="5257"/>
        </w:tabs>
        <w:spacing w:after="112"/>
        <w:ind w:left="0" w:firstLine="945" w:firstLineChars="450"/>
      </w:pPr>
      <w:r>
        <w:t>税款所属期限：自</w:t>
      </w:r>
      <w:r>
        <w:tab/>
      </w:r>
      <w:r>
        <w:t>年月日至</w:t>
      </w:r>
      <w:r>
        <w:tab/>
      </w:r>
      <w:r>
        <w:t>年月日</w:t>
      </w:r>
    </w:p>
    <w:p>
      <w:pPr>
        <w:spacing w:after="90"/>
        <w:ind w:left="963"/>
      </w:pPr>
      <w:r>
        <w:t>纳税人识别号（统一社会信用代码）：□□□□□□□□□□□□□□□□□□</w:t>
      </w:r>
    </w:p>
    <w:p>
      <w:pPr>
        <w:tabs>
          <w:tab w:val="center" w:pos="1582"/>
          <w:tab w:val="right" w:pos="9670"/>
        </w:tabs>
        <w:ind w:left="0" w:firstLine="0"/>
      </w:pPr>
      <w:r>
        <w:rPr>
          <w:rFonts w:ascii="Calibri" w:hAnsi="Calibri" w:eastAsia="Calibri" w:cs="Calibri"/>
          <w:sz w:val="22"/>
        </w:rPr>
        <w:tab/>
      </w:r>
      <w:r>
        <w:t>纳税人名称：</w:t>
      </w:r>
      <w:r>
        <w:tab/>
      </w:r>
      <w:r>
        <w:t>金额单位：人民币元（列至角分）</w:t>
      </w:r>
    </w:p>
    <w:tbl>
      <w:tblPr>
        <w:tblStyle w:val="18"/>
        <w:tblW w:w="8829" w:type="dxa"/>
        <w:tblInd w:w="844" w:type="dxa"/>
        <w:tblLayout w:type="autofit"/>
        <w:tblCellMar>
          <w:top w:w="59" w:type="dxa"/>
          <w:left w:w="349" w:type="dxa"/>
          <w:bottom w:w="0" w:type="dxa"/>
          <w:right w:w="115" w:type="dxa"/>
        </w:tblCellMar>
      </w:tblPr>
      <w:tblGrid>
        <w:gridCol w:w="1117"/>
        <w:gridCol w:w="3443"/>
        <w:gridCol w:w="4269"/>
      </w:tblGrid>
      <w:tr>
        <w:tblPrEx>
          <w:tblCellMar>
            <w:top w:w="59" w:type="dxa"/>
            <w:left w:w="349" w:type="dxa"/>
            <w:bottom w:w="0" w:type="dxa"/>
            <w:right w:w="115" w:type="dxa"/>
          </w:tblCellMar>
        </w:tblPrEx>
        <w:trPr>
          <w:trHeight w:val="601" w:hRule="atLeast"/>
        </w:trPr>
        <w:tc>
          <w:tcPr>
            <w:tcW w:w="111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t>序号</w:t>
            </w:r>
          </w:p>
        </w:tc>
        <w:tc>
          <w:tcPr>
            <w:tcW w:w="344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38" w:firstLine="0"/>
              <w:jc w:val="center"/>
            </w:pPr>
            <w:r>
              <w:t>烟叶收购价款总额</w:t>
            </w:r>
          </w:p>
        </w:tc>
        <w:tc>
          <w:tcPr>
            <w:tcW w:w="426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39" w:firstLine="0"/>
              <w:jc w:val="center"/>
            </w:pPr>
            <w:r>
              <w:t>税率</w:t>
            </w:r>
          </w:p>
        </w:tc>
      </w:tr>
      <w:tr>
        <w:tblPrEx>
          <w:tblCellMar>
            <w:top w:w="59" w:type="dxa"/>
            <w:left w:w="349" w:type="dxa"/>
            <w:bottom w:w="0" w:type="dxa"/>
            <w:right w:w="115" w:type="dxa"/>
          </w:tblCellMar>
        </w:tblPrEx>
        <w:trPr>
          <w:trHeight w:val="336" w:hRule="atLeast"/>
        </w:trPr>
        <w:tc>
          <w:tcPr>
            <w:tcW w:w="1117" w:type="dxa"/>
            <w:tcBorders>
              <w:top w:val="single" w:color="000000" w:sz="4" w:space="0"/>
              <w:left w:val="single" w:color="000000" w:sz="4" w:space="0"/>
              <w:bottom w:val="single" w:color="000000" w:sz="4" w:space="0"/>
              <w:right w:val="single" w:color="000000" w:sz="4" w:space="0"/>
            </w:tcBorders>
          </w:tcPr>
          <w:p>
            <w:pPr>
              <w:spacing w:after="0" w:line="259" w:lineRule="auto"/>
              <w:ind w:left="0" w:right="236" w:firstLine="0"/>
              <w:jc w:val="center"/>
            </w:pPr>
            <w:r>
              <w:rPr>
                <w:sz w:val="22"/>
              </w:rPr>
              <w:t>1</w:t>
            </w:r>
          </w:p>
        </w:tc>
        <w:tc>
          <w:tcPr>
            <w:tcW w:w="344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2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9" w:type="dxa"/>
            <w:left w:w="349" w:type="dxa"/>
            <w:bottom w:w="0" w:type="dxa"/>
            <w:right w:w="115" w:type="dxa"/>
          </w:tblCellMar>
        </w:tblPrEx>
        <w:trPr>
          <w:trHeight w:val="336" w:hRule="atLeast"/>
        </w:trPr>
        <w:tc>
          <w:tcPr>
            <w:tcW w:w="1117" w:type="dxa"/>
            <w:tcBorders>
              <w:top w:val="single" w:color="000000" w:sz="4" w:space="0"/>
              <w:left w:val="single" w:color="000000" w:sz="4" w:space="0"/>
              <w:bottom w:val="single" w:color="000000" w:sz="4" w:space="0"/>
              <w:right w:val="single" w:color="000000" w:sz="4" w:space="0"/>
            </w:tcBorders>
          </w:tcPr>
          <w:p>
            <w:pPr>
              <w:spacing w:after="0" w:line="259" w:lineRule="auto"/>
              <w:ind w:left="0" w:right="236" w:firstLine="0"/>
              <w:jc w:val="center"/>
            </w:pPr>
            <w:r>
              <w:rPr>
                <w:sz w:val="22"/>
              </w:rPr>
              <w:t>2</w:t>
            </w:r>
          </w:p>
        </w:tc>
        <w:tc>
          <w:tcPr>
            <w:tcW w:w="344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2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9" w:type="dxa"/>
            <w:left w:w="349" w:type="dxa"/>
            <w:bottom w:w="0" w:type="dxa"/>
            <w:right w:w="115" w:type="dxa"/>
          </w:tblCellMar>
        </w:tblPrEx>
        <w:trPr>
          <w:trHeight w:val="336" w:hRule="atLeast"/>
        </w:trPr>
        <w:tc>
          <w:tcPr>
            <w:tcW w:w="1117" w:type="dxa"/>
            <w:tcBorders>
              <w:top w:val="single" w:color="000000" w:sz="4" w:space="0"/>
              <w:left w:val="single" w:color="000000" w:sz="4" w:space="0"/>
              <w:bottom w:val="single" w:color="000000" w:sz="4" w:space="0"/>
              <w:right w:val="single" w:color="000000" w:sz="4" w:space="0"/>
            </w:tcBorders>
          </w:tcPr>
          <w:p>
            <w:pPr>
              <w:spacing w:after="0" w:line="259" w:lineRule="auto"/>
              <w:ind w:left="0" w:right="236" w:firstLine="0"/>
              <w:jc w:val="center"/>
            </w:pPr>
            <w:r>
              <w:rPr>
                <w:sz w:val="22"/>
              </w:rPr>
              <w:t>3</w:t>
            </w:r>
          </w:p>
        </w:tc>
        <w:tc>
          <w:tcPr>
            <w:tcW w:w="344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2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9" w:type="dxa"/>
            <w:left w:w="349" w:type="dxa"/>
            <w:bottom w:w="0" w:type="dxa"/>
            <w:right w:w="115" w:type="dxa"/>
          </w:tblCellMar>
        </w:tblPrEx>
        <w:trPr>
          <w:trHeight w:val="336" w:hRule="atLeast"/>
        </w:trPr>
        <w:tc>
          <w:tcPr>
            <w:tcW w:w="1117" w:type="dxa"/>
            <w:tcBorders>
              <w:top w:val="single" w:color="000000" w:sz="4" w:space="0"/>
              <w:left w:val="single" w:color="000000" w:sz="4" w:space="0"/>
              <w:bottom w:val="single" w:color="000000" w:sz="4" w:space="0"/>
              <w:right w:val="single" w:color="000000" w:sz="4" w:space="0"/>
            </w:tcBorders>
          </w:tcPr>
          <w:p>
            <w:pPr>
              <w:spacing w:after="0" w:line="259" w:lineRule="auto"/>
              <w:ind w:left="0" w:right="236" w:firstLine="0"/>
              <w:jc w:val="center"/>
            </w:pPr>
            <w:r>
              <w:rPr>
                <w:sz w:val="22"/>
              </w:rPr>
              <w:t>4</w:t>
            </w:r>
          </w:p>
        </w:tc>
        <w:tc>
          <w:tcPr>
            <w:tcW w:w="344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2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9" w:type="dxa"/>
            <w:left w:w="349" w:type="dxa"/>
            <w:bottom w:w="0" w:type="dxa"/>
            <w:right w:w="115" w:type="dxa"/>
          </w:tblCellMar>
        </w:tblPrEx>
        <w:trPr>
          <w:trHeight w:val="336" w:hRule="atLeast"/>
        </w:trPr>
        <w:tc>
          <w:tcPr>
            <w:tcW w:w="1117" w:type="dxa"/>
            <w:tcBorders>
              <w:top w:val="single" w:color="000000" w:sz="4" w:space="0"/>
              <w:left w:val="single" w:color="000000" w:sz="4" w:space="0"/>
              <w:bottom w:val="single" w:color="000000" w:sz="4" w:space="0"/>
              <w:right w:val="single" w:color="000000" w:sz="4" w:space="0"/>
            </w:tcBorders>
          </w:tcPr>
          <w:p>
            <w:pPr>
              <w:spacing w:after="0" w:line="259" w:lineRule="auto"/>
              <w:ind w:left="0" w:right="236" w:firstLine="0"/>
              <w:jc w:val="center"/>
            </w:pPr>
            <w:r>
              <w:rPr>
                <w:sz w:val="22"/>
              </w:rPr>
              <w:t>5</w:t>
            </w:r>
          </w:p>
        </w:tc>
        <w:tc>
          <w:tcPr>
            <w:tcW w:w="344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2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9" w:type="dxa"/>
            <w:left w:w="349" w:type="dxa"/>
            <w:bottom w:w="0" w:type="dxa"/>
            <w:right w:w="115" w:type="dxa"/>
          </w:tblCellMar>
        </w:tblPrEx>
        <w:trPr>
          <w:trHeight w:val="336" w:hRule="atLeast"/>
        </w:trPr>
        <w:tc>
          <w:tcPr>
            <w:tcW w:w="1117" w:type="dxa"/>
            <w:tcBorders>
              <w:top w:val="single" w:color="000000" w:sz="4" w:space="0"/>
              <w:left w:val="single" w:color="000000" w:sz="4" w:space="0"/>
              <w:bottom w:val="single" w:color="000000" w:sz="4" w:space="0"/>
              <w:right w:val="single" w:color="000000" w:sz="4" w:space="0"/>
            </w:tcBorders>
          </w:tcPr>
          <w:p>
            <w:pPr>
              <w:spacing w:after="0" w:line="259" w:lineRule="auto"/>
              <w:ind w:left="0" w:right="236" w:firstLine="0"/>
              <w:jc w:val="center"/>
            </w:pPr>
            <w:r>
              <w:rPr>
                <w:sz w:val="22"/>
              </w:rPr>
              <w:t>6</w:t>
            </w:r>
          </w:p>
        </w:tc>
        <w:tc>
          <w:tcPr>
            <w:tcW w:w="344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2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26"/>
        <w:ind w:left="855"/>
      </w:pPr>
      <w:r>
        <w:t>填表说明：</w:t>
      </w:r>
    </w:p>
    <w:p>
      <w:pPr>
        <w:spacing w:after="26"/>
        <w:ind w:left="855"/>
      </w:pPr>
      <w:r>
        <w:t>1.税款所属期限：纳税人申报烟叶税所属期的起止时间，应填写具体的年、月、日。</w:t>
      </w:r>
    </w:p>
    <w:p>
      <w:pPr>
        <w:spacing w:after="26"/>
        <w:ind w:left="855"/>
      </w:pPr>
      <w:r>
        <w:t>2.烟叶收购价款总额：必填。填写纳税人收购烟叶实际支付的价款总额。</w:t>
      </w:r>
    </w:p>
    <w:p>
      <w:pPr>
        <w:ind w:left="855"/>
      </w:pPr>
      <w:r>
        <w:t>3.税率：填写烟叶税适用税率。烟叶税的税率为20%。</w:t>
      </w:r>
    </w:p>
    <w:sectPr>
      <w:footerReference r:id="rId10" w:type="first"/>
      <w:footerReference r:id="rId8" w:type="default"/>
      <w:footerReference r:id="rId9" w:type="even"/>
      <w:pgSz w:w="11906" w:h="16838"/>
      <w:pgMar w:top="991" w:right="1283" w:bottom="1212" w:left="953" w:header="720" w:footer="6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14"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19</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14"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18</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14"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13</w:t>
    </w:r>
    <w:r>
      <w:rPr>
        <w:rFonts w:ascii="Times New Roman" w:hAnsi="Times New Roman" w:eastAsia="Times New Roman" w:cs="Times New Roman"/>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2"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35</w:t>
    </w:r>
    <w:r>
      <w:rPr>
        <w:rFonts w:ascii="Times New Roman" w:hAnsi="Times New Roman" w:eastAsia="Times New Roman" w:cs="Times New Roman"/>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2"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34</w:t>
    </w:r>
    <w:r>
      <w:rPr>
        <w:rFonts w:ascii="Times New Roman" w:hAnsi="Times New Roman" w:eastAsia="Times New Roman" w:cs="Times New Roman"/>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2"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18</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7" w:lineRule="auto"/>
      </w:pPr>
      <w:r>
        <w:separator/>
      </w:r>
    </w:p>
  </w:footnote>
  <w:footnote w:type="continuationSeparator" w:id="1">
    <w:p>
      <w:pPr>
        <w:spacing w:before="0" w:after="0" w:line="26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D70E1"/>
    <w:multiLevelType w:val="multilevel"/>
    <w:tmpl w:val="154D70E1"/>
    <w:lvl w:ilvl="0" w:tentative="0">
      <w:start w:val="5"/>
      <w:numFmt w:val="decimal"/>
      <w:lvlText w:val="%1."/>
      <w:lvlJc w:val="left"/>
      <w:pPr>
        <w:ind w:left="314"/>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
    <w:nsid w:val="251D7AB2"/>
    <w:multiLevelType w:val="multilevel"/>
    <w:tmpl w:val="251D7AB2"/>
    <w:lvl w:ilvl="0" w:tentative="0">
      <w:start w:val="1"/>
      <w:numFmt w:val="ideographDigital"/>
      <w:lvlText w:val="（%1）"/>
      <w:lvlJc w:val="left"/>
      <w:pPr>
        <w:ind w:left="1094"/>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391A5BF4"/>
    <w:multiLevelType w:val="multilevel"/>
    <w:tmpl w:val="391A5BF4"/>
    <w:lvl w:ilvl="0" w:tentative="0">
      <w:start w:val="3"/>
      <w:numFmt w:val="ideographDigital"/>
      <w:lvlText w:val="%1、"/>
      <w:lvlJc w:val="left"/>
      <w:pPr>
        <w:ind w:left="873"/>
      </w:pPr>
      <w:rPr>
        <w:rFonts w:ascii="宋体" w:hAnsi="宋体" w:eastAsia="宋体" w:cs="宋体"/>
        <w:b w:val="0"/>
        <w:i w:val="0"/>
        <w:strike w:val="0"/>
        <w:dstrike w:val="0"/>
        <w:color w:val="262626"/>
        <w:sz w:val="21"/>
        <w:szCs w:val="21"/>
        <w:u w:val="single" w:color="262626"/>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262626"/>
        <w:sz w:val="21"/>
        <w:szCs w:val="21"/>
        <w:u w:val="single" w:color="262626"/>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262626"/>
        <w:sz w:val="21"/>
        <w:szCs w:val="21"/>
        <w:u w:val="single" w:color="262626"/>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262626"/>
        <w:sz w:val="21"/>
        <w:szCs w:val="21"/>
        <w:u w:val="single" w:color="262626"/>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262626"/>
        <w:sz w:val="21"/>
        <w:szCs w:val="21"/>
        <w:u w:val="single" w:color="262626"/>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262626"/>
        <w:sz w:val="21"/>
        <w:szCs w:val="21"/>
        <w:u w:val="single" w:color="262626"/>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262626"/>
        <w:sz w:val="21"/>
        <w:szCs w:val="21"/>
        <w:u w:val="single" w:color="262626"/>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262626"/>
        <w:sz w:val="21"/>
        <w:szCs w:val="21"/>
        <w:u w:val="single" w:color="262626"/>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262626"/>
        <w:sz w:val="21"/>
        <w:szCs w:val="21"/>
        <w:u w:val="single" w:color="262626"/>
        <w:shd w:val="clear" w:color="auto" w:fill="auto"/>
        <w:vertAlign w:val="baseline"/>
      </w:rPr>
    </w:lvl>
  </w:abstractNum>
  <w:abstractNum w:abstractNumId="3">
    <w:nsid w:val="4D0870F2"/>
    <w:multiLevelType w:val="multilevel"/>
    <w:tmpl w:val="4D0870F2"/>
    <w:lvl w:ilvl="0" w:tentative="0">
      <w:start w:val="1"/>
      <w:numFmt w:val="decimal"/>
      <w:lvlText w:val="(%1)"/>
      <w:lvlJc w:val="left"/>
      <w:pPr>
        <w:ind w:left="421"/>
      </w:pPr>
      <w:rPr>
        <w:rFonts w:ascii="宋体" w:hAnsi="宋体" w:eastAsia="宋体" w:cs="宋体"/>
        <w:b w:val="0"/>
        <w:i w:val="0"/>
        <w:strike w:val="0"/>
        <w:dstrike w:val="0"/>
        <w:color w:val="262626"/>
        <w:sz w:val="21"/>
        <w:szCs w:val="21"/>
        <w:u w:val="none" w:color="000000"/>
        <w:shd w:val="clear" w:color="auto" w:fill="auto"/>
        <w:vertAlign w:val="baseline"/>
      </w:rPr>
    </w:lvl>
    <w:lvl w:ilvl="1" w:tentative="0">
      <w:start w:val="1"/>
      <w:numFmt w:val="lowerLetter"/>
      <w:lvlText w:val="%2"/>
      <w:lvlJc w:val="left"/>
      <w:pPr>
        <w:ind w:left="1095"/>
      </w:pPr>
      <w:rPr>
        <w:rFonts w:ascii="宋体" w:hAnsi="宋体" w:eastAsia="宋体" w:cs="宋体"/>
        <w:b w:val="0"/>
        <w:i w:val="0"/>
        <w:strike w:val="0"/>
        <w:dstrike w:val="0"/>
        <w:color w:val="262626"/>
        <w:sz w:val="21"/>
        <w:szCs w:val="21"/>
        <w:u w:val="none" w:color="000000"/>
        <w:shd w:val="clear" w:color="auto" w:fill="auto"/>
        <w:vertAlign w:val="baseline"/>
      </w:rPr>
    </w:lvl>
    <w:lvl w:ilvl="2" w:tentative="0">
      <w:start w:val="1"/>
      <w:numFmt w:val="lowerRoman"/>
      <w:lvlText w:val="%3"/>
      <w:lvlJc w:val="left"/>
      <w:pPr>
        <w:ind w:left="1815"/>
      </w:pPr>
      <w:rPr>
        <w:rFonts w:ascii="宋体" w:hAnsi="宋体" w:eastAsia="宋体" w:cs="宋体"/>
        <w:b w:val="0"/>
        <w:i w:val="0"/>
        <w:strike w:val="0"/>
        <w:dstrike w:val="0"/>
        <w:color w:val="262626"/>
        <w:sz w:val="21"/>
        <w:szCs w:val="21"/>
        <w:u w:val="none" w:color="000000"/>
        <w:shd w:val="clear" w:color="auto" w:fill="auto"/>
        <w:vertAlign w:val="baseline"/>
      </w:rPr>
    </w:lvl>
    <w:lvl w:ilvl="3" w:tentative="0">
      <w:start w:val="1"/>
      <w:numFmt w:val="decimal"/>
      <w:lvlText w:val="%4"/>
      <w:lvlJc w:val="left"/>
      <w:pPr>
        <w:ind w:left="2535"/>
      </w:pPr>
      <w:rPr>
        <w:rFonts w:ascii="宋体" w:hAnsi="宋体" w:eastAsia="宋体" w:cs="宋体"/>
        <w:b w:val="0"/>
        <w:i w:val="0"/>
        <w:strike w:val="0"/>
        <w:dstrike w:val="0"/>
        <w:color w:val="262626"/>
        <w:sz w:val="21"/>
        <w:szCs w:val="21"/>
        <w:u w:val="none" w:color="000000"/>
        <w:shd w:val="clear" w:color="auto" w:fill="auto"/>
        <w:vertAlign w:val="baseline"/>
      </w:rPr>
    </w:lvl>
    <w:lvl w:ilvl="4" w:tentative="0">
      <w:start w:val="1"/>
      <w:numFmt w:val="lowerLetter"/>
      <w:lvlText w:val="%5"/>
      <w:lvlJc w:val="left"/>
      <w:pPr>
        <w:ind w:left="3255"/>
      </w:pPr>
      <w:rPr>
        <w:rFonts w:ascii="宋体" w:hAnsi="宋体" w:eastAsia="宋体" w:cs="宋体"/>
        <w:b w:val="0"/>
        <w:i w:val="0"/>
        <w:strike w:val="0"/>
        <w:dstrike w:val="0"/>
        <w:color w:val="262626"/>
        <w:sz w:val="21"/>
        <w:szCs w:val="21"/>
        <w:u w:val="none" w:color="000000"/>
        <w:shd w:val="clear" w:color="auto" w:fill="auto"/>
        <w:vertAlign w:val="baseline"/>
      </w:rPr>
    </w:lvl>
    <w:lvl w:ilvl="5" w:tentative="0">
      <w:start w:val="1"/>
      <w:numFmt w:val="lowerRoman"/>
      <w:lvlText w:val="%6"/>
      <w:lvlJc w:val="left"/>
      <w:pPr>
        <w:ind w:left="3975"/>
      </w:pPr>
      <w:rPr>
        <w:rFonts w:ascii="宋体" w:hAnsi="宋体" w:eastAsia="宋体" w:cs="宋体"/>
        <w:b w:val="0"/>
        <w:i w:val="0"/>
        <w:strike w:val="0"/>
        <w:dstrike w:val="0"/>
        <w:color w:val="262626"/>
        <w:sz w:val="21"/>
        <w:szCs w:val="21"/>
        <w:u w:val="none" w:color="000000"/>
        <w:shd w:val="clear" w:color="auto" w:fill="auto"/>
        <w:vertAlign w:val="baseline"/>
      </w:rPr>
    </w:lvl>
    <w:lvl w:ilvl="6" w:tentative="0">
      <w:start w:val="1"/>
      <w:numFmt w:val="decimal"/>
      <w:lvlText w:val="%7"/>
      <w:lvlJc w:val="left"/>
      <w:pPr>
        <w:ind w:left="4695"/>
      </w:pPr>
      <w:rPr>
        <w:rFonts w:ascii="宋体" w:hAnsi="宋体" w:eastAsia="宋体" w:cs="宋体"/>
        <w:b w:val="0"/>
        <w:i w:val="0"/>
        <w:strike w:val="0"/>
        <w:dstrike w:val="0"/>
        <w:color w:val="262626"/>
        <w:sz w:val="21"/>
        <w:szCs w:val="21"/>
        <w:u w:val="none" w:color="000000"/>
        <w:shd w:val="clear" w:color="auto" w:fill="auto"/>
        <w:vertAlign w:val="baseline"/>
      </w:rPr>
    </w:lvl>
    <w:lvl w:ilvl="7" w:tentative="0">
      <w:start w:val="1"/>
      <w:numFmt w:val="lowerLetter"/>
      <w:lvlText w:val="%8"/>
      <w:lvlJc w:val="left"/>
      <w:pPr>
        <w:ind w:left="5415"/>
      </w:pPr>
      <w:rPr>
        <w:rFonts w:ascii="宋体" w:hAnsi="宋体" w:eastAsia="宋体" w:cs="宋体"/>
        <w:b w:val="0"/>
        <w:i w:val="0"/>
        <w:strike w:val="0"/>
        <w:dstrike w:val="0"/>
        <w:color w:val="262626"/>
        <w:sz w:val="21"/>
        <w:szCs w:val="21"/>
        <w:u w:val="none" w:color="000000"/>
        <w:shd w:val="clear" w:color="auto" w:fill="auto"/>
        <w:vertAlign w:val="baseline"/>
      </w:rPr>
    </w:lvl>
    <w:lvl w:ilvl="8" w:tentative="0">
      <w:start w:val="1"/>
      <w:numFmt w:val="lowerRoman"/>
      <w:lvlText w:val="%9"/>
      <w:lvlJc w:val="left"/>
      <w:pPr>
        <w:ind w:left="6135"/>
      </w:pPr>
      <w:rPr>
        <w:rFonts w:ascii="宋体" w:hAnsi="宋体" w:eastAsia="宋体" w:cs="宋体"/>
        <w:b w:val="0"/>
        <w:i w:val="0"/>
        <w:strike w:val="0"/>
        <w:dstrike w:val="0"/>
        <w:color w:val="262626"/>
        <w:sz w:val="21"/>
        <w:szCs w:val="21"/>
        <w:u w:val="none" w:color="000000"/>
        <w:shd w:val="clear" w:color="auto" w:fill="auto"/>
        <w:vertAlign w:val="baseline"/>
      </w:rPr>
    </w:lvl>
  </w:abstractNum>
  <w:abstractNum w:abstractNumId="4">
    <w:nsid w:val="58A45954"/>
    <w:multiLevelType w:val="multilevel"/>
    <w:tmpl w:val="58A45954"/>
    <w:lvl w:ilvl="0" w:tentative="0">
      <w:start w:val="1"/>
      <w:numFmt w:val="ideographDigital"/>
      <w:lvlText w:val="（%1）"/>
      <w:lvlJc w:val="left"/>
      <w:pPr>
        <w:ind w:left="1094"/>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5">
    <w:nsid w:val="614D03D0"/>
    <w:multiLevelType w:val="multilevel"/>
    <w:tmpl w:val="614D03D0"/>
    <w:lvl w:ilvl="0" w:tentative="0">
      <w:start w:val="1"/>
      <w:numFmt w:val="ideographDigital"/>
      <w:lvlText w:val="（%1）"/>
      <w:lvlJc w:val="left"/>
      <w:pPr>
        <w:ind w:left="1094"/>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6">
    <w:nsid w:val="6FFF5561"/>
    <w:multiLevelType w:val="multilevel"/>
    <w:tmpl w:val="6FFF5561"/>
    <w:lvl w:ilvl="0" w:tentative="0">
      <w:start w:val="1"/>
      <w:numFmt w:val="japaneseCounting"/>
      <w:lvlText w:val="第%1，"/>
      <w:lvlJc w:val="left"/>
      <w:pPr>
        <w:ind w:left="1587" w:hanging="756"/>
      </w:pPr>
      <w:rPr>
        <w:rFonts w:hint="default"/>
      </w:rPr>
    </w:lvl>
    <w:lvl w:ilvl="1" w:tentative="0">
      <w:start w:val="1"/>
      <w:numFmt w:val="lowerLetter"/>
      <w:lvlText w:val="%2)"/>
      <w:lvlJc w:val="left"/>
      <w:pPr>
        <w:ind w:left="1671" w:hanging="420"/>
      </w:pPr>
    </w:lvl>
    <w:lvl w:ilvl="2" w:tentative="0">
      <w:start w:val="1"/>
      <w:numFmt w:val="lowerRoman"/>
      <w:lvlText w:val="%3."/>
      <w:lvlJc w:val="right"/>
      <w:pPr>
        <w:ind w:left="2091" w:hanging="420"/>
      </w:pPr>
    </w:lvl>
    <w:lvl w:ilvl="3" w:tentative="0">
      <w:start w:val="1"/>
      <w:numFmt w:val="decimal"/>
      <w:lvlText w:val="%4."/>
      <w:lvlJc w:val="left"/>
      <w:pPr>
        <w:ind w:left="2511" w:hanging="420"/>
      </w:pPr>
    </w:lvl>
    <w:lvl w:ilvl="4" w:tentative="0">
      <w:start w:val="1"/>
      <w:numFmt w:val="lowerLetter"/>
      <w:lvlText w:val="%5)"/>
      <w:lvlJc w:val="left"/>
      <w:pPr>
        <w:ind w:left="2931" w:hanging="420"/>
      </w:pPr>
    </w:lvl>
    <w:lvl w:ilvl="5" w:tentative="0">
      <w:start w:val="1"/>
      <w:numFmt w:val="lowerRoman"/>
      <w:lvlText w:val="%6."/>
      <w:lvlJc w:val="right"/>
      <w:pPr>
        <w:ind w:left="3351" w:hanging="420"/>
      </w:pPr>
    </w:lvl>
    <w:lvl w:ilvl="6" w:tentative="0">
      <w:start w:val="1"/>
      <w:numFmt w:val="decimal"/>
      <w:lvlText w:val="%7."/>
      <w:lvlJc w:val="left"/>
      <w:pPr>
        <w:ind w:left="3771" w:hanging="420"/>
      </w:pPr>
    </w:lvl>
    <w:lvl w:ilvl="7" w:tentative="0">
      <w:start w:val="1"/>
      <w:numFmt w:val="lowerLetter"/>
      <w:lvlText w:val="%8)"/>
      <w:lvlJc w:val="left"/>
      <w:pPr>
        <w:ind w:left="4191" w:hanging="420"/>
      </w:pPr>
    </w:lvl>
    <w:lvl w:ilvl="8" w:tentative="0">
      <w:start w:val="1"/>
      <w:numFmt w:val="lowerRoman"/>
      <w:lvlText w:val="%9."/>
      <w:lvlJc w:val="right"/>
      <w:pPr>
        <w:ind w:left="4611" w:hanging="420"/>
      </w:pPr>
    </w:lvl>
  </w:abstractNum>
  <w:abstractNum w:abstractNumId="7">
    <w:nsid w:val="73DD31E9"/>
    <w:multiLevelType w:val="multilevel"/>
    <w:tmpl w:val="73DD31E9"/>
    <w:lvl w:ilvl="0" w:tentative="0">
      <w:start w:val="1"/>
      <w:numFmt w:val="ideographDigital"/>
      <w:lvlText w:val="（%1）"/>
      <w:lvlJc w:val="left"/>
      <w:pPr>
        <w:ind w:left="1094"/>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8">
    <w:nsid w:val="78A356C6"/>
    <w:multiLevelType w:val="multilevel"/>
    <w:tmpl w:val="78A356C6"/>
    <w:lvl w:ilvl="0" w:tentative="0">
      <w:start w:val="1"/>
      <w:numFmt w:val="ideographDigital"/>
      <w:lvlText w:val="（%1）"/>
      <w:lvlJc w:val="left"/>
      <w:pPr>
        <w:ind w:left="120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0"/>
  </w:num>
  <w:num w:numId="2">
    <w:abstractNumId w:val="3"/>
  </w:num>
  <w:num w:numId="3">
    <w:abstractNumId w:val="1"/>
  </w:num>
  <w:num w:numId="4">
    <w:abstractNumId w:val="5"/>
  </w:num>
  <w:num w:numId="5">
    <w:abstractNumId w:val="2"/>
  </w:num>
  <w:num w:numId="6">
    <w:abstractNumId w:val="7"/>
  </w:num>
  <w:num w:numId="7">
    <w:abstractNumId w:val="8"/>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TczMTlmZGQwMDlkNjE0Y2E2NDViNmNjNWY1ZmYifQ=="/>
  </w:docVars>
  <w:rsids>
    <w:rsidRoot w:val="004E035F"/>
    <w:rsid w:val="00006159"/>
    <w:rsid w:val="00016F87"/>
    <w:rsid w:val="00017CB2"/>
    <w:rsid w:val="00037007"/>
    <w:rsid w:val="0004782B"/>
    <w:rsid w:val="00047E71"/>
    <w:rsid w:val="00065F1E"/>
    <w:rsid w:val="000747F2"/>
    <w:rsid w:val="00094A3A"/>
    <w:rsid w:val="00095014"/>
    <w:rsid w:val="000B07F3"/>
    <w:rsid w:val="000B3F0A"/>
    <w:rsid w:val="00106634"/>
    <w:rsid w:val="001136A9"/>
    <w:rsid w:val="00133965"/>
    <w:rsid w:val="001710DD"/>
    <w:rsid w:val="001A057D"/>
    <w:rsid w:val="001D444E"/>
    <w:rsid w:val="001F7E3D"/>
    <w:rsid w:val="002161B5"/>
    <w:rsid w:val="00252210"/>
    <w:rsid w:val="00262B06"/>
    <w:rsid w:val="0027577A"/>
    <w:rsid w:val="00277D5D"/>
    <w:rsid w:val="0029700F"/>
    <w:rsid w:val="002B1938"/>
    <w:rsid w:val="002C339B"/>
    <w:rsid w:val="002E014B"/>
    <w:rsid w:val="002E7655"/>
    <w:rsid w:val="0030537B"/>
    <w:rsid w:val="00323BD1"/>
    <w:rsid w:val="003269A5"/>
    <w:rsid w:val="00326B7D"/>
    <w:rsid w:val="00327EDE"/>
    <w:rsid w:val="00333246"/>
    <w:rsid w:val="003505B1"/>
    <w:rsid w:val="00395253"/>
    <w:rsid w:val="003B66B1"/>
    <w:rsid w:val="003D40C5"/>
    <w:rsid w:val="00402986"/>
    <w:rsid w:val="00416FE6"/>
    <w:rsid w:val="00426F18"/>
    <w:rsid w:val="00434988"/>
    <w:rsid w:val="004429AD"/>
    <w:rsid w:val="004906D5"/>
    <w:rsid w:val="004A2104"/>
    <w:rsid w:val="004D1E48"/>
    <w:rsid w:val="004E035F"/>
    <w:rsid w:val="004F60FA"/>
    <w:rsid w:val="00500D84"/>
    <w:rsid w:val="0050120E"/>
    <w:rsid w:val="00501F36"/>
    <w:rsid w:val="00517927"/>
    <w:rsid w:val="005327D2"/>
    <w:rsid w:val="00581B8A"/>
    <w:rsid w:val="005A7D4C"/>
    <w:rsid w:val="005C7475"/>
    <w:rsid w:val="00627202"/>
    <w:rsid w:val="00631F4D"/>
    <w:rsid w:val="00644CC6"/>
    <w:rsid w:val="00647D95"/>
    <w:rsid w:val="006559CD"/>
    <w:rsid w:val="00660384"/>
    <w:rsid w:val="006655B2"/>
    <w:rsid w:val="0068157F"/>
    <w:rsid w:val="00695F12"/>
    <w:rsid w:val="006B7460"/>
    <w:rsid w:val="006C5B26"/>
    <w:rsid w:val="006E5B2B"/>
    <w:rsid w:val="006E6044"/>
    <w:rsid w:val="00702DB4"/>
    <w:rsid w:val="0070654E"/>
    <w:rsid w:val="0071133F"/>
    <w:rsid w:val="00721F0B"/>
    <w:rsid w:val="00730CEE"/>
    <w:rsid w:val="007435D2"/>
    <w:rsid w:val="00790B65"/>
    <w:rsid w:val="007963A3"/>
    <w:rsid w:val="007A5778"/>
    <w:rsid w:val="007C4532"/>
    <w:rsid w:val="007C47D8"/>
    <w:rsid w:val="007E7DEE"/>
    <w:rsid w:val="007F254C"/>
    <w:rsid w:val="00807230"/>
    <w:rsid w:val="00814B70"/>
    <w:rsid w:val="00815A37"/>
    <w:rsid w:val="00820803"/>
    <w:rsid w:val="00826D33"/>
    <w:rsid w:val="00855F8F"/>
    <w:rsid w:val="00862C1A"/>
    <w:rsid w:val="00873E7D"/>
    <w:rsid w:val="008841E0"/>
    <w:rsid w:val="0089200D"/>
    <w:rsid w:val="00892CF6"/>
    <w:rsid w:val="008962C4"/>
    <w:rsid w:val="008A4341"/>
    <w:rsid w:val="008B0140"/>
    <w:rsid w:val="008D56BC"/>
    <w:rsid w:val="00902E7D"/>
    <w:rsid w:val="009902D4"/>
    <w:rsid w:val="00991A80"/>
    <w:rsid w:val="009C2D39"/>
    <w:rsid w:val="009D1AE7"/>
    <w:rsid w:val="009D27AB"/>
    <w:rsid w:val="009D5661"/>
    <w:rsid w:val="00A05B0F"/>
    <w:rsid w:val="00A14726"/>
    <w:rsid w:val="00A17CB2"/>
    <w:rsid w:val="00A532AF"/>
    <w:rsid w:val="00A6154D"/>
    <w:rsid w:val="00A667BF"/>
    <w:rsid w:val="00A701B7"/>
    <w:rsid w:val="00A72F4A"/>
    <w:rsid w:val="00A903AB"/>
    <w:rsid w:val="00AA4CF0"/>
    <w:rsid w:val="00AA6BB9"/>
    <w:rsid w:val="00AC10E2"/>
    <w:rsid w:val="00AD5189"/>
    <w:rsid w:val="00B25FC6"/>
    <w:rsid w:val="00B706AA"/>
    <w:rsid w:val="00B976F5"/>
    <w:rsid w:val="00BA3AD1"/>
    <w:rsid w:val="00BE1D6B"/>
    <w:rsid w:val="00BE7432"/>
    <w:rsid w:val="00C128FA"/>
    <w:rsid w:val="00C3104C"/>
    <w:rsid w:val="00C351DD"/>
    <w:rsid w:val="00C427D1"/>
    <w:rsid w:val="00C51FEE"/>
    <w:rsid w:val="00C856A4"/>
    <w:rsid w:val="00CB2100"/>
    <w:rsid w:val="00CD2EBF"/>
    <w:rsid w:val="00CD3837"/>
    <w:rsid w:val="00CD6FDB"/>
    <w:rsid w:val="00CE29AB"/>
    <w:rsid w:val="00CE4E08"/>
    <w:rsid w:val="00D8014A"/>
    <w:rsid w:val="00D83E00"/>
    <w:rsid w:val="00DA1653"/>
    <w:rsid w:val="00DB5002"/>
    <w:rsid w:val="00DC2EEF"/>
    <w:rsid w:val="00DD602D"/>
    <w:rsid w:val="00DE4562"/>
    <w:rsid w:val="00DF6A52"/>
    <w:rsid w:val="00E251BB"/>
    <w:rsid w:val="00E3015D"/>
    <w:rsid w:val="00E32F22"/>
    <w:rsid w:val="00E44D6F"/>
    <w:rsid w:val="00E55FBF"/>
    <w:rsid w:val="00E57117"/>
    <w:rsid w:val="00E72AAB"/>
    <w:rsid w:val="00E915E1"/>
    <w:rsid w:val="00E93126"/>
    <w:rsid w:val="00E96016"/>
    <w:rsid w:val="00EC48BF"/>
    <w:rsid w:val="00ED13FA"/>
    <w:rsid w:val="00ED3A3D"/>
    <w:rsid w:val="00F10E07"/>
    <w:rsid w:val="00F16885"/>
    <w:rsid w:val="00F24C7B"/>
    <w:rsid w:val="00F34BD9"/>
    <w:rsid w:val="00F40441"/>
    <w:rsid w:val="00F4797C"/>
    <w:rsid w:val="00F621E0"/>
    <w:rsid w:val="00FE150D"/>
    <w:rsid w:val="00FF3930"/>
    <w:rsid w:val="0C1D1585"/>
    <w:rsid w:val="1A0663B0"/>
    <w:rsid w:val="24CA70D0"/>
    <w:rsid w:val="2FD850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67" w:lineRule="auto"/>
      <w:ind w:left="10" w:hanging="10"/>
    </w:pPr>
    <w:rPr>
      <w:rFonts w:ascii="宋体" w:hAnsi="宋体" w:eastAsia="宋体" w:cs="宋体"/>
      <w:color w:val="000000"/>
      <w:kern w:val="2"/>
      <w:sz w:val="21"/>
      <w:szCs w:val="22"/>
      <w:lang w:val="en-US" w:eastAsia="zh-CN" w:bidi="ar-SA"/>
    </w:rPr>
  </w:style>
  <w:style w:type="paragraph" w:styleId="2">
    <w:name w:val="heading 1"/>
    <w:next w:val="1"/>
    <w:link w:val="15"/>
    <w:qFormat/>
    <w:uiPriority w:val="9"/>
    <w:pPr>
      <w:keepNext/>
      <w:keepLines/>
      <w:spacing w:line="259" w:lineRule="auto"/>
      <w:ind w:right="4673"/>
      <w:jc w:val="right"/>
      <w:outlineLvl w:val="0"/>
    </w:pPr>
    <w:rPr>
      <w:rFonts w:ascii="微软雅黑" w:hAnsi="微软雅黑" w:eastAsia="微软雅黑" w:cs="微软雅黑"/>
      <w:color w:val="000000"/>
      <w:kern w:val="2"/>
      <w:sz w:val="44"/>
      <w:szCs w:val="22"/>
      <w:lang w:val="en-US" w:eastAsia="zh-CN" w:bidi="ar-SA"/>
    </w:rPr>
  </w:style>
  <w:style w:type="paragraph" w:styleId="3">
    <w:name w:val="heading 2"/>
    <w:next w:val="1"/>
    <w:link w:val="16"/>
    <w:unhideWhenUsed/>
    <w:qFormat/>
    <w:uiPriority w:val="9"/>
    <w:pPr>
      <w:keepNext/>
      <w:keepLines/>
      <w:spacing w:after="30" w:line="259" w:lineRule="auto"/>
      <w:ind w:left="262" w:hanging="10"/>
      <w:jc w:val="center"/>
      <w:outlineLvl w:val="1"/>
    </w:pPr>
    <w:rPr>
      <w:rFonts w:ascii="黑体" w:hAnsi="黑体" w:eastAsia="黑体" w:cs="黑体"/>
      <w:color w:val="000000"/>
      <w:kern w:val="2"/>
      <w:sz w:val="30"/>
      <w:szCs w:val="22"/>
      <w:lang w:val="en-US" w:eastAsia="zh-CN" w:bidi="ar-SA"/>
    </w:rPr>
  </w:style>
  <w:style w:type="paragraph" w:styleId="4">
    <w:name w:val="heading 3"/>
    <w:next w:val="1"/>
    <w:link w:val="17"/>
    <w:unhideWhenUsed/>
    <w:qFormat/>
    <w:uiPriority w:val="9"/>
    <w:pPr>
      <w:keepNext/>
      <w:keepLines/>
      <w:spacing w:after="30" w:line="259" w:lineRule="auto"/>
      <w:ind w:left="262" w:hanging="10"/>
      <w:jc w:val="center"/>
      <w:outlineLvl w:val="2"/>
    </w:pPr>
    <w:rPr>
      <w:rFonts w:ascii="黑体" w:hAnsi="黑体" w:eastAsia="黑体" w:cs="黑体"/>
      <w:color w:val="000000"/>
      <w:kern w:val="2"/>
      <w:sz w:val="30"/>
      <w:szCs w:val="22"/>
      <w:lang w:val="en-US" w:eastAsia="zh-CN" w:bidi="ar-SA"/>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0"/>
    <w:semiHidden/>
    <w:unhideWhenUsed/>
    <w:qFormat/>
    <w:uiPriority w:val="99"/>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nhideWhenUsed/>
    <w:qFormat/>
    <w:uiPriority w:val="99"/>
    <w:pPr>
      <w:spacing w:before="100" w:beforeAutospacing="1" w:after="100" w:afterAutospacing="1" w:line="240" w:lineRule="auto"/>
      <w:ind w:left="0" w:firstLine="0"/>
    </w:pPr>
    <w:rPr>
      <w:color w:val="auto"/>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rPr>
  </w:style>
  <w:style w:type="character" w:styleId="13">
    <w:name w:val="Emphasis"/>
    <w:basedOn w:val="10"/>
    <w:qFormat/>
    <w:uiPriority w:val="20"/>
    <w:rPr>
      <w:i/>
      <w:iCs/>
    </w:rPr>
  </w:style>
  <w:style w:type="character" w:styleId="14">
    <w:name w:val="Hyperlink"/>
    <w:basedOn w:val="10"/>
    <w:unhideWhenUsed/>
    <w:qFormat/>
    <w:uiPriority w:val="99"/>
    <w:rPr>
      <w:color w:val="0563C1" w:themeColor="hyperlink"/>
      <w:u w:val="single"/>
    </w:rPr>
  </w:style>
  <w:style w:type="character" w:customStyle="1" w:styleId="15">
    <w:name w:val="标题 1 Char"/>
    <w:link w:val="2"/>
    <w:uiPriority w:val="0"/>
    <w:rPr>
      <w:rFonts w:ascii="微软雅黑" w:hAnsi="微软雅黑" w:eastAsia="微软雅黑" w:cs="微软雅黑"/>
      <w:color w:val="000000"/>
      <w:sz w:val="44"/>
    </w:rPr>
  </w:style>
  <w:style w:type="character" w:customStyle="1" w:styleId="16">
    <w:name w:val="标题 2 Char"/>
    <w:link w:val="3"/>
    <w:uiPriority w:val="0"/>
    <w:rPr>
      <w:rFonts w:ascii="黑体" w:hAnsi="黑体" w:eastAsia="黑体" w:cs="黑体"/>
      <w:color w:val="000000"/>
      <w:sz w:val="30"/>
    </w:rPr>
  </w:style>
  <w:style w:type="character" w:customStyle="1" w:styleId="17">
    <w:name w:val="标题 3 Char"/>
    <w:link w:val="4"/>
    <w:qFormat/>
    <w:uiPriority w:val="0"/>
    <w:rPr>
      <w:rFonts w:ascii="黑体" w:hAnsi="黑体" w:eastAsia="黑体" w:cs="黑体"/>
      <w:color w:val="000000"/>
      <w:sz w:val="30"/>
    </w:rPr>
  </w:style>
  <w:style w:type="table" w:customStyle="1" w:styleId="18">
    <w:name w:val="TableGrid"/>
    <w:qFormat/>
    <w:uiPriority w:val="0"/>
    <w:tblPr>
      <w:tblCellMar>
        <w:top w:w="0" w:type="dxa"/>
        <w:left w:w="0" w:type="dxa"/>
        <w:bottom w:w="0" w:type="dxa"/>
        <w:right w:w="0" w:type="dxa"/>
      </w:tblCellMar>
    </w:tblPr>
  </w:style>
  <w:style w:type="character" w:customStyle="1" w:styleId="19">
    <w:name w:val="页眉 Char"/>
    <w:basedOn w:val="10"/>
    <w:link w:val="7"/>
    <w:qFormat/>
    <w:uiPriority w:val="99"/>
    <w:rPr>
      <w:rFonts w:ascii="宋体" w:hAnsi="宋体" w:eastAsia="宋体" w:cs="宋体"/>
      <w:color w:val="000000"/>
      <w:sz w:val="18"/>
      <w:szCs w:val="18"/>
    </w:rPr>
  </w:style>
  <w:style w:type="character" w:customStyle="1" w:styleId="20">
    <w:name w:val="文档结构图 Char"/>
    <w:basedOn w:val="10"/>
    <w:link w:val="6"/>
    <w:semiHidden/>
    <w:qFormat/>
    <w:uiPriority w:val="99"/>
    <w:rPr>
      <w:rFonts w:ascii="宋体" w:hAnsi="宋体" w:eastAsia="宋体" w:cs="宋体"/>
      <w:color w:val="000000"/>
      <w:sz w:val="18"/>
      <w:szCs w:val="18"/>
    </w:rPr>
  </w:style>
  <w:style w:type="paragraph" w:styleId="21">
    <w:name w:val="List Paragraph"/>
    <w:basedOn w:val="1"/>
    <w:qFormat/>
    <w:uiPriority w:val="34"/>
    <w:pPr>
      <w:ind w:firstLine="420" w:firstLineChars="200"/>
    </w:pPr>
  </w:style>
  <w:style w:type="character" w:customStyle="1" w:styleId="22">
    <w:name w:val="Unresolved Mention"/>
    <w:basedOn w:val="10"/>
    <w:semiHidden/>
    <w:unhideWhenUsed/>
    <w:qFormat/>
    <w:uiPriority w:val="99"/>
    <w:rPr>
      <w:color w:val="605E5C"/>
      <w:shd w:val="clear" w:color="auto" w:fill="E1DFDD"/>
    </w:rPr>
  </w:style>
  <w:style w:type="character" w:customStyle="1" w:styleId="23">
    <w:name w:val="标题 4 Char"/>
    <w:basedOn w:val="10"/>
    <w:link w:val="5"/>
    <w:semiHidden/>
    <w:qFormat/>
    <w:uiPriority w:val="9"/>
    <w:rPr>
      <w:rFonts w:asciiTheme="majorHAnsi" w:hAnsiTheme="majorHAnsi" w:eastAsiaTheme="majorEastAsia" w:cstheme="majorBidi"/>
      <w:b/>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60</Pages>
  <Words>7245</Words>
  <Characters>41298</Characters>
  <Lines>344</Lines>
  <Paragraphs>96</Paragraphs>
  <TotalTime>4</TotalTime>
  <ScaleCrop>false</ScaleCrop>
  <LinksUpToDate>false</LinksUpToDate>
  <CharactersWithSpaces>48447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2021-11-04T01:07:00Z</dcterms:created>
  <dc:creator>guest</dc:creator>
  <cp:lastModifiedBy>tsuser</cp:lastModifiedBy>
  <dcterms:modified xsi:type="dcterms:W3CDTF">2022-07-01T11:04:39Z</dcterms:modified>
  <dc:title>I</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F295363B4F3C4E22A8075AB473D7294B</vt:lpwstr>
  </property>
</Properties>
</file>