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25EA3" w14:textId="77777777" w:rsidR="0096678F" w:rsidRDefault="00000000">
      <w:pPr>
        <w:spacing w:after="5184" w:line="353" w:lineRule="auto"/>
        <w:ind w:left="0" w:firstLine="0"/>
        <w:jc w:val="center"/>
        <w:rPr>
          <w:rFonts w:hint="eastAsia"/>
        </w:rPr>
      </w:pPr>
      <w:r>
        <w:rPr>
          <w:rFonts w:ascii="微软雅黑" w:eastAsia="微软雅黑" w:hAnsi="微软雅黑" w:cs="微软雅黑"/>
          <w:sz w:val="52"/>
        </w:rPr>
        <w:t>跨境电</w:t>
      </w:r>
      <w:proofErr w:type="gramStart"/>
      <w:r>
        <w:rPr>
          <w:rFonts w:ascii="微软雅黑" w:eastAsia="微软雅黑" w:hAnsi="微软雅黑" w:cs="微软雅黑"/>
          <w:sz w:val="52"/>
        </w:rPr>
        <w:t>商出口海外仓出口</w:t>
      </w:r>
      <w:proofErr w:type="gramEnd"/>
      <w:r>
        <w:rPr>
          <w:rFonts w:ascii="微软雅黑" w:eastAsia="微软雅黑" w:hAnsi="微软雅黑" w:cs="微软雅黑"/>
          <w:sz w:val="52"/>
        </w:rPr>
        <w:t>退（免）</w:t>
      </w:r>
      <w:proofErr w:type="gramStart"/>
      <w:r>
        <w:rPr>
          <w:rFonts w:ascii="微软雅黑" w:eastAsia="微软雅黑" w:hAnsi="微软雅黑" w:cs="微软雅黑"/>
          <w:sz w:val="52"/>
        </w:rPr>
        <w:t>税操作</w:t>
      </w:r>
      <w:proofErr w:type="gramEnd"/>
      <w:r>
        <w:rPr>
          <w:rFonts w:ascii="微软雅黑" w:eastAsia="微软雅黑" w:hAnsi="微软雅黑" w:cs="微软雅黑"/>
          <w:sz w:val="52"/>
        </w:rPr>
        <w:t>指引</w:t>
      </w:r>
    </w:p>
    <w:p w14:paraId="63E576DE" w14:textId="77777777" w:rsidR="0096678F" w:rsidRDefault="00000000">
      <w:pPr>
        <w:spacing w:after="111" w:line="259" w:lineRule="auto"/>
        <w:ind w:right="74"/>
        <w:jc w:val="center"/>
        <w:rPr>
          <w:rFonts w:hint="eastAsia"/>
        </w:rPr>
      </w:pPr>
      <w:r>
        <w:rPr>
          <w:rFonts w:ascii="楷体" w:eastAsia="楷体" w:hAnsi="楷体" w:cs="楷体"/>
        </w:rPr>
        <w:t>国家税务总局货物和劳务税司</w:t>
      </w:r>
    </w:p>
    <w:p w14:paraId="750E12D0" w14:textId="77777777" w:rsidR="0096678F" w:rsidRDefault="00000000">
      <w:pPr>
        <w:spacing w:after="111" w:line="259" w:lineRule="auto"/>
        <w:ind w:right="77"/>
        <w:jc w:val="center"/>
        <w:rPr>
          <w:rFonts w:hint="eastAsia"/>
        </w:rPr>
      </w:pPr>
      <w:r>
        <w:rPr>
          <w:rFonts w:ascii="楷体" w:eastAsia="楷体" w:hAnsi="楷体" w:cs="楷体"/>
        </w:rPr>
        <w:t>2024年8月</w:t>
      </w:r>
    </w:p>
    <w:p w14:paraId="37F4B28B" w14:textId="77777777" w:rsidR="0096678F" w:rsidRDefault="00000000">
      <w:pPr>
        <w:spacing w:after="652" w:line="259" w:lineRule="auto"/>
        <w:ind w:left="0" w:right="62" w:firstLine="0"/>
        <w:jc w:val="center"/>
        <w:rPr>
          <w:rFonts w:hint="eastAsia"/>
        </w:rPr>
      </w:pPr>
      <w:r>
        <w:rPr>
          <w:rFonts w:ascii="微软雅黑" w:eastAsia="微软雅黑" w:hAnsi="微软雅黑" w:cs="微软雅黑"/>
          <w:sz w:val="44"/>
        </w:rPr>
        <w:t>前 言</w:t>
      </w:r>
    </w:p>
    <w:p w14:paraId="41725770" w14:textId="77777777" w:rsidR="0096678F" w:rsidRDefault="00000000">
      <w:pPr>
        <w:spacing w:after="1904"/>
        <w:ind w:left="-15" w:firstLine="641"/>
        <w:rPr>
          <w:rFonts w:hint="eastAsia"/>
        </w:rPr>
      </w:pPr>
      <w:r>
        <w:t>为深入贯彻国务院关于推动跨境电</w:t>
      </w:r>
      <w:proofErr w:type="gramStart"/>
      <w:r>
        <w:t>商持续</w:t>
      </w:r>
      <w:proofErr w:type="gramEnd"/>
      <w:r>
        <w:t>健康发展的工作部署，切实落实《商务部 财政部 税务总局等9部门关于拓展跨境电商出口推进海外仓建设的意见》（</w:t>
      </w:r>
      <w:proofErr w:type="gramStart"/>
      <w:r>
        <w:t>商贸发</w:t>
      </w:r>
      <w:proofErr w:type="gramEnd"/>
      <w:r>
        <w:t>〔2024〕125号）的相关要求，积极加快培育外贸新动能，特组织编写《跨境电商出口海外仓出口退（免）税操作指引》，旨在为跨境电</w:t>
      </w:r>
      <w:proofErr w:type="gramStart"/>
      <w:r>
        <w:t>商出口海外仓企业</w:t>
      </w:r>
      <w:proofErr w:type="gramEnd"/>
      <w:r>
        <w:t>提供详实办税指导，</w:t>
      </w:r>
      <w:r>
        <w:lastRenderedPageBreak/>
        <w:t>帮助企业深入准确理解出口退（免）税政策规定，熟练掌握出口退（免）税业务办理操作流程，更好地适应行业发展新形势，促进跨境电</w:t>
      </w:r>
      <w:proofErr w:type="gramStart"/>
      <w:r>
        <w:t>商出口海外仓业</w:t>
      </w:r>
      <w:proofErr w:type="gramEnd"/>
      <w:r>
        <w:t>态蓬勃发展。</w:t>
      </w:r>
    </w:p>
    <w:p w14:paraId="5A912E77" w14:textId="77777777" w:rsidR="0096678F" w:rsidRDefault="00000000">
      <w:pPr>
        <w:spacing w:after="109" w:line="259" w:lineRule="auto"/>
        <w:ind w:right="396"/>
        <w:jc w:val="right"/>
        <w:rPr>
          <w:rFonts w:hint="eastAsia"/>
        </w:rPr>
      </w:pPr>
      <w:r>
        <w:t>国家税务总局货物和劳务税司</w:t>
      </w:r>
    </w:p>
    <w:p w14:paraId="0EB06FB6" w14:textId="77777777" w:rsidR="0096678F" w:rsidRDefault="00000000">
      <w:pPr>
        <w:spacing w:line="259" w:lineRule="auto"/>
        <w:ind w:left="5196"/>
        <w:rPr>
          <w:rFonts w:hint="eastAsia"/>
        </w:rPr>
      </w:pPr>
      <w:r>
        <w:t>2024年8月</w:t>
      </w:r>
    </w:p>
    <w:p w14:paraId="21BA62D9" w14:textId="77777777" w:rsidR="0096678F" w:rsidRDefault="00000000">
      <w:pPr>
        <w:spacing w:after="770" w:line="265" w:lineRule="auto"/>
        <w:ind w:right="77"/>
        <w:jc w:val="center"/>
        <w:rPr>
          <w:rFonts w:hint="eastAsia"/>
        </w:rPr>
      </w:pPr>
      <w:r>
        <w:rPr>
          <w:rFonts w:ascii="微软雅黑" w:eastAsia="微软雅黑" w:hAnsi="微软雅黑" w:cs="微软雅黑"/>
          <w:sz w:val="36"/>
        </w:rPr>
        <w:t>目 录</w:t>
      </w:r>
    </w:p>
    <w:sdt>
      <w:sdtPr>
        <w:rPr>
          <w:rFonts w:ascii="仿宋" w:eastAsia="仿宋" w:hAnsi="仿宋" w:cs="仿宋"/>
        </w:rPr>
        <w:id w:val="-1710022570"/>
        <w:docPartObj>
          <w:docPartGallery w:val="Table of Contents"/>
        </w:docPartObj>
      </w:sdtPr>
      <w:sdtContent>
        <w:p w14:paraId="066EEE7C" w14:textId="77777777" w:rsidR="0096678F" w:rsidRDefault="00000000">
          <w:pPr>
            <w:pStyle w:val="TOC1"/>
            <w:tabs>
              <w:tab w:val="right" w:leader="dot" w:pos="8381"/>
            </w:tabs>
          </w:pPr>
          <w:r>
            <w:fldChar w:fldCharType="begin"/>
          </w:r>
          <w:r>
            <w:instrText xml:space="preserve"> TOC \o "1-3" \h \z \u </w:instrText>
          </w:r>
          <w:r>
            <w:fldChar w:fldCharType="separate"/>
          </w:r>
          <w:hyperlink w:anchor="_Toc8049">
            <w:r>
              <w:rPr>
                <w:rFonts w:ascii="黑体" w:eastAsia="黑体" w:hAnsi="黑体" w:cs="黑体"/>
              </w:rPr>
              <w:t>一、基本概述</w:t>
            </w:r>
            <w:r>
              <w:tab/>
            </w:r>
            <w:r>
              <w:fldChar w:fldCharType="begin"/>
            </w:r>
            <w:r>
              <w:instrText>PAGEREF _Toc8049 \h</w:instrText>
            </w:r>
            <w:r>
              <w:fldChar w:fldCharType="separate"/>
            </w:r>
            <w:r>
              <w:rPr>
                <w:rFonts w:ascii="黑体" w:eastAsia="黑体" w:hAnsi="黑体" w:cs="黑体"/>
              </w:rPr>
              <w:t>1</w:t>
            </w:r>
            <w:r>
              <w:fldChar w:fldCharType="end"/>
            </w:r>
          </w:hyperlink>
        </w:p>
        <w:p w14:paraId="68BFC1BE" w14:textId="77777777" w:rsidR="0096678F" w:rsidRDefault="00000000">
          <w:pPr>
            <w:pStyle w:val="TOC1"/>
            <w:tabs>
              <w:tab w:val="right" w:leader="dot" w:pos="8381"/>
            </w:tabs>
          </w:pPr>
          <w:hyperlink w:anchor="_Toc8050">
            <w:r>
              <w:rPr>
                <w:rFonts w:ascii="黑体" w:eastAsia="黑体" w:hAnsi="黑体" w:cs="黑体"/>
              </w:rPr>
              <w:t>二、出口退（免）税操作</w:t>
            </w:r>
            <w:r>
              <w:tab/>
            </w:r>
            <w:r>
              <w:fldChar w:fldCharType="begin"/>
            </w:r>
            <w:r>
              <w:instrText>PAGEREF _Toc8050 \h</w:instrText>
            </w:r>
            <w:r>
              <w:fldChar w:fldCharType="separate"/>
            </w:r>
            <w:r>
              <w:rPr>
                <w:rFonts w:ascii="黑体" w:eastAsia="黑体" w:hAnsi="黑体" w:cs="黑体"/>
              </w:rPr>
              <w:t>3</w:t>
            </w:r>
            <w:r>
              <w:fldChar w:fldCharType="end"/>
            </w:r>
          </w:hyperlink>
        </w:p>
        <w:p w14:paraId="1F7886CB" w14:textId="77777777" w:rsidR="0096678F" w:rsidRDefault="00000000">
          <w:pPr>
            <w:pStyle w:val="TOC2"/>
            <w:tabs>
              <w:tab w:val="right" w:leader="dot" w:pos="8381"/>
            </w:tabs>
          </w:pPr>
          <w:hyperlink w:anchor="_Toc8051">
            <w:r>
              <w:rPr>
                <w:rFonts w:ascii="楷体" w:eastAsia="楷体" w:hAnsi="楷体" w:cs="楷体"/>
              </w:rPr>
              <w:t>（一）出口退（免）税备案</w:t>
            </w:r>
            <w:r>
              <w:tab/>
            </w:r>
            <w:r>
              <w:fldChar w:fldCharType="begin"/>
            </w:r>
            <w:r>
              <w:instrText>PAGEREF _Toc8051 \h</w:instrText>
            </w:r>
            <w:r>
              <w:fldChar w:fldCharType="separate"/>
            </w:r>
            <w:r>
              <w:rPr>
                <w:rFonts w:ascii="楷体" w:eastAsia="楷体" w:hAnsi="楷体" w:cs="楷体"/>
              </w:rPr>
              <w:t>3</w:t>
            </w:r>
            <w:r>
              <w:fldChar w:fldCharType="end"/>
            </w:r>
          </w:hyperlink>
        </w:p>
        <w:p w14:paraId="6DD7DB61" w14:textId="77777777" w:rsidR="0096678F" w:rsidRDefault="00000000">
          <w:pPr>
            <w:pStyle w:val="TOC3"/>
            <w:tabs>
              <w:tab w:val="right" w:leader="dot" w:pos="8381"/>
            </w:tabs>
          </w:pPr>
          <w:hyperlink w:anchor="_Toc8052">
            <w:r>
              <w:rPr>
                <w:rFonts w:ascii="仿宋" w:eastAsia="仿宋" w:hAnsi="仿宋" w:cs="仿宋"/>
              </w:rPr>
              <w:t>1.基本规定</w:t>
            </w:r>
            <w:r>
              <w:tab/>
            </w:r>
            <w:r>
              <w:fldChar w:fldCharType="begin"/>
            </w:r>
            <w:r>
              <w:instrText>PAGEREF _Toc8052 \h</w:instrText>
            </w:r>
            <w:r>
              <w:fldChar w:fldCharType="separate"/>
            </w:r>
            <w:r>
              <w:rPr>
                <w:rFonts w:ascii="仿宋" w:eastAsia="仿宋" w:hAnsi="仿宋" w:cs="仿宋"/>
              </w:rPr>
              <w:t>3</w:t>
            </w:r>
            <w:r>
              <w:fldChar w:fldCharType="end"/>
            </w:r>
          </w:hyperlink>
        </w:p>
        <w:p w14:paraId="0D081CF1" w14:textId="77777777" w:rsidR="0096678F" w:rsidRDefault="00000000">
          <w:pPr>
            <w:pStyle w:val="TOC3"/>
            <w:tabs>
              <w:tab w:val="right" w:leader="dot" w:pos="8381"/>
            </w:tabs>
          </w:pPr>
          <w:hyperlink w:anchor="_Toc8053">
            <w:r>
              <w:rPr>
                <w:rFonts w:ascii="仿宋" w:eastAsia="仿宋" w:hAnsi="仿宋" w:cs="仿宋"/>
              </w:rPr>
              <w:t>2.信息系统的操作流程</w:t>
            </w:r>
            <w:r>
              <w:tab/>
            </w:r>
            <w:r>
              <w:fldChar w:fldCharType="begin"/>
            </w:r>
            <w:r>
              <w:instrText>PAGEREF _Toc8053 \h</w:instrText>
            </w:r>
            <w:r>
              <w:fldChar w:fldCharType="separate"/>
            </w:r>
            <w:r>
              <w:rPr>
                <w:rFonts w:ascii="仿宋" w:eastAsia="仿宋" w:hAnsi="仿宋" w:cs="仿宋"/>
              </w:rPr>
              <w:t>4</w:t>
            </w:r>
            <w:r>
              <w:fldChar w:fldCharType="end"/>
            </w:r>
          </w:hyperlink>
        </w:p>
        <w:p w14:paraId="0B4AF10B" w14:textId="77777777" w:rsidR="0096678F" w:rsidRDefault="00000000">
          <w:pPr>
            <w:pStyle w:val="TOC2"/>
            <w:tabs>
              <w:tab w:val="right" w:leader="dot" w:pos="8381"/>
            </w:tabs>
          </w:pPr>
          <w:hyperlink w:anchor="_Toc8054">
            <w:r>
              <w:rPr>
                <w:rFonts w:ascii="楷体" w:eastAsia="楷体" w:hAnsi="楷体" w:cs="楷体"/>
              </w:rPr>
              <w:t>（二）出口退（免）税申报办理</w:t>
            </w:r>
            <w:r>
              <w:tab/>
            </w:r>
            <w:r>
              <w:fldChar w:fldCharType="begin"/>
            </w:r>
            <w:r>
              <w:instrText>PAGEREF _Toc8054 \h</w:instrText>
            </w:r>
            <w:r>
              <w:fldChar w:fldCharType="separate"/>
            </w:r>
            <w:r>
              <w:rPr>
                <w:rFonts w:ascii="楷体" w:eastAsia="楷体" w:hAnsi="楷体" w:cs="楷体"/>
              </w:rPr>
              <w:t>5</w:t>
            </w:r>
            <w:r>
              <w:fldChar w:fldCharType="end"/>
            </w:r>
          </w:hyperlink>
        </w:p>
        <w:p w14:paraId="550DDBE8" w14:textId="77777777" w:rsidR="0096678F" w:rsidRDefault="00000000">
          <w:pPr>
            <w:pStyle w:val="TOC3"/>
            <w:tabs>
              <w:tab w:val="right" w:leader="dot" w:pos="8381"/>
            </w:tabs>
          </w:pPr>
          <w:hyperlink w:anchor="_Toc8055">
            <w:r>
              <w:rPr>
                <w:rFonts w:ascii="仿宋" w:eastAsia="仿宋" w:hAnsi="仿宋" w:cs="仿宋"/>
              </w:rPr>
              <w:t>1.基本规定</w:t>
            </w:r>
            <w:r>
              <w:tab/>
            </w:r>
            <w:r>
              <w:fldChar w:fldCharType="begin"/>
            </w:r>
            <w:r>
              <w:instrText>PAGEREF _Toc8055 \h</w:instrText>
            </w:r>
            <w:r>
              <w:fldChar w:fldCharType="separate"/>
            </w:r>
            <w:r>
              <w:rPr>
                <w:rFonts w:ascii="仿宋" w:eastAsia="仿宋" w:hAnsi="仿宋" w:cs="仿宋"/>
              </w:rPr>
              <w:t>5</w:t>
            </w:r>
            <w:r>
              <w:fldChar w:fldCharType="end"/>
            </w:r>
          </w:hyperlink>
        </w:p>
        <w:p w14:paraId="0FBA33DE" w14:textId="77777777" w:rsidR="0096678F" w:rsidRDefault="00000000">
          <w:pPr>
            <w:pStyle w:val="TOC3"/>
            <w:tabs>
              <w:tab w:val="right" w:leader="dot" w:pos="8381"/>
            </w:tabs>
          </w:pPr>
          <w:hyperlink w:anchor="_Toc8056">
            <w:r>
              <w:rPr>
                <w:rFonts w:ascii="仿宋" w:eastAsia="仿宋" w:hAnsi="仿宋" w:cs="仿宋"/>
              </w:rPr>
              <w:t>2.信息系统的操作流程</w:t>
            </w:r>
            <w:r>
              <w:tab/>
            </w:r>
            <w:r>
              <w:fldChar w:fldCharType="begin"/>
            </w:r>
            <w:r>
              <w:instrText>PAGEREF _Toc8056 \h</w:instrText>
            </w:r>
            <w:r>
              <w:fldChar w:fldCharType="separate"/>
            </w:r>
            <w:r>
              <w:rPr>
                <w:rFonts w:ascii="仿宋" w:eastAsia="仿宋" w:hAnsi="仿宋" w:cs="仿宋"/>
              </w:rPr>
              <w:t>7</w:t>
            </w:r>
            <w:r>
              <w:fldChar w:fldCharType="end"/>
            </w:r>
          </w:hyperlink>
        </w:p>
        <w:p w14:paraId="7564844B" w14:textId="77777777" w:rsidR="0096678F" w:rsidRDefault="00000000">
          <w:pPr>
            <w:pStyle w:val="TOC2"/>
            <w:tabs>
              <w:tab w:val="right" w:leader="dot" w:pos="8381"/>
            </w:tabs>
          </w:pPr>
          <w:hyperlink w:anchor="_Toc8057">
            <w:r>
              <w:rPr>
                <w:rFonts w:ascii="楷体" w:eastAsia="楷体" w:hAnsi="楷体" w:cs="楷体"/>
              </w:rPr>
              <w:t>（三）出口退（免）税备案单证管理</w:t>
            </w:r>
            <w:r>
              <w:tab/>
            </w:r>
            <w:r>
              <w:fldChar w:fldCharType="begin"/>
            </w:r>
            <w:r>
              <w:instrText>PAGEREF _Toc8057 \h</w:instrText>
            </w:r>
            <w:r>
              <w:fldChar w:fldCharType="separate"/>
            </w:r>
            <w:r>
              <w:rPr>
                <w:rFonts w:ascii="楷体" w:eastAsia="楷体" w:hAnsi="楷体" w:cs="楷体"/>
              </w:rPr>
              <w:t>8</w:t>
            </w:r>
            <w:r>
              <w:fldChar w:fldCharType="end"/>
            </w:r>
          </w:hyperlink>
        </w:p>
        <w:p w14:paraId="2C341760" w14:textId="77777777" w:rsidR="0096678F" w:rsidRDefault="00000000">
          <w:pPr>
            <w:pStyle w:val="TOC2"/>
            <w:tabs>
              <w:tab w:val="right" w:leader="dot" w:pos="8381"/>
            </w:tabs>
          </w:pPr>
          <w:hyperlink w:anchor="_Toc8058">
            <w:r>
              <w:rPr>
                <w:rFonts w:ascii="楷体" w:eastAsia="楷体" w:hAnsi="楷体" w:cs="楷体"/>
              </w:rPr>
              <w:t>（四）出口退（免）税收汇要求</w:t>
            </w:r>
            <w:r>
              <w:tab/>
            </w:r>
            <w:r>
              <w:fldChar w:fldCharType="begin"/>
            </w:r>
            <w:r>
              <w:instrText>PAGEREF _Toc8058 \h</w:instrText>
            </w:r>
            <w:r>
              <w:fldChar w:fldCharType="separate"/>
            </w:r>
            <w:r>
              <w:rPr>
                <w:rFonts w:ascii="楷体" w:eastAsia="楷体" w:hAnsi="楷体" w:cs="楷体"/>
              </w:rPr>
              <w:t>9</w:t>
            </w:r>
            <w:r>
              <w:fldChar w:fldCharType="end"/>
            </w:r>
          </w:hyperlink>
        </w:p>
        <w:p w14:paraId="65718787" w14:textId="77777777" w:rsidR="0096678F" w:rsidRDefault="00000000">
          <w:pPr>
            <w:pStyle w:val="TOC3"/>
            <w:tabs>
              <w:tab w:val="right" w:leader="dot" w:pos="8381"/>
            </w:tabs>
          </w:pPr>
          <w:hyperlink w:anchor="_Toc8059">
            <w:r>
              <w:rPr>
                <w:rFonts w:ascii="仿宋" w:eastAsia="仿宋" w:hAnsi="仿宋" w:cs="仿宋"/>
              </w:rPr>
              <w:t>1.关于收汇期限</w:t>
            </w:r>
            <w:r>
              <w:tab/>
            </w:r>
            <w:r>
              <w:fldChar w:fldCharType="begin"/>
            </w:r>
            <w:r>
              <w:instrText>PAGEREF _Toc8059 \h</w:instrText>
            </w:r>
            <w:r>
              <w:fldChar w:fldCharType="separate"/>
            </w:r>
            <w:r>
              <w:rPr>
                <w:rFonts w:ascii="仿宋" w:eastAsia="仿宋" w:hAnsi="仿宋" w:cs="仿宋"/>
              </w:rPr>
              <w:t>9</w:t>
            </w:r>
            <w:r>
              <w:fldChar w:fldCharType="end"/>
            </w:r>
          </w:hyperlink>
        </w:p>
        <w:p w14:paraId="4F693516" w14:textId="77777777" w:rsidR="0096678F" w:rsidRDefault="00000000">
          <w:pPr>
            <w:pStyle w:val="TOC3"/>
            <w:tabs>
              <w:tab w:val="right" w:leader="dot" w:pos="8381"/>
            </w:tabs>
          </w:pPr>
          <w:hyperlink w:anchor="_Toc8060">
            <w:r>
              <w:rPr>
                <w:rFonts w:ascii="仿宋" w:eastAsia="仿宋" w:hAnsi="仿宋" w:cs="仿宋"/>
              </w:rPr>
              <w:t>2.关于收汇资料的报送要求</w:t>
            </w:r>
            <w:r>
              <w:tab/>
            </w:r>
            <w:r>
              <w:fldChar w:fldCharType="begin"/>
            </w:r>
            <w:r>
              <w:instrText>PAGEREF _Toc8060 \h</w:instrText>
            </w:r>
            <w:r>
              <w:fldChar w:fldCharType="separate"/>
            </w:r>
            <w:r>
              <w:rPr>
                <w:rFonts w:ascii="仿宋" w:eastAsia="仿宋" w:hAnsi="仿宋" w:cs="仿宋"/>
              </w:rPr>
              <w:t>10</w:t>
            </w:r>
            <w:r>
              <w:fldChar w:fldCharType="end"/>
            </w:r>
          </w:hyperlink>
        </w:p>
        <w:p w14:paraId="12266E2D" w14:textId="77777777" w:rsidR="0096678F" w:rsidRDefault="00000000">
          <w:pPr>
            <w:pStyle w:val="TOC3"/>
            <w:tabs>
              <w:tab w:val="right" w:leader="dot" w:pos="8381"/>
            </w:tabs>
          </w:pPr>
          <w:hyperlink w:anchor="_Toc8061">
            <w:r>
              <w:rPr>
                <w:rFonts w:ascii="仿宋" w:eastAsia="仿宋" w:hAnsi="仿宋" w:cs="仿宋"/>
              </w:rPr>
              <w:t>3.注意事项</w:t>
            </w:r>
            <w:r>
              <w:tab/>
            </w:r>
            <w:r>
              <w:fldChar w:fldCharType="begin"/>
            </w:r>
            <w:r>
              <w:instrText>PAGEREF _Toc8061 \h</w:instrText>
            </w:r>
            <w:r>
              <w:fldChar w:fldCharType="separate"/>
            </w:r>
            <w:r>
              <w:rPr>
                <w:rFonts w:ascii="仿宋" w:eastAsia="仿宋" w:hAnsi="仿宋" w:cs="仿宋"/>
              </w:rPr>
              <w:t>11</w:t>
            </w:r>
            <w:r>
              <w:fldChar w:fldCharType="end"/>
            </w:r>
          </w:hyperlink>
        </w:p>
        <w:p w14:paraId="675D7E60" w14:textId="77777777" w:rsidR="0096678F" w:rsidRDefault="00000000">
          <w:pPr>
            <w:pStyle w:val="TOC2"/>
            <w:tabs>
              <w:tab w:val="right" w:leader="dot" w:pos="8381"/>
            </w:tabs>
          </w:pPr>
          <w:hyperlink w:anchor="_Toc8062">
            <w:r>
              <w:rPr>
                <w:rFonts w:ascii="楷体" w:eastAsia="楷体" w:hAnsi="楷体" w:cs="楷体"/>
              </w:rPr>
              <w:t>（五）其他</w:t>
            </w:r>
            <w:r>
              <w:tab/>
            </w:r>
            <w:r>
              <w:fldChar w:fldCharType="begin"/>
            </w:r>
            <w:r>
              <w:instrText>PAGEREF _Toc8062 \h</w:instrText>
            </w:r>
            <w:r>
              <w:fldChar w:fldCharType="separate"/>
            </w:r>
            <w:r>
              <w:rPr>
                <w:rFonts w:ascii="楷体" w:eastAsia="楷体" w:hAnsi="楷体" w:cs="楷体"/>
              </w:rPr>
              <w:t>11</w:t>
            </w:r>
            <w:r>
              <w:fldChar w:fldCharType="end"/>
            </w:r>
          </w:hyperlink>
        </w:p>
        <w:p w14:paraId="08C61467" w14:textId="77777777" w:rsidR="0096678F" w:rsidRDefault="00000000">
          <w:pPr>
            <w:pStyle w:val="TOC1"/>
            <w:tabs>
              <w:tab w:val="right" w:leader="dot" w:pos="8381"/>
            </w:tabs>
          </w:pPr>
          <w:hyperlink w:anchor="_Toc8063">
            <w:r>
              <w:rPr>
                <w:rFonts w:ascii="黑体" w:eastAsia="黑体" w:hAnsi="黑体" w:cs="黑体"/>
              </w:rPr>
              <w:t>三、参考文件</w:t>
            </w:r>
            <w:r>
              <w:tab/>
            </w:r>
            <w:r>
              <w:fldChar w:fldCharType="begin"/>
            </w:r>
            <w:r>
              <w:instrText>PAGEREF _Toc8063 \h</w:instrText>
            </w:r>
            <w:r>
              <w:fldChar w:fldCharType="separate"/>
            </w:r>
            <w:r>
              <w:rPr>
                <w:rFonts w:ascii="黑体" w:eastAsia="黑体" w:hAnsi="黑体" w:cs="黑体"/>
              </w:rPr>
              <w:t>12</w:t>
            </w:r>
            <w:r>
              <w:fldChar w:fldCharType="end"/>
            </w:r>
          </w:hyperlink>
        </w:p>
        <w:p w14:paraId="320959A2" w14:textId="77777777" w:rsidR="0096678F" w:rsidRDefault="00000000">
          <w:pPr>
            <w:rPr>
              <w:rFonts w:hint="eastAsia"/>
            </w:rPr>
          </w:pPr>
          <w:r>
            <w:fldChar w:fldCharType="end"/>
          </w:r>
        </w:p>
      </w:sdtContent>
    </w:sdt>
    <w:p w14:paraId="2BC067C1" w14:textId="77777777" w:rsidR="0096678F" w:rsidRDefault="00000000">
      <w:pPr>
        <w:spacing w:after="0" w:line="259" w:lineRule="auto"/>
        <w:ind w:left="283" w:firstLine="0"/>
        <w:jc w:val="center"/>
        <w:rPr>
          <w:rFonts w:hint="eastAsia"/>
        </w:rPr>
      </w:pPr>
      <w:r>
        <w:rPr>
          <w:rFonts w:ascii="Calibri" w:eastAsia="Calibri" w:hAnsi="Calibri" w:cs="Calibri"/>
          <w:sz w:val="18"/>
        </w:rPr>
        <w:t>1</w:t>
      </w:r>
    </w:p>
    <w:p w14:paraId="0F593108" w14:textId="77777777" w:rsidR="0096678F" w:rsidRDefault="0096678F">
      <w:pPr>
        <w:rPr>
          <w:rFonts w:hint="eastAsia"/>
        </w:rPr>
        <w:sectPr w:rsidR="0096678F">
          <w:footerReference w:type="even" r:id="rId7"/>
          <w:footerReference w:type="default" r:id="rId8"/>
          <w:footerReference w:type="first" r:id="rId9"/>
          <w:pgSz w:w="11906" w:h="16838"/>
          <w:pgMar w:top="1536" w:right="1725" w:bottom="995" w:left="1800" w:header="720" w:footer="720" w:gutter="0"/>
          <w:cols w:space="720"/>
        </w:sectPr>
      </w:pPr>
    </w:p>
    <w:p w14:paraId="6BBAB22E" w14:textId="77777777" w:rsidR="0096678F" w:rsidRDefault="00000000">
      <w:pPr>
        <w:pStyle w:val="1"/>
        <w:spacing w:after="460"/>
        <w:ind w:right="175"/>
        <w:rPr>
          <w:rFonts w:hint="eastAsia"/>
        </w:rPr>
      </w:pPr>
      <w:bookmarkStart w:id="0" w:name="_Toc8049"/>
      <w:r>
        <w:lastRenderedPageBreak/>
        <w:t>一、基本概述</w:t>
      </w:r>
      <w:bookmarkEnd w:id="0"/>
    </w:p>
    <w:p w14:paraId="74528A57" w14:textId="77777777" w:rsidR="0096678F" w:rsidRDefault="00000000">
      <w:pPr>
        <w:ind w:left="-15" w:firstLine="641"/>
        <w:rPr>
          <w:rFonts w:hint="eastAsia"/>
        </w:rPr>
      </w:pPr>
      <w:r>
        <w:t>《国务院办公厅关于推动外贸保稳提质的意见》（国办发〔2022〕18号）第四条明确提出，“针对跨境电商出口海外仓监管模式，加大政策宣传力度，对实现销售的货物指导企业用足用好现行出口退税政策，及时申报办理退税”。税务部门持续做好贯彻落实工作，进一步加强政策宣传和辅导，支持跨境电</w:t>
      </w:r>
      <w:proofErr w:type="gramStart"/>
      <w:r>
        <w:t>商出口</w:t>
      </w:r>
      <w:proofErr w:type="gramEnd"/>
      <w:r>
        <w:t>海外仓业务发展，帮助出口企业对符合条件的跨境电</w:t>
      </w:r>
      <w:proofErr w:type="gramStart"/>
      <w:r>
        <w:t>商出口</w:t>
      </w:r>
      <w:proofErr w:type="gramEnd"/>
      <w:r>
        <w:t>海外仓货物，及时申报办理出口退税。</w:t>
      </w:r>
    </w:p>
    <w:p w14:paraId="1D9220B9" w14:textId="77777777" w:rsidR="0096678F" w:rsidRDefault="00000000">
      <w:pPr>
        <w:ind w:left="-15" w:firstLine="641"/>
        <w:rPr>
          <w:rFonts w:hint="eastAsia"/>
        </w:rPr>
      </w:pPr>
      <w:r>
        <w:t>出口退税，是指对出口货物和服务退还其在国内生产和流通环节实际缴纳的间接税（包括增值税、消费税），是符合世贸组织规则并被世界各国普遍认可的国际惯例。根据我国现行出口退税制度规定，出口适用退（免）税规定的货物，是指向海关报关后实际离境并销售给境外单位或个人的货物。因此，办理出口退税需以报关离境、实现销售为基本前提，出口退税计税依据的确定，也需以销售行为发生为依托，而销售行为发生，意味着货物所有权发生转移。【</w:t>
      </w:r>
      <w:r>
        <w:rPr>
          <w:rFonts w:ascii="楷体" w:eastAsia="楷体" w:hAnsi="楷体" w:cs="楷体"/>
        </w:rPr>
        <w:t>《财政部国家税务总局关于出口货物劳务增值税和消费税政策的通知》（财税〔2012〕39号，以下称39号文件）规定，出口货物是指向海关报关后实际离境并销售给境外单位或个人的货物，除另有规定外，适用出口退（免）税政策。</w:t>
      </w:r>
      <w:r>
        <w:t>】跨境电商贸易中，出口海外仓模式属于正常对外贸易方式之一。按照现</w:t>
      </w:r>
      <w:r>
        <w:lastRenderedPageBreak/>
        <w:t>行出口退税规定，其出口退税的办理，只要达到出口退税的前提条件，即可以申报办理出口退税。目前，跨境电</w:t>
      </w:r>
      <w:proofErr w:type="gramStart"/>
      <w:r>
        <w:t>商出口</w:t>
      </w:r>
      <w:proofErr w:type="gramEnd"/>
      <w:r>
        <w:t>海外仓业务，</w:t>
      </w:r>
      <w:r>
        <w:rPr>
          <w:rFonts w:ascii="黑体" w:eastAsia="黑体" w:hAnsi="黑体" w:cs="黑体"/>
        </w:rPr>
        <w:t>根据海外仓库类型区分</w:t>
      </w:r>
      <w:r>
        <w:t>，主要有出口至</w:t>
      </w:r>
      <w:proofErr w:type="gramStart"/>
      <w:r>
        <w:t>境外电</w:t>
      </w:r>
      <w:proofErr w:type="gramEnd"/>
      <w:r>
        <w:t>商平台仓库模式、第三</w:t>
      </w:r>
      <w:proofErr w:type="gramStart"/>
      <w:r>
        <w:t>方海外仓</w:t>
      </w:r>
      <w:proofErr w:type="gramEnd"/>
      <w:r>
        <w:t>模式、自</w:t>
      </w:r>
      <w:proofErr w:type="gramStart"/>
      <w:r>
        <w:t>建海外仓模式</w:t>
      </w:r>
      <w:proofErr w:type="gramEnd"/>
      <w:r>
        <w:t>三种。</w:t>
      </w:r>
      <w:r>
        <w:rPr>
          <w:rFonts w:ascii="黑体" w:eastAsia="黑体" w:hAnsi="黑体" w:cs="黑体"/>
        </w:rPr>
        <w:t>根据销售模式区分，海外</w:t>
      </w:r>
      <w:proofErr w:type="gramStart"/>
      <w:r>
        <w:rPr>
          <w:rFonts w:ascii="黑体" w:eastAsia="黑体" w:hAnsi="黑体" w:cs="黑体"/>
        </w:rPr>
        <w:t>仓出口</w:t>
      </w:r>
      <w:proofErr w:type="gramEnd"/>
      <w:r>
        <w:rPr>
          <w:rFonts w:ascii="黑体" w:eastAsia="黑体" w:hAnsi="黑体" w:cs="黑体"/>
        </w:rPr>
        <w:t>大致可分为两类情形：第一类</w:t>
      </w:r>
      <w:r>
        <w:t>是跨境电</w:t>
      </w:r>
      <w:proofErr w:type="gramStart"/>
      <w:r>
        <w:t>商出口海外仓企业</w:t>
      </w:r>
      <w:proofErr w:type="gramEnd"/>
      <w:r>
        <w:t>在出口货物时，即将货物销售给境外公司，并在货物抵达后存入指定海外仓，后续由境外公司在电商平台运营销售。该情形下，货物报关出口时，已经实现销售。</w:t>
      </w:r>
      <w:r>
        <w:rPr>
          <w:rFonts w:ascii="黑体" w:eastAsia="黑体" w:hAnsi="黑体" w:cs="黑体"/>
        </w:rPr>
        <w:t>第二类</w:t>
      </w:r>
      <w:r>
        <w:t>是跨境电</w:t>
      </w:r>
      <w:proofErr w:type="gramStart"/>
      <w:r>
        <w:t>商出口海外仓企业</w:t>
      </w:r>
      <w:proofErr w:type="gramEnd"/>
      <w:r>
        <w:t>先将货物出口备货至海外仓库，再通过境外电商平台销售给境外消费者，该情形下，货物报关出口时，尚未实现销售。</w:t>
      </w:r>
      <w:r>
        <w:rPr>
          <w:rFonts w:ascii="黑体" w:eastAsia="黑体" w:hAnsi="黑体" w:cs="黑体"/>
        </w:rPr>
        <w:t>对第一类情形</w:t>
      </w:r>
      <w:r>
        <w:t>，出口至海外仓的货物满足报关离境并实现销售的条件，可按现行规定向主管税务机关申报办理出口退税。</w:t>
      </w:r>
      <w:r>
        <w:rPr>
          <w:rFonts w:ascii="黑体" w:eastAsia="黑体" w:hAnsi="黑体" w:cs="黑体"/>
        </w:rPr>
        <w:t>对第二类情形，</w:t>
      </w:r>
      <w:r>
        <w:t>因出口时货物还未实现销售，待货物在</w:t>
      </w:r>
      <w:proofErr w:type="gramStart"/>
      <w:r>
        <w:t>境外电</w:t>
      </w:r>
      <w:proofErr w:type="gramEnd"/>
      <w:r>
        <w:t>商平台实现销售后，即可根据实际销售的情况，申报办理出口退税；为支持跨境电</w:t>
      </w:r>
      <w:proofErr w:type="gramStart"/>
      <w:r>
        <w:t>商海外仓新</w:t>
      </w:r>
      <w:proofErr w:type="gramEnd"/>
      <w:r>
        <w:t>业态发展，税务部门优化退税管理模式，支持对此类情形下的海外</w:t>
      </w:r>
      <w:proofErr w:type="gramStart"/>
      <w:r>
        <w:t>仓出口</w:t>
      </w:r>
      <w:proofErr w:type="gramEnd"/>
      <w:r>
        <w:t>货物，根据实际销售情况，可以选择一次性申报退税，也可以选择分批申报退税,即不用等某批货物完全实现销售后再申报退税，而是可就已经实现销售的部分货物分批申报。</w:t>
      </w:r>
    </w:p>
    <w:p w14:paraId="09FE0917" w14:textId="77777777" w:rsidR="0096678F" w:rsidRDefault="00000000">
      <w:pPr>
        <w:pStyle w:val="1"/>
        <w:ind w:right="175"/>
        <w:rPr>
          <w:rFonts w:hint="eastAsia"/>
        </w:rPr>
      </w:pPr>
      <w:bookmarkStart w:id="1" w:name="_Toc8050"/>
      <w:r>
        <w:lastRenderedPageBreak/>
        <w:t>二、出口退（免）税操作</w:t>
      </w:r>
      <w:bookmarkEnd w:id="1"/>
    </w:p>
    <w:p w14:paraId="71AF6D73" w14:textId="77777777" w:rsidR="0096678F" w:rsidRDefault="00000000">
      <w:pPr>
        <w:spacing w:after="176" w:line="259" w:lineRule="auto"/>
        <w:ind w:left="651"/>
        <w:rPr>
          <w:rFonts w:hint="eastAsia"/>
        </w:rPr>
      </w:pPr>
      <w:r>
        <w:t>跨境电商海</w:t>
      </w:r>
      <w:proofErr w:type="gramStart"/>
      <w:r>
        <w:t>外仓出口</w:t>
      </w:r>
      <w:proofErr w:type="gramEnd"/>
      <w:r>
        <w:t>企业办理出口退（免）税，与其他</w:t>
      </w:r>
    </w:p>
    <w:p w14:paraId="7206DA86" w14:textId="77777777" w:rsidR="0096678F" w:rsidRDefault="00000000">
      <w:pPr>
        <w:ind w:left="-5"/>
        <w:rPr>
          <w:rFonts w:hint="eastAsia"/>
        </w:rPr>
      </w:pPr>
      <w:r>
        <w:t>出口企业并无区别，均可按照现行出口退（免）税规定办理。具体办理时，同样涉及出口退（免）税备案、退税申报、备案单证管理、收汇管理等业务事项。为助力跨境电</w:t>
      </w:r>
      <w:proofErr w:type="gramStart"/>
      <w:r>
        <w:t>商出口海外仓企业</w:t>
      </w:r>
      <w:proofErr w:type="gramEnd"/>
      <w:r>
        <w:t>高效办理出口退（免）税业务，切实解决企业在办理过程中的实际问题，我们对上述关键业务事项涉及的出口退（免）税管理规定、信息系统实务操作等进行了梳理，方便企业对照办理。</w:t>
      </w:r>
    </w:p>
    <w:p w14:paraId="0BFA295D" w14:textId="77777777" w:rsidR="0096678F" w:rsidRDefault="00000000">
      <w:pPr>
        <w:pStyle w:val="2"/>
        <w:ind w:left="636" w:right="0"/>
        <w:rPr>
          <w:rFonts w:hint="eastAsia"/>
        </w:rPr>
      </w:pPr>
      <w:bookmarkStart w:id="2" w:name="_Toc8051"/>
      <w:r>
        <w:t>（一）出口退（免）税备案</w:t>
      </w:r>
      <w:bookmarkEnd w:id="2"/>
    </w:p>
    <w:p w14:paraId="171190CE" w14:textId="77777777" w:rsidR="0096678F" w:rsidRDefault="00000000">
      <w:pPr>
        <w:pStyle w:val="3"/>
        <w:spacing w:after="176" w:line="259" w:lineRule="auto"/>
        <w:ind w:left="651"/>
        <w:rPr>
          <w:rFonts w:hint="eastAsia"/>
        </w:rPr>
      </w:pPr>
      <w:bookmarkStart w:id="3" w:name="_Toc8052"/>
      <w:r>
        <w:t>1.基本规定</w:t>
      </w:r>
      <w:bookmarkEnd w:id="3"/>
    </w:p>
    <w:p w14:paraId="17ECF545" w14:textId="77777777" w:rsidR="0096678F" w:rsidRDefault="00000000">
      <w:pPr>
        <w:numPr>
          <w:ilvl w:val="0"/>
          <w:numId w:val="1"/>
        </w:numPr>
        <w:spacing w:after="176" w:line="259" w:lineRule="auto"/>
        <w:ind w:hanging="799"/>
        <w:rPr>
          <w:rFonts w:hint="eastAsia"/>
        </w:rPr>
      </w:pPr>
      <w:r>
        <w:t>出口退（免）税备案</w:t>
      </w:r>
    </w:p>
    <w:p w14:paraId="788A2803" w14:textId="77777777" w:rsidR="0096678F" w:rsidRDefault="00000000">
      <w:pPr>
        <w:ind w:left="-15" w:firstLine="641"/>
        <w:rPr>
          <w:rFonts w:hint="eastAsia"/>
        </w:rPr>
      </w:pPr>
      <w:r>
        <w:t>跨境电商海</w:t>
      </w:r>
      <w:proofErr w:type="gramStart"/>
      <w:r>
        <w:t>外仓出口</w:t>
      </w:r>
      <w:proofErr w:type="gramEnd"/>
      <w:r>
        <w:t>企业，如需办理出口退（免）</w:t>
      </w:r>
      <w:proofErr w:type="gramStart"/>
      <w:r>
        <w:t>税相关</w:t>
      </w:r>
      <w:proofErr w:type="gramEnd"/>
      <w:r>
        <w:t>事项，应先进行出口退（免）税备案。企业可在首次申报出口退（免）税时，向主管税务机关办理出口退（免）税备案手续。备案时，应真实、完整填写并报送《出口退（免）税备案表》（其中“退税开户银行账号”必须填写办理税务登记时向主管税务机关报备的银行账号之一），以及主管税务机关要求提供的其他资料。</w:t>
      </w:r>
    </w:p>
    <w:p w14:paraId="672DF406" w14:textId="77777777" w:rsidR="0096678F" w:rsidRDefault="00000000">
      <w:pPr>
        <w:numPr>
          <w:ilvl w:val="0"/>
          <w:numId w:val="1"/>
        </w:numPr>
        <w:spacing w:after="176" w:line="259" w:lineRule="auto"/>
        <w:ind w:hanging="799"/>
        <w:rPr>
          <w:rFonts w:hint="eastAsia"/>
        </w:rPr>
      </w:pPr>
      <w:r>
        <w:t>出口退（免）税备案变更及撤回</w:t>
      </w:r>
    </w:p>
    <w:p w14:paraId="68F76A9C" w14:textId="77777777" w:rsidR="0096678F" w:rsidRDefault="00000000">
      <w:pPr>
        <w:ind w:left="651"/>
        <w:rPr>
          <w:rFonts w:hint="eastAsia"/>
        </w:rPr>
      </w:pPr>
      <w:r>
        <w:lastRenderedPageBreak/>
        <w:t>跨境电商海</w:t>
      </w:r>
      <w:proofErr w:type="gramStart"/>
      <w:r>
        <w:t>外仓出口</w:t>
      </w:r>
      <w:proofErr w:type="gramEnd"/>
      <w:r>
        <w:t>企业出口退（免）税备案信息发生变更的，应自变更之日起30日内提交变更后的《出口退（免）税备案表》，向主管税务机关申请办理备案变更。需要注意的是，企业需要变更“退（免）税方法”的，应按规定结清退（免）税款后再行办理变更。</w:t>
      </w:r>
    </w:p>
    <w:p w14:paraId="76C1DA1B" w14:textId="77777777" w:rsidR="0096678F" w:rsidRDefault="00000000">
      <w:pPr>
        <w:ind w:left="-15" w:firstLine="641"/>
        <w:rPr>
          <w:rFonts w:hint="eastAsia"/>
        </w:rPr>
      </w:pPr>
      <w:r>
        <w:t>企业如需撤回出口退（免）税备案的，应按规定先行结清退（免）税款，再向主管税务机关申请撤回备案。</w:t>
      </w:r>
    </w:p>
    <w:p w14:paraId="05D92C2F" w14:textId="77777777" w:rsidR="0096678F" w:rsidRDefault="00000000">
      <w:pPr>
        <w:ind w:left="-15" w:firstLine="641"/>
        <w:rPr>
          <w:rFonts w:hint="eastAsia"/>
        </w:rPr>
      </w:pPr>
      <w:r>
        <w:t>跨境电</w:t>
      </w:r>
      <w:proofErr w:type="gramStart"/>
      <w:r>
        <w:t>商出口</w:t>
      </w:r>
      <w:proofErr w:type="gramEnd"/>
      <w:r>
        <w:t>企业申请注销税务登记的，应先向主管税务机关申请撤回出口退（免）税备案。</w:t>
      </w:r>
    </w:p>
    <w:p w14:paraId="7780A99D" w14:textId="77777777" w:rsidR="0096678F" w:rsidRDefault="00000000">
      <w:pPr>
        <w:pStyle w:val="3"/>
        <w:spacing w:after="176" w:line="259" w:lineRule="auto"/>
        <w:ind w:left="651"/>
        <w:rPr>
          <w:rFonts w:hint="eastAsia"/>
        </w:rPr>
      </w:pPr>
      <w:bookmarkStart w:id="4" w:name="_Toc8053"/>
      <w:r>
        <w:t>2.信息系统的操作流程</w:t>
      </w:r>
      <w:bookmarkEnd w:id="4"/>
    </w:p>
    <w:p w14:paraId="1DF7E220" w14:textId="77777777" w:rsidR="0096678F" w:rsidRDefault="00000000">
      <w:pPr>
        <w:ind w:left="-15" w:firstLine="641"/>
        <w:rPr>
          <w:rFonts w:hint="eastAsia"/>
        </w:rPr>
      </w:pPr>
      <w:r>
        <w:t>企业可通过电子税务局、国际贸易“单一窗口”和</w:t>
      </w:r>
      <w:proofErr w:type="gramStart"/>
      <w:r>
        <w:t>离线版</w:t>
      </w:r>
      <w:proofErr w:type="gramEnd"/>
      <w:r>
        <w:t>申报系统办理出口退（免）税备案。鉴于上述信息系统的操作流程、功能设置等大体相似，本指引以使用频率较高的电子税务局为例，对备案的系统操作流程进行介绍。</w:t>
      </w:r>
    </w:p>
    <w:p w14:paraId="49AAA34A" w14:textId="77777777" w:rsidR="0096678F" w:rsidRDefault="00000000">
      <w:pPr>
        <w:spacing w:after="176" w:line="259" w:lineRule="auto"/>
        <w:ind w:left="189" w:firstLine="0"/>
        <w:jc w:val="center"/>
        <w:rPr>
          <w:rFonts w:hint="eastAsia"/>
        </w:rPr>
      </w:pPr>
      <w:r>
        <w:t>电子税务局出口退（免）税备案操作流程具体如下：</w:t>
      </w:r>
    </w:p>
    <w:p w14:paraId="32473A88" w14:textId="77777777" w:rsidR="0096678F" w:rsidRDefault="00000000">
      <w:pPr>
        <w:numPr>
          <w:ilvl w:val="0"/>
          <w:numId w:val="2"/>
        </w:numPr>
        <w:ind w:firstLine="641"/>
        <w:rPr>
          <w:rFonts w:hint="eastAsia"/>
        </w:rPr>
      </w:pPr>
      <w:r>
        <w:t>登录电子税务局后，点击【我要办税】-【出口退税管理】-【出口退</w:t>
      </w:r>
      <w:r>
        <w:rPr>
          <w:rFonts w:ascii="宋体" w:eastAsia="宋体" w:hAnsi="宋体" w:cs="宋体"/>
        </w:rPr>
        <w:t>（</w:t>
      </w:r>
      <w:r>
        <w:t>免</w:t>
      </w:r>
      <w:r>
        <w:rPr>
          <w:rFonts w:ascii="宋体" w:eastAsia="宋体" w:hAnsi="宋体" w:cs="宋体"/>
        </w:rPr>
        <w:t>）</w:t>
      </w:r>
      <w:r>
        <w:t>税企业资格信息报告】-</w:t>
      </w:r>
      <w:proofErr w:type="gramStart"/>
      <w:r>
        <w:t>【</w:t>
      </w:r>
      <w:proofErr w:type="gramEnd"/>
      <w:r>
        <w:t>出口退</w:t>
      </w:r>
    </w:p>
    <w:p w14:paraId="719D356A" w14:textId="77777777" w:rsidR="0096678F" w:rsidRDefault="00000000">
      <w:pPr>
        <w:spacing w:after="176" w:line="259" w:lineRule="auto"/>
        <w:ind w:left="-5"/>
        <w:rPr>
          <w:rFonts w:hint="eastAsia"/>
        </w:rPr>
      </w:pPr>
      <w:r>
        <w:rPr>
          <w:rFonts w:ascii="宋体" w:eastAsia="宋体" w:hAnsi="宋体" w:cs="宋体"/>
        </w:rPr>
        <w:t>（</w:t>
      </w:r>
      <w:r>
        <w:t>免</w:t>
      </w:r>
      <w:r>
        <w:rPr>
          <w:rFonts w:ascii="宋体" w:eastAsia="宋体" w:hAnsi="宋体" w:cs="宋体"/>
        </w:rPr>
        <w:t>）</w:t>
      </w:r>
      <w:r>
        <w:t>税备案管理</w:t>
      </w:r>
      <w:proofErr w:type="gramStart"/>
      <w:r>
        <w:t>】</w:t>
      </w:r>
      <w:proofErr w:type="gramEnd"/>
      <w:r>
        <w:t>功能菜单。</w:t>
      </w:r>
    </w:p>
    <w:p w14:paraId="371724AF" w14:textId="77777777" w:rsidR="0096678F" w:rsidRDefault="00000000">
      <w:pPr>
        <w:numPr>
          <w:ilvl w:val="0"/>
          <w:numId w:val="2"/>
        </w:numPr>
        <w:spacing w:after="179"/>
        <w:ind w:firstLine="641"/>
        <w:rPr>
          <w:rFonts w:hint="eastAsia"/>
        </w:rPr>
      </w:pPr>
      <w:r>
        <w:t>进入系统后，根据跨境电</w:t>
      </w:r>
      <w:proofErr w:type="gramStart"/>
      <w:r>
        <w:t>商出口</w:t>
      </w:r>
      <w:proofErr w:type="gramEnd"/>
      <w:r>
        <w:t>企业历史办税记录，系统自动匹配备案申请模式为出口退（免）税备案（未进行过备案的跨境电</w:t>
      </w:r>
      <w:proofErr w:type="gramStart"/>
      <w:r>
        <w:t>商出口</w:t>
      </w:r>
      <w:proofErr w:type="gramEnd"/>
      <w:r>
        <w:t>企业）、出口退（免）税备案变</w:t>
      </w:r>
      <w:r>
        <w:lastRenderedPageBreak/>
        <w:t>更（已办理了出口退（免）税备案业务）、出口退（免）税撤回。（3）备案结果可通过【我要查询】-【一户式查询】-</w:t>
      </w:r>
    </w:p>
    <w:p w14:paraId="0DE72D1C" w14:textId="77777777" w:rsidR="0096678F" w:rsidRDefault="00000000">
      <w:pPr>
        <w:spacing w:after="176" w:line="259" w:lineRule="auto"/>
        <w:ind w:left="-5"/>
        <w:rPr>
          <w:rFonts w:hint="eastAsia"/>
        </w:rPr>
      </w:pPr>
      <w:r>
        <w:t>【企业备案信息查询】查询。</w:t>
      </w:r>
    </w:p>
    <w:p w14:paraId="78BA5559" w14:textId="77777777" w:rsidR="0096678F" w:rsidRDefault="00000000">
      <w:pPr>
        <w:pStyle w:val="2"/>
        <w:ind w:left="636" w:right="0"/>
        <w:rPr>
          <w:rFonts w:hint="eastAsia"/>
        </w:rPr>
      </w:pPr>
      <w:bookmarkStart w:id="5" w:name="_Toc8054"/>
      <w:r>
        <w:t>（二）出口退（免）税申报办理</w:t>
      </w:r>
      <w:bookmarkEnd w:id="5"/>
    </w:p>
    <w:p w14:paraId="1F6930CB" w14:textId="77777777" w:rsidR="0096678F" w:rsidRDefault="00000000">
      <w:pPr>
        <w:pStyle w:val="3"/>
        <w:spacing w:after="176" w:line="259" w:lineRule="auto"/>
        <w:ind w:left="651"/>
        <w:rPr>
          <w:rFonts w:hint="eastAsia"/>
        </w:rPr>
      </w:pPr>
      <w:bookmarkStart w:id="6" w:name="_Toc8055"/>
      <w:r>
        <w:t>1.基本规定</w:t>
      </w:r>
      <w:bookmarkEnd w:id="6"/>
    </w:p>
    <w:p w14:paraId="2181A028" w14:textId="77777777" w:rsidR="0096678F" w:rsidRDefault="00000000">
      <w:pPr>
        <w:spacing w:after="176" w:line="259" w:lineRule="auto"/>
        <w:ind w:left="651"/>
        <w:rPr>
          <w:rFonts w:hint="eastAsia"/>
        </w:rPr>
      </w:pPr>
      <w:r>
        <w:t>（1）申报期限</w:t>
      </w:r>
    </w:p>
    <w:p w14:paraId="04E9F228" w14:textId="77777777" w:rsidR="0096678F" w:rsidRDefault="00000000">
      <w:pPr>
        <w:ind w:left="-15" w:firstLine="641"/>
        <w:rPr>
          <w:rFonts w:hint="eastAsia"/>
        </w:rPr>
      </w:pPr>
      <w:r>
        <w:t>跨境电商海</w:t>
      </w:r>
      <w:proofErr w:type="gramStart"/>
      <w:r>
        <w:t>外仓出口</w:t>
      </w:r>
      <w:proofErr w:type="gramEnd"/>
      <w:r>
        <w:t>企业出口并按会计规定做销售的货物，应在做销售的次月进行增值税纳税申报。企业在货物报关出口之日（以出口货物报关单上的载明的“出口日期” 为准）次月增值税纳税申报期内，即可向主管税务机关申报办理出口退（免）税；最晚不迟于次年4月30日前的任何一个月增值税纳税申报期，均可申报办理出口退（免）税。对于外贸型跨境电商海</w:t>
      </w:r>
      <w:proofErr w:type="gramStart"/>
      <w:r>
        <w:t>外仓出口</w:t>
      </w:r>
      <w:proofErr w:type="gramEnd"/>
      <w:r>
        <w:t>企业，经主管税务机关同意后，也可在增值税纳税申报期以外的其他时间办理出口退</w:t>
      </w:r>
    </w:p>
    <w:p w14:paraId="1DFB90EC" w14:textId="77777777" w:rsidR="0096678F" w:rsidRDefault="00000000">
      <w:pPr>
        <w:spacing w:after="176" w:line="259" w:lineRule="auto"/>
        <w:ind w:left="-5"/>
        <w:rPr>
          <w:rFonts w:hint="eastAsia"/>
        </w:rPr>
      </w:pPr>
      <w:r>
        <w:t>（免）税申报。</w:t>
      </w:r>
    </w:p>
    <w:p w14:paraId="56F35D8A" w14:textId="77777777" w:rsidR="0096678F" w:rsidRDefault="00000000">
      <w:pPr>
        <w:spacing w:after="176" w:line="259" w:lineRule="auto"/>
        <w:ind w:left="651"/>
        <w:rPr>
          <w:rFonts w:hint="eastAsia"/>
        </w:rPr>
      </w:pPr>
      <w:r>
        <w:t>在此基础上，为更好支持出口企业发展，2020年财政部、</w:t>
      </w:r>
    </w:p>
    <w:p w14:paraId="51584CA0" w14:textId="77777777" w:rsidR="0096678F" w:rsidRDefault="00000000">
      <w:pPr>
        <w:ind w:left="-5"/>
        <w:rPr>
          <w:rFonts w:hint="eastAsia"/>
        </w:rPr>
      </w:pPr>
      <w:r>
        <w:t>税务总局发布《关于明确国有农用地出租等增值税政策的公告》（2020年第2号），明确自2020年1月20日起，企业未在规定期限内申报出口退（免）税的，待收齐退（免）税凭证及相关电子信息后，仍可申报办理出口退（免）税。</w:t>
      </w:r>
    </w:p>
    <w:p w14:paraId="438079A1" w14:textId="77777777" w:rsidR="0096678F" w:rsidRDefault="00000000">
      <w:pPr>
        <w:numPr>
          <w:ilvl w:val="0"/>
          <w:numId w:val="3"/>
        </w:numPr>
        <w:spacing w:after="176" w:line="259" w:lineRule="auto"/>
        <w:ind w:hanging="799"/>
        <w:rPr>
          <w:rFonts w:hint="eastAsia"/>
        </w:rPr>
      </w:pPr>
      <w:r>
        <w:t>申报渠道</w:t>
      </w:r>
    </w:p>
    <w:p w14:paraId="32C6F7B8" w14:textId="77777777" w:rsidR="0096678F" w:rsidRDefault="00000000">
      <w:pPr>
        <w:ind w:left="-15" w:firstLine="641"/>
        <w:rPr>
          <w:rFonts w:hint="eastAsia"/>
        </w:rPr>
      </w:pPr>
      <w:r>
        <w:lastRenderedPageBreak/>
        <w:t>为便利跨境电商海</w:t>
      </w:r>
      <w:proofErr w:type="gramStart"/>
      <w:r>
        <w:t>外仓出口</w:t>
      </w:r>
      <w:proofErr w:type="gramEnd"/>
      <w:r>
        <w:t>企业申报办理出口退（免）税，税务机关提供了电子税务局、国际贸易“单一窗口”等免费申报渠道，供企业自由选择。企业通过上述免费申报渠道提交申报电子数据、影像</w:t>
      </w:r>
      <w:proofErr w:type="gramStart"/>
      <w:r>
        <w:t>化或者</w:t>
      </w:r>
      <w:proofErr w:type="gramEnd"/>
      <w:r>
        <w:t>数字化表单资料后，即可实现“网上”申报，相关纸质表单、原始凭证由企业留存备查。此外，有“线下”办税需要的企业，也可前往主管税务机关现场办理。</w:t>
      </w:r>
    </w:p>
    <w:p w14:paraId="161A2CB5" w14:textId="77777777" w:rsidR="0096678F" w:rsidRDefault="00000000">
      <w:pPr>
        <w:numPr>
          <w:ilvl w:val="0"/>
          <w:numId w:val="3"/>
        </w:numPr>
        <w:spacing w:after="176" w:line="259" w:lineRule="auto"/>
        <w:ind w:hanging="799"/>
        <w:rPr>
          <w:rFonts w:hint="eastAsia"/>
        </w:rPr>
      </w:pPr>
      <w:r>
        <w:t>申报资料</w:t>
      </w:r>
    </w:p>
    <w:p w14:paraId="0531CD96" w14:textId="77777777" w:rsidR="0096678F" w:rsidRDefault="00000000">
      <w:pPr>
        <w:ind w:left="-15" w:firstLine="641"/>
        <w:rPr>
          <w:rFonts w:hint="eastAsia"/>
        </w:rPr>
      </w:pPr>
      <w:r>
        <w:t>企业采用跨境电商海</w:t>
      </w:r>
      <w:proofErr w:type="gramStart"/>
      <w:r>
        <w:t>外仓方式</w:t>
      </w:r>
      <w:proofErr w:type="gramEnd"/>
      <w:r>
        <w:t>出口的货物，在申报出口退（免）税时，根据企业类型的不同，所需提交的申报资料也有所不同。</w:t>
      </w:r>
    </w:p>
    <w:p w14:paraId="62A89EF3" w14:textId="77777777" w:rsidR="0096678F" w:rsidRDefault="00000000">
      <w:pPr>
        <w:spacing w:after="176" w:line="259" w:lineRule="auto"/>
        <w:ind w:left="651"/>
        <w:rPr>
          <w:rFonts w:hint="eastAsia"/>
        </w:rPr>
      </w:pPr>
      <w:r>
        <w:t>①生产企业</w:t>
      </w:r>
    </w:p>
    <w:p w14:paraId="79E6B79A" w14:textId="77777777" w:rsidR="0096678F" w:rsidRDefault="00000000">
      <w:pPr>
        <w:ind w:left="-15" w:firstLine="641"/>
        <w:rPr>
          <w:rFonts w:hint="eastAsia"/>
        </w:rPr>
      </w:pPr>
      <w:r>
        <w:t>生产企业申报增值税免抵退税时，应当提供申报电子数据及下列表单资料：A.《免抵退税申报汇总表》；B.《生产企业出口货物劳务免抵退税申报明细表》；C.出口货物报关单、出口发票等凭证。属于委托出口货物的，还应提供受托方主管税务机关签发的代理出口货物证明。</w:t>
      </w:r>
    </w:p>
    <w:p w14:paraId="231E7B4B" w14:textId="77777777" w:rsidR="0096678F" w:rsidRDefault="00000000">
      <w:pPr>
        <w:ind w:left="-15" w:firstLine="641"/>
        <w:rPr>
          <w:rFonts w:hint="eastAsia"/>
        </w:rPr>
      </w:pPr>
      <w:r>
        <w:t>企业如需申报消费税退税的，还应同时提供《生产企业出口非自产货物消费税退税申报表》、消费税专用缴款书或分割单、海关进口消费税专用缴款书、委托加工收</w:t>
      </w:r>
      <w:proofErr w:type="gramStart"/>
      <w:r>
        <w:t>回应税</w:t>
      </w:r>
      <w:proofErr w:type="gramEnd"/>
      <w:r>
        <w:t>消费品的代扣代收税款凭证等表单资料。</w:t>
      </w:r>
    </w:p>
    <w:p w14:paraId="636CB8E5" w14:textId="77777777" w:rsidR="0096678F" w:rsidRDefault="00000000">
      <w:pPr>
        <w:spacing w:after="176" w:line="259" w:lineRule="auto"/>
        <w:ind w:left="651"/>
        <w:rPr>
          <w:rFonts w:hint="eastAsia"/>
        </w:rPr>
      </w:pPr>
      <w:r>
        <w:t>②外贸企业</w:t>
      </w:r>
    </w:p>
    <w:p w14:paraId="5CFE226D" w14:textId="77777777" w:rsidR="0096678F" w:rsidRDefault="00000000">
      <w:pPr>
        <w:spacing w:after="176" w:line="259" w:lineRule="auto"/>
        <w:ind w:right="160"/>
        <w:jc w:val="right"/>
        <w:rPr>
          <w:rFonts w:hint="eastAsia"/>
        </w:rPr>
      </w:pPr>
      <w:r>
        <w:lastRenderedPageBreak/>
        <w:t>外贸企业申报增值税免退税时，应当提供申报电子数据</w:t>
      </w:r>
    </w:p>
    <w:p w14:paraId="1C7B8565" w14:textId="77777777" w:rsidR="0096678F" w:rsidRDefault="00000000">
      <w:pPr>
        <w:spacing w:line="259" w:lineRule="auto"/>
        <w:ind w:left="-5"/>
        <w:rPr>
          <w:rFonts w:hint="eastAsia"/>
        </w:rPr>
      </w:pPr>
      <w:r>
        <w:t>及下列表单资料：A.《外贸企业出口退税进货明细申报表》；</w:t>
      </w:r>
    </w:p>
    <w:p w14:paraId="49B92658" w14:textId="77777777" w:rsidR="0096678F" w:rsidRDefault="00000000">
      <w:pPr>
        <w:ind w:left="-5"/>
        <w:rPr>
          <w:rFonts w:hint="eastAsia"/>
        </w:rPr>
      </w:pPr>
      <w:r>
        <w:t>B.《外贸企业出口退税出口明细申报表》；C.出口货物报关单、增值税专用发票、海关进口增值税专用缴款书等凭证。属于委托出口货物的，还应提供受托方主管税务机关签发的代理出口货物证明。</w:t>
      </w:r>
    </w:p>
    <w:p w14:paraId="5F00CFB7" w14:textId="77777777" w:rsidR="0096678F" w:rsidRDefault="00000000">
      <w:pPr>
        <w:ind w:left="-15" w:firstLine="641"/>
        <w:rPr>
          <w:rFonts w:hint="eastAsia"/>
        </w:rPr>
      </w:pPr>
      <w:r>
        <w:t>企业如需同时申报消费税退税的，还应提供消费税专用缴款书或分割单、海关进口消费税专用缴款书等凭证。</w:t>
      </w:r>
    </w:p>
    <w:p w14:paraId="3D2D7FD7" w14:textId="77777777" w:rsidR="0096678F" w:rsidRDefault="00000000">
      <w:pPr>
        <w:pStyle w:val="3"/>
        <w:spacing w:after="176" w:line="259" w:lineRule="auto"/>
        <w:ind w:left="651"/>
        <w:rPr>
          <w:rFonts w:hint="eastAsia"/>
        </w:rPr>
      </w:pPr>
      <w:bookmarkStart w:id="7" w:name="_Toc8056"/>
      <w:r>
        <w:t>2.信息系统的操作流程</w:t>
      </w:r>
      <w:bookmarkEnd w:id="7"/>
    </w:p>
    <w:p w14:paraId="158E2536" w14:textId="77777777" w:rsidR="0096678F" w:rsidRDefault="00000000">
      <w:pPr>
        <w:ind w:left="-15" w:firstLine="641"/>
        <w:rPr>
          <w:rFonts w:hint="eastAsia"/>
        </w:rPr>
      </w:pPr>
      <w:r>
        <w:t>在出口退（免）税申报环节，电子税务局、国际贸易“单一窗口”和</w:t>
      </w:r>
      <w:proofErr w:type="gramStart"/>
      <w:r>
        <w:t>离线版</w:t>
      </w:r>
      <w:proofErr w:type="gramEnd"/>
      <w:r>
        <w:t>申报系统的系统操作流程相似。现以使用频率较高的电子税务局为例，对出口退（免）税申报的系统操作流程进行介绍。</w:t>
      </w:r>
    </w:p>
    <w:p w14:paraId="093654BF" w14:textId="77777777" w:rsidR="0096678F" w:rsidRDefault="00000000">
      <w:pPr>
        <w:spacing w:after="176" w:line="259" w:lineRule="auto"/>
        <w:ind w:left="651"/>
        <w:rPr>
          <w:rFonts w:hint="eastAsia"/>
        </w:rPr>
      </w:pPr>
      <w:r>
        <w:t>电子税务局出口退（免）税申报操作流程具体如下：</w:t>
      </w:r>
    </w:p>
    <w:p w14:paraId="045DEBD9" w14:textId="77777777" w:rsidR="0096678F" w:rsidRDefault="00000000">
      <w:pPr>
        <w:numPr>
          <w:ilvl w:val="0"/>
          <w:numId w:val="4"/>
        </w:numPr>
        <w:spacing w:after="176" w:line="259" w:lineRule="auto"/>
        <w:ind w:hanging="799"/>
        <w:rPr>
          <w:rFonts w:hint="eastAsia"/>
        </w:rPr>
      </w:pPr>
      <w:r>
        <w:t>免抵退税申报</w:t>
      </w:r>
    </w:p>
    <w:p w14:paraId="222D89BF" w14:textId="77777777" w:rsidR="0096678F" w:rsidRDefault="00000000">
      <w:pPr>
        <w:spacing w:after="3" w:line="357" w:lineRule="auto"/>
        <w:ind w:left="-15" w:right="160" w:firstLine="641"/>
        <w:jc w:val="both"/>
        <w:rPr>
          <w:rFonts w:hint="eastAsia"/>
        </w:rPr>
      </w:pPr>
      <w:r>
        <w:t>操作路径：登录电子税务局后，点击【我要办税】-【出口退税管理】-【出口退免税申报】-【免抵退税申报】功能菜单。</w:t>
      </w:r>
    </w:p>
    <w:p w14:paraId="480A3AC7" w14:textId="77777777" w:rsidR="0096678F" w:rsidRDefault="00000000">
      <w:pPr>
        <w:numPr>
          <w:ilvl w:val="0"/>
          <w:numId w:val="4"/>
        </w:numPr>
        <w:spacing w:after="176" w:line="259" w:lineRule="auto"/>
        <w:ind w:hanging="799"/>
        <w:rPr>
          <w:rFonts w:hint="eastAsia"/>
        </w:rPr>
      </w:pPr>
      <w:r>
        <w:t>免退税申报</w:t>
      </w:r>
    </w:p>
    <w:p w14:paraId="4B7DCEB1" w14:textId="77777777" w:rsidR="0096678F" w:rsidRDefault="00000000">
      <w:pPr>
        <w:ind w:left="-15" w:firstLine="641"/>
        <w:rPr>
          <w:rFonts w:hint="eastAsia"/>
        </w:rPr>
      </w:pPr>
      <w:r>
        <w:t>操作路径：登录电子税务局后，点击【我要办税】-【出口退税管理】-【出口退免税申报】-【免退税申报】功能菜单。</w:t>
      </w:r>
    </w:p>
    <w:p w14:paraId="346F3372" w14:textId="77777777" w:rsidR="0096678F" w:rsidRDefault="00000000">
      <w:pPr>
        <w:numPr>
          <w:ilvl w:val="0"/>
          <w:numId w:val="4"/>
        </w:numPr>
        <w:spacing w:after="176" w:line="259" w:lineRule="auto"/>
        <w:ind w:hanging="799"/>
        <w:rPr>
          <w:rFonts w:hint="eastAsia"/>
        </w:rPr>
      </w:pPr>
      <w:r>
        <w:lastRenderedPageBreak/>
        <w:t>申报错误撤回操作</w:t>
      </w:r>
    </w:p>
    <w:p w14:paraId="29155968" w14:textId="77777777" w:rsidR="0096678F" w:rsidRDefault="00000000">
      <w:pPr>
        <w:ind w:left="651"/>
        <w:rPr>
          <w:rFonts w:hint="eastAsia"/>
        </w:rPr>
      </w:pPr>
      <w:r>
        <w:t>企业发现已申报但尚未经主管税务机关核准的出口退（免）税申报数据有误的，应报送《企业撤回退（免）税申报申请表》，主管税务机关未发现存在不予退税情形的，即可撤回该批次（所属期）申报数据。</w:t>
      </w:r>
    </w:p>
    <w:p w14:paraId="3313BF14" w14:textId="77777777" w:rsidR="0096678F" w:rsidRDefault="00000000">
      <w:pPr>
        <w:spacing w:after="3" w:line="357" w:lineRule="auto"/>
        <w:ind w:left="-15" w:right="160" w:firstLine="641"/>
        <w:jc w:val="both"/>
        <w:rPr>
          <w:rFonts w:hint="eastAsia"/>
        </w:rPr>
      </w:pPr>
      <w:r>
        <w:t>操作路径：登录电子税务局后，点击【我要办税】-【出口退税管理】-【出口退免税申报】-【企业撤回申报数据申请】。</w:t>
      </w:r>
    </w:p>
    <w:p w14:paraId="17962302" w14:textId="77777777" w:rsidR="0096678F" w:rsidRDefault="00000000">
      <w:pPr>
        <w:numPr>
          <w:ilvl w:val="0"/>
          <w:numId w:val="4"/>
        </w:numPr>
        <w:spacing w:after="176" w:line="259" w:lineRule="auto"/>
        <w:ind w:hanging="799"/>
        <w:rPr>
          <w:rFonts w:hint="eastAsia"/>
        </w:rPr>
      </w:pPr>
      <w:r>
        <w:t>退税进度查询</w:t>
      </w:r>
    </w:p>
    <w:p w14:paraId="75C9B4CD" w14:textId="77777777" w:rsidR="0096678F" w:rsidRDefault="00000000">
      <w:pPr>
        <w:ind w:left="-15" w:firstLine="641"/>
        <w:rPr>
          <w:rFonts w:hint="eastAsia"/>
        </w:rPr>
      </w:pPr>
      <w:r>
        <w:t>企业如需了解</w:t>
      </w:r>
      <w:r>
        <w:rPr>
          <w:rFonts w:ascii="宋体" w:eastAsia="宋体" w:hAnsi="宋体" w:cs="宋体"/>
        </w:rPr>
        <w:t>出口</w:t>
      </w:r>
      <w:r>
        <w:t>退税审核进度，可登录电子税务局，点击【我要查询】-【一户式查询】-【出口退税相关信息查询】-【退税审核进度查询】。</w:t>
      </w:r>
    </w:p>
    <w:p w14:paraId="562A1BB3" w14:textId="77777777" w:rsidR="0096678F" w:rsidRDefault="00000000">
      <w:pPr>
        <w:pStyle w:val="2"/>
        <w:ind w:left="636" w:right="0"/>
        <w:rPr>
          <w:rFonts w:hint="eastAsia"/>
        </w:rPr>
      </w:pPr>
      <w:bookmarkStart w:id="8" w:name="_Toc8057"/>
      <w:r>
        <w:t>（三）出口退（免）税备案单证管理</w:t>
      </w:r>
      <w:bookmarkEnd w:id="8"/>
    </w:p>
    <w:p w14:paraId="28758C5A" w14:textId="77777777" w:rsidR="0096678F" w:rsidRDefault="00000000">
      <w:pPr>
        <w:ind w:left="-15" w:firstLine="641"/>
        <w:rPr>
          <w:rFonts w:hint="eastAsia"/>
        </w:rPr>
      </w:pPr>
      <w:r>
        <w:t>企业应在申报出口退（免）税后15日内，将下列备案单证妥善留存，并按照申报退（免）税的时间顺序，制作出口退（免）税备案单证目录，注明单证存放方式，以备税务机关核查。</w:t>
      </w:r>
    </w:p>
    <w:p w14:paraId="409628DE" w14:textId="77777777" w:rsidR="0096678F" w:rsidRDefault="00000000">
      <w:pPr>
        <w:ind w:left="-15" w:firstLine="641"/>
        <w:rPr>
          <w:rFonts w:hint="eastAsia"/>
        </w:rPr>
      </w:pPr>
      <w:r>
        <w:t>1.出口企业的购销合同（包括：出口合同、外贸综合服务合同、外贸企业购货合同、生产企业收购非自产货物出口的购货合同等）;</w:t>
      </w:r>
    </w:p>
    <w:p w14:paraId="5BAAB41F" w14:textId="77777777" w:rsidR="0096678F" w:rsidRDefault="00000000">
      <w:pPr>
        <w:ind w:left="-15" w:firstLine="641"/>
        <w:rPr>
          <w:rFonts w:hint="eastAsia"/>
        </w:rPr>
      </w:pPr>
      <w:r>
        <w:t>2.出口货物的运输单据(包括：海运提单、航空运单、铁路运单、货物承运单据、邮政收据等承运人出具的货物单</w:t>
      </w:r>
      <w:r>
        <w:lastRenderedPageBreak/>
        <w:t>据，出口企业承付运费的国内运输发票，出口企业承付费用的国际货物运输代理服务费发票等);</w:t>
      </w:r>
    </w:p>
    <w:p w14:paraId="3ECD038C" w14:textId="77777777" w:rsidR="0096678F" w:rsidRDefault="00000000">
      <w:pPr>
        <w:ind w:left="-15" w:firstLine="641"/>
        <w:rPr>
          <w:rFonts w:hint="eastAsia"/>
        </w:rPr>
      </w:pPr>
      <w:r>
        <w:t>3.出口企业委托其他单位报关的单据(包括：委托报关协议、受托报关单位为其开具的代理报关服务费发票等)。</w:t>
      </w:r>
    </w:p>
    <w:p w14:paraId="5A0DD61E" w14:textId="77777777" w:rsidR="0096678F" w:rsidRDefault="00000000">
      <w:pPr>
        <w:ind w:left="-15" w:firstLine="641"/>
        <w:rPr>
          <w:rFonts w:hint="eastAsia"/>
        </w:rPr>
      </w:pPr>
      <w:r>
        <w:t>在实务中，企业无法取得上述单证的，可用具有相似内容或作用的其他资料进行单证备案。除另有规定外，备案单证由企业存放和保管，不得擅自损毁，保存期为5年。</w:t>
      </w:r>
    </w:p>
    <w:p w14:paraId="5FDC28F2" w14:textId="77777777" w:rsidR="0096678F" w:rsidRDefault="00000000">
      <w:pPr>
        <w:ind w:left="-15" w:firstLine="641"/>
        <w:rPr>
          <w:rFonts w:hint="eastAsia"/>
        </w:rPr>
      </w:pPr>
      <w:r>
        <w:t>企业在留存保管上述备案单证时，可以自行选择纸质化、影像</w:t>
      </w:r>
      <w:proofErr w:type="gramStart"/>
      <w:r>
        <w:t>化或者</w:t>
      </w:r>
      <w:proofErr w:type="gramEnd"/>
      <w:r>
        <w:t>数字化方式。选择纸质化方式的，需在出口退（免）税备案单证目录中注明备案单证的存放地点。税务部门查验备案单证时，企业应将影像</w:t>
      </w:r>
      <w:proofErr w:type="gramStart"/>
      <w:r>
        <w:t>化或者</w:t>
      </w:r>
      <w:proofErr w:type="gramEnd"/>
      <w:r>
        <w:t>数字化备案单证转换为纸质化备案单证以供查验，并在纸质化单证上加盖企业印章并签字声明与原数据一致。</w:t>
      </w:r>
    </w:p>
    <w:p w14:paraId="1C1BA2E9" w14:textId="77777777" w:rsidR="0096678F" w:rsidRDefault="00000000">
      <w:pPr>
        <w:pStyle w:val="2"/>
        <w:ind w:left="636" w:right="0"/>
        <w:rPr>
          <w:rFonts w:hint="eastAsia"/>
        </w:rPr>
      </w:pPr>
      <w:bookmarkStart w:id="9" w:name="_Toc8058"/>
      <w:r>
        <w:t>（四）出口退（免）税收汇要求</w:t>
      </w:r>
      <w:bookmarkEnd w:id="9"/>
    </w:p>
    <w:p w14:paraId="6B4573B2" w14:textId="77777777" w:rsidR="0096678F" w:rsidRDefault="00000000">
      <w:pPr>
        <w:ind w:left="-15" w:firstLine="641"/>
        <w:rPr>
          <w:rFonts w:hint="eastAsia"/>
        </w:rPr>
      </w:pPr>
      <w:r>
        <w:t>企业采用跨境电商海</w:t>
      </w:r>
      <w:proofErr w:type="gramStart"/>
      <w:r>
        <w:t>外仓方式</w:t>
      </w:r>
      <w:proofErr w:type="gramEnd"/>
      <w:r>
        <w:t>出口、适用出口退（免）税政策的出口货物，有关收汇事项应按照《国家税务总局关于进一步便利出口退税办理 促进外贸平稳发展有关事项的公告》（2022年第9号）第八条的规定执行。</w:t>
      </w:r>
    </w:p>
    <w:p w14:paraId="62747690" w14:textId="77777777" w:rsidR="0096678F" w:rsidRDefault="00000000">
      <w:pPr>
        <w:pStyle w:val="3"/>
        <w:spacing w:after="176" w:line="259" w:lineRule="auto"/>
        <w:ind w:left="651"/>
        <w:rPr>
          <w:rFonts w:hint="eastAsia"/>
        </w:rPr>
      </w:pPr>
      <w:bookmarkStart w:id="10" w:name="_Toc8059"/>
      <w:r>
        <w:t>1.关于收汇期限</w:t>
      </w:r>
      <w:bookmarkEnd w:id="10"/>
    </w:p>
    <w:p w14:paraId="28F558BE" w14:textId="77777777" w:rsidR="0096678F" w:rsidRDefault="00000000">
      <w:pPr>
        <w:ind w:left="-15" w:firstLine="641"/>
        <w:rPr>
          <w:rFonts w:hint="eastAsia"/>
        </w:rPr>
      </w:pPr>
      <w:r>
        <w:t>企业申报退（免）税的出口货物，应当在出口退（免）税申报期截止之日前收汇。未在规定期限内收汇，但符合《视同收汇原因及举证材料清单》所列原因的，企业留存</w:t>
      </w:r>
      <w:r>
        <w:lastRenderedPageBreak/>
        <w:t>《出口货物收汇情况表》及举证材料，即可视同收汇;因出口合同约定全部收汇最终日期在退（免）税申报期截止之日后的，应当在合同约定收汇日期前完成收汇。</w:t>
      </w:r>
    </w:p>
    <w:p w14:paraId="675A301C" w14:textId="77777777" w:rsidR="0096678F" w:rsidRDefault="00000000">
      <w:pPr>
        <w:pStyle w:val="3"/>
        <w:spacing w:after="176" w:line="259" w:lineRule="auto"/>
        <w:ind w:left="651"/>
        <w:rPr>
          <w:rFonts w:hint="eastAsia"/>
        </w:rPr>
      </w:pPr>
      <w:bookmarkStart w:id="11" w:name="_Toc8060"/>
      <w:r>
        <w:t>2.关于收汇资料的报送要求</w:t>
      </w:r>
      <w:bookmarkEnd w:id="11"/>
    </w:p>
    <w:p w14:paraId="09F4A021" w14:textId="77777777" w:rsidR="0096678F" w:rsidRDefault="00000000">
      <w:pPr>
        <w:ind w:left="-15" w:firstLine="641"/>
        <w:rPr>
          <w:rFonts w:hint="eastAsia"/>
        </w:rPr>
      </w:pPr>
      <w:r>
        <w:t>原则上，企业申报出口退（免）税时，无需报送收汇材料，留存举证材料备查即可，税务机关按规定需要查验收汇情况的，企业应当按照要求报送收汇材料。存在以下特殊情形的，企业需在申报退（免）税时同时报送收汇材料：</w:t>
      </w:r>
    </w:p>
    <w:p w14:paraId="08AFD26E" w14:textId="77777777" w:rsidR="0096678F" w:rsidRDefault="00000000">
      <w:pPr>
        <w:numPr>
          <w:ilvl w:val="0"/>
          <w:numId w:val="5"/>
        </w:numPr>
        <w:spacing w:after="176" w:line="259" w:lineRule="auto"/>
        <w:ind w:firstLine="641"/>
        <w:rPr>
          <w:rFonts w:hint="eastAsia"/>
        </w:rPr>
      </w:pPr>
      <w:r>
        <w:t>出口退（免）税管理类别为四类的企业。</w:t>
      </w:r>
    </w:p>
    <w:p w14:paraId="5C288187" w14:textId="77777777" w:rsidR="0096678F" w:rsidRDefault="00000000">
      <w:pPr>
        <w:numPr>
          <w:ilvl w:val="0"/>
          <w:numId w:val="5"/>
        </w:numPr>
        <w:ind w:firstLine="641"/>
        <w:rPr>
          <w:rFonts w:hint="eastAsia"/>
        </w:rPr>
      </w:pPr>
      <w:r>
        <w:t>企业在退（免）税申报期截止之日后申报出口货物退（免）税。</w:t>
      </w:r>
    </w:p>
    <w:p w14:paraId="18FE0165" w14:textId="77777777" w:rsidR="0096678F" w:rsidRDefault="00000000">
      <w:pPr>
        <w:numPr>
          <w:ilvl w:val="0"/>
          <w:numId w:val="5"/>
        </w:numPr>
        <w:ind w:firstLine="641"/>
        <w:rPr>
          <w:rFonts w:hint="eastAsia"/>
        </w:rPr>
      </w:pPr>
      <w:r>
        <w:t>企业被税务机关发现收汇材料为虚假或冒用的，应自税务机关出具书面通知之日起24个月内，在申报出口退（免）税时报送收汇材料。</w:t>
      </w:r>
    </w:p>
    <w:p w14:paraId="63884200" w14:textId="77777777" w:rsidR="0096678F" w:rsidRDefault="00000000">
      <w:pPr>
        <w:ind w:left="-15" w:firstLine="641"/>
        <w:rPr>
          <w:rFonts w:hint="eastAsia"/>
        </w:rPr>
      </w:pPr>
      <w:r>
        <w:t>上述收汇材料，具体是指《出口货物收汇情况表》及举证材料。对于已收汇的出口货物，举证材料为银行收汇凭证或者结汇水单等凭证；出口货物为跨境贸易人民币结算、委托出口并由受托方代为收汇，可提供收取人民币的收款凭证；对于视同收汇的出口货物，举证材料按照《视同收汇原因及举证材料清单》确定。</w:t>
      </w:r>
    </w:p>
    <w:p w14:paraId="7D58F0AF" w14:textId="77777777" w:rsidR="0096678F" w:rsidRDefault="00000000">
      <w:pPr>
        <w:pStyle w:val="3"/>
        <w:spacing w:after="176" w:line="259" w:lineRule="auto"/>
        <w:ind w:left="651"/>
        <w:rPr>
          <w:rFonts w:hint="eastAsia"/>
        </w:rPr>
      </w:pPr>
      <w:bookmarkStart w:id="12" w:name="_Toc8061"/>
      <w:r>
        <w:lastRenderedPageBreak/>
        <w:t>3.注意事项</w:t>
      </w:r>
      <w:bookmarkEnd w:id="12"/>
    </w:p>
    <w:p w14:paraId="58165EFC" w14:textId="77777777" w:rsidR="0096678F" w:rsidRDefault="00000000">
      <w:pPr>
        <w:spacing w:after="3" w:line="357" w:lineRule="auto"/>
        <w:ind w:left="-15" w:right="160" w:firstLine="641"/>
        <w:jc w:val="both"/>
        <w:rPr>
          <w:rFonts w:hint="eastAsia"/>
        </w:rPr>
      </w:pPr>
      <w:r>
        <w:t>企业申报退（免）税的出口货物，具有下列情形之一，税务机关未办理出口退（免）税的，不得办理出口退（免）税；已办理出口退（免）税的，应在发生相关情形的次月用负数申报冲减原退（免）税申报数据，当期退（免）税额不足冲减的，应补缴差额部分的税款：</w:t>
      </w:r>
    </w:p>
    <w:p w14:paraId="6D46DBA9" w14:textId="77777777" w:rsidR="0096678F" w:rsidRDefault="00000000">
      <w:pPr>
        <w:numPr>
          <w:ilvl w:val="0"/>
          <w:numId w:val="6"/>
        </w:numPr>
        <w:ind w:firstLine="641"/>
        <w:rPr>
          <w:rFonts w:hint="eastAsia"/>
        </w:rPr>
      </w:pPr>
      <w:r>
        <w:t>因出口合同约定全部收汇最终日期在退（免）税申报期截止之日后的，未在合同约定收汇日期前完成收汇；</w:t>
      </w:r>
    </w:p>
    <w:p w14:paraId="5265D4BC" w14:textId="77777777" w:rsidR="0096678F" w:rsidRDefault="00000000">
      <w:pPr>
        <w:numPr>
          <w:ilvl w:val="0"/>
          <w:numId w:val="6"/>
        </w:numPr>
        <w:spacing w:after="176" w:line="259" w:lineRule="auto"/>
        <w:ind w:firstLine="641"/>
        <w:rPr>
          <w:rFonts w:hint="eastAsia"/>
        </w:rPr>
      </w:pPr>
      <w:r>
        <w:t>未在规定期限内收汇，且不符合视同收汇规定；</w:t>
      </w:r>
    </w:p>
    <w:p w14:paraId="279F1155" w14:textId="77777777" w:rsidR="0096678F" w:rsidRDefault="00000000">
      <w:pPr>
        <w:numPr>
          <w:ilvl w:val="0"/>
          <w:numId w:val="6"/>
        </w:numPr>
        <w:spacing w:after="176" w:line="259" w:lineRule="auto"/>
        <w:ind w:firstLine="641"/>
        <w:rPr>
          <w:rFonts w:hint="eastAsia"/>
        </w:rPr>
      </w:pPr>
      <w:r>
        <w:t>未按本条规定留存收汇材料。</w:t>
      </w:r>
    </w:p>
    <w:p w14:paraId="1C68A5F9" w14:textId="77777777" w:rsidR="0096678F" w:rsidRDefault="00000000">
      <w:pPr>
        <w:ind w:left="-15" w:firstLine="641"/>
        <w:rPr>
          <w:rFonts w:hint="eastAsia"/>
        </w:rPr>
      </w:pPr>
      <w:r>
        <w:t>企业确实无法</w:t>
      </w:r>
      <w:proofErr w:type="gramStart"/>
      <w:r>
        <w:t>收汇且</w:t>
      </w:r>
      <w:proofErr w:type="gramEnd"/>
      <w:r>
        <w:t>不符合视同收汇规定的出口货物，适用增值税免税政策。</w:t>
      </w:r>
    </w:p>
    <w:p w14:paraId="75B40EDB" w14:textId="77777777" w:rsidR="0096678F" w:rsidRDefault="00000000">
      <w:pPr>
        <w:ind w:left="-15" w:firstLine="641"/>
        <w:rPr>
          <w:rFonts w:hint="eastAsia"/>
        </w:rPr>
      </w:pPr>
      <w:r>
        <w:t>企业申报退（免）税的出口货物收汇材料为虚假或者冒用的，应当按照《中华人民共和国税收征收管理法》有关规定进行处理，相应的出口货物适用增值税征税政策。</w:t>
      </w:r>
    </w:p>
    <w:p w14:paraId="17AAD9C1" w14:textId="77777777" w:rsidR="0096678F" w:rsidRDefault="00000000">
      <w:pPr>
        <w:pStyle w:val="2"/>
        <w:ind w:left="636" w:right="0"/>
        <w:rPr>
          <w:rFonts w:hint="eastAsia"/>
        </w:rPr>
      </w:pPr>
      <w:bookmarkStart w:id="13" w:name="_Toc8062"/>
      <w:r>
        <w:t>（五）其他</w:t>
      </w:r>
      <w:bookmarkEnd w:id="13"/>
    </w:p>
    <w:p w14:paraId="10706DB3" w14:textId="77777777" w:rsidR="0096678F" w:rsidRDefault="00000000">
      <w:pPr>
        <w:spacing w:after="3" w:line="357" w:lineRule="auto"/>
        <w:ind w:left="-15" w:right="160" w:firstLine="641"/>
        <w:jc w:val="both"/>
        <w:rPr>
          <w:rFonts w:hint="eastAsia"/>
        </w:rPr>
      </w:pPr>
      <w:r>
        <w:t>跨境电</w:t>
      </w:r>
      <w:proofErr w:type="gramStart"/>
      <w:r>
        <w:t>商出口</w:t>
      </w:r>
      <w:proofErr w:type="gramEnd"/>
      <w:r>
        <w:t>海外仓业务退税适用现行出口退（免）</w:t>
      </w:r>
      <w:proofErr w:type="gramStart"/>
      <w:r>
        <w:t>税有关</w:t>
      </w:r>
      <w:proofErr w:type="gramEnd"/>
      <w:r>
        <w:t>政策，本指引未列明的其他事项，按照现行税收相关规定办理。</w:t>
      </w:r>
    </w:p>
    <w:p w14:paraId="442D226D" w14:textId="77777777" w:rsidR="0096678F" w:rsidRDefault="00000000">
      <w:pPr>
        <w:pStyle w:val="1"/>
        <w:spacing w:after="803"/>
        <w:ind w:right="175"/>
        <w:rPr>
          <w:rFonts w:hint="eastAsia"/>
        </w:rPr>
      </w:pPr>
      <w:bookmarkStart w:id="14" w:name="_Toc8063"/>
      <w:r>
        <w:lastRenderedPageBreak/>
        <w:t>三、参考文件</w:t>
      </w:r>
      <w:bookmarkEnd w:id="14"/>
    </w:p>
    <w:p w14:paraId="128E847F" w14:textId="77777777" w:rsidR="0096678F" w:rsidRDefault="00000000">
      <w:pPr>
        <w:numPr>
          <w:ilvl w:val="0"/>
          <w:numId w:val="7"/>
        </w:numPr>
        <w:ind w:firstLine="425"/>
        <w:rPr>
          <w:rFonts w:hint="eastAsia"/>
        </w:rPr>
      </w:pPr>
      <w:r>
        <w:t>《中华人民共和国增值税暂行条例实施细则》（财政部令第65号）</w:t>
      </w:r>
    </w:p>
    <w:p w14:paraId="007DA7E6" w14:textId="77777777" w:rsidR="0096678F" w:rsidRDefault="00000000">
      <w:pPr>
        <w:numPr>
          <w:ilvl w:val="0"/>
          <w:numId w:val="7"/>
        </w:numPr>
        <w:ind w:firstLine="425"/>
        <w:rPr>
          <w:rFonts w:hint="eastAsia"/>
        </w:rPr>
      </w:pPr>
      <w:r>
        <w:t>《财政部 国家税务总局关于出口货物劳务增值税和消费税政策的通知》（财税〔2012〕39号）</w:t>
      </w:r>
    </w:p>
    <w:p w14:paraId="6F9ED906" w14:textId="77777777" w:rsidR="0096678F" w:rsidRDefault="00000000">
      <w:pPr>
        <w:numPr>
          <w:ilvl w:val="0"/>
          <w:numId w:val="7"/>
        </w:numPr>
        <w:spacing w:after="3" w:line="357" w:lineRule="auto"/>
        <w:ind w:firstLine="425"/>
        <w:rPr>
          <w:rFonts w:hint="eastAsia"/>
        </w:rPr>
      </w:pPr>
      <w:r>
        <w:t>《国家税务总局关于发布〈出口货物劳务增值税和消费税管理办法〉的公告》（国家税务总局公告2012年第24 号）</w:t>
      </w:r>
    </w:p>
    <w:p w14:paraId="3BF8BD68" w14:textId="77777777" w:rsidR="0096678F" w:rsidRDefault="00000000">
      <w:pPr>
        <w:numPr>
          <w:ilvl w:val="0"/>
          <w:numId w:val="7"/>
        </w:numPr>
        <w:spacing w:after="3" w:line="357" w:lineRule="auto"/>
        <w:ind w:firstLine="425"/>
        <w:rPr>
          <w:rFonts w:hint="eastAsia"/>
        </w:rPr>
      </w:pPr>
      <w:r>
        <w:t>《国家税务总局关于〈出口货物劳务增值税和消费税管理办法〉有关问题的公告》（国家税务总局公告2013年第12号）</w:t>
      </w:r>
    </w:p>
    <w:p w14:paraId="50871852" w14:textId="77777777" w:rsidR="0096678F" w:rsidRDefault="00000000">
      <w:pPr>
        <w:numPr>
          <w:ilvl w:val="0"/>
          <w:numId w:val="7"/>
        </w:numPr>
        <w:ind w:firstLine="425"/>
        <w:rPr>
          <w:rFonts w:hint="eastAsia"/>
        </w:rPr>
      </w:pPr>
      <w:r>
        <w:t>《国家税务总局关于出口货物劳务增值税和消费税有关问题的公告》（国家税务总局公告2013年第65号）</w:t>
      </w:r>
    </w:p>
    <w:p w14:paraId="69BCDDF3" w14:textId="77777777" w:rsidR="0096678F" w:rsidRDefault="00000000">
      <w:pPr>
        <w:numPr>
          <w:ilvl w:val="0"/>
          <w:numId w:val="7"/>
        </w:numPr>
        <w:ind w:firstLine="425"/>
        <w:rPr>
          <w:rFonts w:hint="eastAsia"/>
        </w:rPr>
      </w:pPr>
      <w:r>
        <w:t>《国家税务总局关于出口企业申报出口退（免）税免予提供纸质出口货物报关单的公告》（国家税务总局公告</w:t>
      </w:r>
    </w:p>
    <w:p w14:paraId="0D9B9D28" w14:textId="77777777" w:rsidR="0096678F" w:rsidRDefault="00000000">
      <w:pPr>
        <w:spacing w:after="154" w:line="259" w:lineRule="auto"/>
        <w:ind w:left="-5"/>
        <w:rPr>
          <w:rFonts w:hint="eastAsia"/>
        </w:rPr>
      </w:pPr>
      <w:r>
        <w:t>2015年第26号）</w:t>
      </w:r>
    </w:p>
    <w:p w14:paraId="25E8ADE5" w14:textId="77777777" w:rsidR="0096678F" w:rsidRDefault="00000000">
      <w:pPr>
        <w:numPr>
          <w:ilvl w:val="0"/>
          <w:numId w:val="7"/>
        </w:numPr>
        <w:ind w:firstLine="425"/>
        <w:rPr>
          <w:rFonts w:hint="eastAsia"/>
        </w:rPr>
      </w:pPr>
      <w:r>
        <w:t>《国家税务总局关于部分税务行政审批事项取消后有关管理问题的公告》（国家税务总局公告2015年第56号）</w:t>
      </w:r>
    </w:p>
    <w:p w14:paraId="6A640407" w14:textId="77777777" w:rsidR="0096678F" w:rsidRDefault="00000000">
      <w:pPr>
        <w:numPr>
          <w:ilvl w:val="0"/>
          <w:numId w:val="7"/>
        </w:numPr>
        <w:ind w:firstLine="425"/>
        <w:rPr>
          <w:rFonts w:hint="eastAsia"/>
        </w:rPr>
      </w:pPr>
      <w:r>
        <w:t>《财政部 国家税务总局关于全面推开营业税改征增值税试点的通知》（财税〔2016〕36号）</w:t>
      </w:r>
    </w:p>
    <w:p w14:paraId="19FB7895" w14:textId="77777777" w:rsidR="0096678F" w:rsidRDefault="00000000">
      <w:pPr>
        <w:numPr>
          <w:ilvl w:val="0"/>
          <w:numId w:val="7"/>
        </w:numPr>
        <w:ind w:firstLine="425"/>
        <w:rPr>
          <w:rFonts w:hint="eastAsia"/>
        </w:rPr>
      </w:pPr>
      <w:r>
        <w:lastRenderedPageBreak/>
        <w:t>《国家税务总局关于进一步推进出口退（免）税无纸化申报试点工作的通知》（</w:t>
      </w:r>
      <w:proofErr w:type="gramStart"/>
      <w:r>
        <w:t>税总函</w:t>
      </w:r>
      <w:proofErr w:type="gramEnd"/>
      <w:r>
        <w:t>〔2017〕176号）</w:t>
      </w:r>
    </w:p>
    <w:p w14:paraId="5F4D9F27" w14:textId="77777777" w:rsidR="0096678F" w:rsidRDefault="00000000">
      <w:pPr>
        <w:ind w:left="-15" w:firstLine="425"/>
        <w:rPr>
          <w:rFonts w:hint="eastAsia"/>
        </w:rPr>
      </w:pPr>
      <w:r>
        <w:rPr>
          <w:sz w:val="24"/>
        </w:rPr>
        <w:t>10.</w:t>
      </w:r>
      <w:r>
        <w:rPr>
          <w:rFonts w:ascii="宋体" w:eastAsia="宋体" w:hAnsi="宋体" w:cs="宋体"/>
        </w:rPr>
        <w:t>《财政</w:t>
      </w:r>
      <w:r>
        <w:t>部 税务总局关于明确国有农用地出租等增值税政策的公告》（财政部 税务总局公告2020年第2号）</w:t>
      </w:r>
    </w:p>
    <w:p w14:paraId="3FDF8FC2" w14:textId="77777777" w:rsidR="0096678F" w:rsidRDefault="00000000">
      <w:pPr>
        <w:spacing w:after="3" w:line="357" w:lineRule="auto"/>
        <w:ind w:left="-15" w:right="160" w:firstLine="415"/>
        <w:jc w:val="both"/>
        <w:rPr>
          <w:rFonts w:hint="eastAsia"/>
        </w:rPr>
      </w:pPr>
      <w:r>
        <w:rPr>
          <w:sz w:val="24"/>
        </w:rPr>
        <w:t>11.</w:t>
      </w:r>
      <w:r>
        <w:t>《国家税务总局关于优化整合出口退税信息系统更好服务纳税人有关事项的公告》（国家税务总局公告2021年第15号）</w:t>
      </w:r>
    </w:p>
    <w:p w14:paraId="7E9AD13A" w14:textId="77777777" w:rsidR="0096678F" w:rsidRDefault="00000000">
      <w:pPr>
        <w:spacing w:after="3" w:line="357" w:lineRule="auto"/>
        <w:ind w:left="-15" w:right="160" w:firstLine="415"/>
        <w:jc w:val="both"/>
        <w:rPr>
          <w:rFonts w:hint="eastAsia"/>
        </w:rPr>
      </w:pPr>
      <w:r>
        <w:rPr>
          <w:sz w:val="24"/>
        </w:rPr>
        <w:t>12.</w:t>
      </w:r>
      <w:r>
        <w:t>《国家税务总局关于进一步便利出口退税办理促进外贸平稳发展有关事项的公告》（国家税务总局公告2022年第9号）</w:t>
      </w:r>
    </w:p>
    <w:p w14:paraId="1459906A" w14:textId="77777777" w:rsidR="0096678F" w:rsidRDefault="00000000">
      <w:pPr>
        <w:spacing w:after="3" w:line="357" w:lineRule="auto"/>
        <w:ind w:left="-15" w:right="160" w:firstLine="415"/>
        <w:jc w:val="both"/>
        <w:rPr>
          <w:rFonts w:hint="eastAsia"/>
        </w:rPr>
      </w:pPr>
      <w:r>
        <w:rPr>
          <w:sz w:val="24"/>
        </w:rPr>
        <w:t>13.</w:t>
      </w:r>
      <w:r>
        <w:t>《财政部 海关总署 税务总局关于跨境电子商务出口退运商品税收政策的公告》（财政部 海关总署 税务总局公告2023年第4号）</w:t>
      </w:r>
    </w:p>
    <w:p w14:paraId="4B05ED2D" w14:textId="77777777" w:rsidR="0096678F" w:rsidRDefault="00000000">
      <w:pPr>
        <w:spacing w:after="3" w:line="357" w:lineRule="auto"/>
        <w:ind w:left="-15" w:right="160" w:firstLine="415"/>
        <w:jc w:val="both"/>
        <w:rPr>
          <w:rFonts w:hint="eastAsia"/>
        </w:rPr>
      </w:pPr>
      <w:r>
        <w:rPr>
          <w:sz w:val="24"/>
        </w:rPr>
        <w:t>14.</w:t>
      </w:r>
      <w:r>
        <w:t>《财政部 海关总署 税务总局关于延续实施跨境电子商务出口退运商品税收政策的公告》（财政部 海关总署 税务总局2023年第34号）</w:t>
      </w:r>
    </w:p>
    <w:p w14:paraId="3D68B9CE" w14:textId="77777777" w:rsidR="0096678F" w:rsidRDefault="00000000">
      <w:pPr>
        <w:ind w:left="-15" w:firstLine="425"/>
        <w:rPr>
          <w:rFonts w:hint="eastAsia"/>
        </w:rPr>
      </w:pPr>
      <w:r>
        <w:rPr>
          <w:sz w:val="24"/>
        </w:rPr>
        <w:t>15.</w:t>
      </w:r>
      <w:r>
        <w:t>《商务部 财政部 税务总局等9部门关于拓展跨境电商出口推进海外仓建设的意见》（</w:t>
      </w:r>
      <w:proofErr w:type="gramStart"/>
      <w:r>
        <w:t>商贸发</w:t>
      </w:r>
      <w:proofErr w:type="gramEnd"/>
      <w:r>
        <w:t>〔2024〕125号）</w:t>
      </w:r>
    </w:p>
    <w:sectPr w:rsidR="0096678F">
      <w:footerReference w:type="even" r:id="rId10"/>
      <w:footerReference w:type="default" r:id="rId11"/>
      <w:footerReference w:type="first" r:id="rId12"/>
      <w:pgSz w:w="11906" w:h="16838"/>
      <w:pgMar w:top="1594" w:right="1627" w:bottom="1509" w:left="1800" w:header="720" w:footer="9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D0D52" w14:textId="77777777" w:rsidR="00BC1F54" w:rsidRDefault="00BC1F54">
      <w:pPr>
        <w:spacing w:after="0" w:line="240" w:lineRule="auto"/>
        <w:rPr>
          <w:rFonts w:hint="eastAsia"/>
        </w:rPr>
      </w:pPr>
      <w:r>
        <w:separator/>
      </w:r>
    </w:p>
  </w:endnote>
  <w:endnote w:type="continuationSeparator" w:id="0">
    <w:p w14:paraId="1B0F62E0" w14:textId="77777777" w:rsidR="00BC1F54" w:rsidRDefault="00BC1F5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5833C" w14:textId="77777777" w:rsidR="0096678F" w:rsidRDefault="0096678F">
    <w:pPr>
      <w:spacing w:after="160" w:line="259" w:lineRule="auto"/>
      <w:ind w:left="0" w:firstLine="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FF9B1" w14:textId="77777777" w:rsidR="0096678F" w:rsidRDefault="0096678F">
    <w:pPr>
      <w:spacing w:after="160" w:line="259" w:lineRule="auto"/>
      <w:ind w:left="0" w:firstLine="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10EA" w14:textId="77777777" w:rsidR="0096678F" w:rsidRDefault="0096678F">
    <w:pPr>
      <w:spacing w:after="160" w:line="259" w:lineRule="auto"/>
      <w:ind w:left="0" w:firstLine="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A47D4" w14:textId="77777777" w:rsidR="0096678F" w:rsidRDefault="00000000">
    <w:pPr>
      <w:spacing w:after="0" w:line="259" w:lineRule="auto"/>
      <w:ind w:left="185" w:firstLine="0"/>
      <w:jc w:val="center"/>
      <w:rPr>
        <w:rFonts w:hint="eastAsia"/>
      </w:rPr>
    </w:pPr>
    <w:r>
      <w:fldChar w:fldCharType="begin"/>
    </w:r>
    <w:r>
      <w:instrText xml:space="preserve"> PAGE   \* MERGEFORMAT </w:instrText>
    </w:r>
    <w:r>
      <w:rPr>
        <w:rFonts w:hint="eastAsia"/>
      </w:rP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B9C0" w14:textId="77777777" w:rsidR="0096678F" w:rsidRDefault="00000000">
    <w:pPr>
      <w:spacing w:after="0" w:line="259" w:lineRule="auto"/>
      <w:ind w:left="185" w:firstLine="0"/>
      <w:jc w:val="center"/>
      <w:rPr>
        <w:rFonts w:hint="eastAsia"/>
      </w:rPr>
    </w:pPr>
    <w:r>
      <w:fldChar w:fldCharType="begin"/>
    </w:r>
    <w:r>
      <w:instrText xml:space="preserve"> PAGE   \* MERGEFORMAT </w:instrText>
    </w:r>
    <w:r>
      <w:rPr>
        <w:rFonts w:hint="eastAsia"/>
      </w:rP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7B97" w14:textId="77777777" w:rsidR="0096678F" w:rsidRDefault="00000000">
    <w:pPr>
      <w:spacing w:after="0" w:line="259" w:lineRule="auto"/>
      <w:ind w:left="185" w:firstLine="0"/>
      <w:jc w:val="center"/>
      <w:rPr>
        <w:rFonts w:hint="eastAsia"/>
      </w:rPr>
    </w:pPr>
    <w:r>
      <w:fldChar w:fldCharType="begin"/>
    </w:r>
    <w:r>
      <w:instrText xml:space="preserve"> PAGE   \* MERGEFORMAT </w:instrText>
    </w:r>
    <w:r>
      <w:rPr>
        <w:rFonts w:hint="eastAsia"/>
      </w:rPr>
      <w:fldChar w:fldCharType="separate"/>
    </w:r>
    <w:r>
      <w:rPr>
        <w:rFonts w:ascii="Calibri" w:eastAsia="Calibri" w:hAnsi="Calibri" w:cs="Calibri"/>
        <w:sz w:val="18"/>
      </w:rPr>
      <w:t>1</w:t>
    </w:r>
    <w:r>
      <w:rPr>
        <w:rFonts w:ascii="Calibri" w:eastAsia="Calibri" w:hAnsi="Calibri" w:cs="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25C3B" w14:textId="77777777" w:rsidR="00BC1F54" w:rsidRDefault="00BC1F54">
      <w:pPr>
        <w:spacing w:after="0" w:line="240" w:lineRule="auto"/>
        <w:rPr>
          <w:rFonts w:hint="eastAsia"/>
        </w:rPr>
      </w:pPr>
      <w:r>
        <w:separator/>
      </w:r>
    </w:p>
  </w:footnote>
  <w:footnote w:type="continuationSeparator" w:id="0">
    <w:p w14:paraId="6F660CEC" w14:textId="77777777" w:rsidR="00BC1F54" w:rsidRDefault="00BC1F54">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4D8"/>
    <w:multiLevelType w:val="hybridMultilevel"/>
    <w:tmpl w:val="FCC82110"/>
    <w:lvl w:ilvl="0" w:tplc="BD446700">
      <w:start w:val="1"/>
      <w:numFmt w:val="decim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084A74E0">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2370CBFA">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BD2E03BC">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80E2DF0E">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AC5CDE56">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12047580">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3C1663BC">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7E70133C">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6AF5D41"/>
    <w:multiLevelType w:val="hybridMultilevel"/>
    <w:tmpl w:val="8E26D3EE"/>
    <w:lvl w:ilvl="0" w:tplc="000C1CC8">
      <w:start w:val="2"/>
      <w:numFmt w:val="decimal"/>
      <w:lvlText w:val="（%1）"/>
      <w:lvlJc w:val="left"/>
      <w:pPr>
        <w:ind w:left="144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6BB67FE8">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51A0EA7E">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8E668064">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074673A8">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6268CBD0">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884652DC">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125CC4B6">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EF98209E">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207B492A"/>
    <w:multiLevelType w:val="hybridMultilevel"/>
    <w:tmpl w:val="1974C07E"/>
    <w:lvl w:ilvl="0" w:tplc="446AF83C">
      <w:start w:val="1"/>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AC0E3DA2">
      <w:start w:val="1"/>
      <w:numFmt w:val="lowerLetter"/>
      <w:lvlText w:val="%2"/>
      <w:lvlJc w:val="left"/>
      <w:pPr>
        <w:ind w:left="1505"/>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B601B46">
      <w:start w:val="1"/>
      <w:numFmt w:val="lowerRoman"/>
      <w:lvlText w:val="%3"/>
      <w:lvlJc w:val="left"/>
      <w:pPr>
        <w:ind w:left="2225"/>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C24C5630">
      <w:start w:val="1"/>
      <w:numFmt w:val="decimal"/>
      <w:lvlText w:val="%4"/>
      <w:lvlJc w:val="left"/>
      <w:pPr>
        <w:ind w:left="2945"/>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08C82ACC">
      <w:start w:val="1"/>
      <w:numFmt w:val="lowerLetter"/>
      <w:lvlText w:val="%5"/>
      <w:lvlJc w:val="left"/>
      <w:pPr>
        <w:ind w:left="3665"/>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2490289A">
      <w:start w:val="1"/>
      <w:numFmt w:val="lowerRoman"/>
      <w:lvlText w:val="%6"/>
      <w:lvlJc w:val="left"/>
      <w:pPr>
        <w:ind w:left="4385"/>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F1A041A0">
      <w:start w:val="1"/>
      <w:numFmt w:val="decimal"/>
      <w:lvlText w:val="%7"/>
      <w:lvlJc w:val="left"/>
      <w:pPr>
        <w:ind w:left="5105"/>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26528A9C">
      <w:start w:val="1"/>
      <w:numFmt w:val="lowerLetter"/>
      <w:lvlText w:val="%8"/>
      <w:lvlJc w:val="left"/>
      <w:pPr>
        <w:ind w:left="5825"/>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2B90A0A4">
      <w:start w:val="1"/>
      <w:numFmt w:val="lowerRoman"/>
      <w:lvlText w:val="%9"/>
      <w:lvlJc w:val="left"/>
      <w:pPr>
        <w:ind w:left="6545"/>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FF6D20"/>
    <w:multiLevelType w:val="hybridMultilevel"/>
    <w:tmpl w:val="56125DCE"/>
    <w:lvl w:ilvl="0" w:tplc="3058E9B6">
      <w:start w:val="1"/>
      <w:numFmt w:val="decim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A7445A50">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09F69790">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0F523380">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33DCDBD8">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7A8CF114">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35CEAB3E">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ED4E5D38">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B48270C0">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36AE779F"/>
    <w:multiLevelType w:val="hybridMultilevel"/>
    <w:tmpl w:val="D53CE376"/>
    <w:lvl w:ilvl="0" w:tplc="D570E7AE">
      <w:start w:val="1"/>
      <w:numFmt w:val="decim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79D6902E">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A2ECA05A">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461AD4F8">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F04AFF96">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D9FC11DE">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E38C1F32">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16E82924">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92344FB2">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4210262E"/>
    <w:multiLevelType w:val="hybridMultilevel"/>
    <w:tmpl w:val="BA167CAC"/>
    <w:lvl w:ilvl="0" w:tplc="45508354">
      <w:start w:val="1"/>
      <w:numFmt w:val="decimal"/>
      <w:lvlText w:val="（%1）"/>
      <w:lvlJc w:val="left"/>
      <w:pPr>
        <w:ind w:left="144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CF6CE63E">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597E9752">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C024A816">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057CE05C">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B2A0534E">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4288C6AC">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31C01E4C">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B7469A18">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65274BC0"/>
    <w:multiLevelType w:val="hybridMultilevel"/>
    <w:tmpl w:val="B0D21A8A"/>
    <w:lvl w:ilvl="0" w:tplc="78700440">
      <w:start w:val="1"/>
      <w:numFmt w:val="decimal"/>
      <w:lvlText w:val="（%1）"/>
      <w:lvlJc w:val="left"/>
      <w:pPr>
        <w:ind w:left="144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53FE8BEA">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0F105D3A">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07021050">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29109F1E">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D848C4E4">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0F7EB672">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A09AE688">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778EE93A">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num w:numId="1" w16cid:durableId="1437363649">
    <w:abstractNumId w:val="5"/>
  </w:num>
  <w:num w:numId="2" w16cid:durableId="1775587543">
    <w:abstractNumId w:val="4"/>
  </w:num>
  <w:num w:numId="3" w16cid:durableId="371657398">
    <w:abstractNumId w:val="1"/>
  </w:num>
  <w:num w:numId="4" w16cid:durableId="1862089004">
    <w:abstractNumId w:val="6"/>
  </w:num>
  <w:num w:numId="5" w16cid:durableId="1478719218">
    <w:abstractNumId w:val="3"/>
  </w:num>
  <w:num w:numId="6" w16cid:durableId="702094118">
    <w:abstractNumId w:val="0"/>
  </w:num>
  <w:num w:numId="7" w16cid:durableId="1739791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8F"/>
    <w:rsid w:val="00320B3C"/>
    <w:rsid w:val="00645EC8"/>
    <w:rsid w:val="0096678F"/>
    <w:rsid w:val="00BC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918C3"/>
  <w15:docId w15:val="{850E1EB0-359C-41A6-950D-049A8A80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358" w:lineRule="auto"/>
      <w:ind w:left="10" w:hanging="10"/>
    </w:pPr>
    <w:rPr>
      <w:rFonts w:ascii="仿宋" w:eastAsia="仿宋" w:hAnsi="仿宋" w:cs="仿宋"/>
      <w:color w:val="000000"/>
      <w:sz w:val="32"/>
    </w:rPr>
  </w:style>
  <w:style w:type="paragraph" w:styleId="1">
    <w:name w:val="heading 1"/>
    <w:next w:val="a"/>
    <w:link w:val="10"/>
    <w:uiPriority w:val="9"/>
    <w:qFormat/>
    <w:pPr>
      <w:keepNext/>
      <w:keepLines/>
      <w:spacing w:after="770" w:line="265" w:lineRule="auto"/>
      <w:ind w:left="10" w:right="77" w:hanging="10"/>
      <w:jc w:val="center"/>
      <w:outlineLvl w:val="0"/>
    </w:pPr>
    <w:rPr>
      <w:rFonts w:ascii="微软雅黑" w:eastAsia="微软雅黑" w:hAnsi="微软雅黑" w:cs="微软雅黑"/>
      <w:color w:val="000000"/>
      <w:sz w:val="36"/>
    </w:rPr>
  </w:style>
  <w:style w:type="paragraph" w:styleId="2">
    <w:name w:val="heading 2"/>
    <w:next w:val="a"/>
    <w:link w:val="20"/>
    <w:uiPriority w:val="9"/>
    <w:unhideWhenUsed/>
    <w:qFormat/>
    <w:pPr>
      <w:keepNext/>
      <w:keepLines/>
      <w:spacing w:after="176" w:line="259" w:lineRule="auto"/>
      <w:ind w:left="10" w:right="74" w:hanging="10"/>
      <w:outlineLvl w:val="1"/>
    </w:pPr>
    <w:rPr>
      <w:rFonts w:ascii="楷体" w:eastAsia="楷体" w:hAnsi="楷体" w:cs="楷体"/>
      <w:color w:val="000000"/>
      <w:sz w:val="32"/>
    </w:rPr>
  </w:style>
  <w:style w:type="paragraph" w:styleId="3">
    <w:name w:val="heading 3"/>
    <w:next w:val="a"/>
    <w:link w:val="30"/>
    <w:uiPriority w:val="9"/>
    <w:unhideWhenUsed/>
    <w:qFormat/>
    <w:pPr>
      <w:keepNext/>
      <w:keepLines/>
      <w:spacing w:after="4" w:line="358" w:lineRule="auto"/>
      <w:ind w:left="10" w:hanging="10"/>
      <w:outlineLvl w:val="2"/>
    </w:pPr>
    <w:rPr>
      <w:rFonts w:ascii="仿宋" w:eastAsia="仿宋" w:hAnsi="仿宋" w:cs="仿宋"/>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楷体" w:eastAsia="楷体" w:hAnsi="楷体" w:cs="楷体"/>
      <w:color w:val="000000"/>
      <w:sz w:val="32"/>
    </w:rPr>
  </w:style>
  <w:style w:type="character" w:customStyle="1" w:styleId="10">
    <w:name w:val="标题 1 字符"/>
    <w:link w:val="1"/>
    <w:rPr>
      <w:rFonts w:ascii="微软雅黑" w:eastAsia="微软雅黑" w:hAnsi="微软雅黑" w:cs="微软雅黑"/>
      <w:color w:val="000000"/>
      <w:sz w:val="36"/>
    </w:rPr>
  </w:style>
  <w:style w:type="character" w:customStyle="1" w:styleId="30">
    <w:name w:val="标题 3 字符"/>
    <w:link w:val="3"/>
    <w:rPr>
      <w:rFonts w:ascii="仿宋" w:eastAsia="仿宋" w:hAnsi="仿宋" w:cs="仿宋"/>
      <w:color w:val="000000"/>
      <w:sz w:val="32"/>
    </w:rPr>
  </w:style>
  <w:style w:type="paragraph" w:styleId="TOC1">
    <w:name w:val="toc 1"/>
    <w:hidden/>
    <w:pPr>
      <w:spacing w:after="177" w:line="265" w:lineRule="auto"/>
      <w:ind w:left="25" w:right="75" w:hanging="10"/>
    </w:pPr>
    <w:rPr>
      <w:rFonts w:ascii="Times New Roman" w:eastAsia="Times New Roman" w:hAnsi="Times New Roman" w:cs="Times New Roman"/>
      <w:color w:val="000000"/>
      <w:sz w:val="32"/>
    </w:rPr>
  </w:style>
  <w:style w:type="paragraph" w:styleId="TOC2">
    <w:name w:val="toc 2"/>
    <w:hidden/>
    <w:pPr>
      <w:spacing w:after="177" w:line="265" w:lineRule="auto"/>
      <w:ind w:left="445" w:right="75" w:hanging="10"/>
    </w:pPr>
    <w:rPr>
      <w:rFonts w:ascii="Times New Roman" w:eastAsia="Times New Roman" w:hAnsi="Times New Roman" w:cs="Times New Roman"/>
      <w:color w:val="000000"/>
      <w:sz w:val="32"/>
    </w:rPr>
  </w:style>
  <w:style w:type="paragraph" w:styleId="TOC3">
    <w:name w:val="toc 3"/>
    <w:hidden/>
    <w:pPr>
      <w:spacing w:after="177" w:line="265" w:lineRule="auto"/>
      <w:ind w:left="865" w:right="75" w:hanging="10"/>
    </w:pPr>
    <w:rPr>
      <w:rFonts w:ascii="Times New Roman" w:eastAsia="Times New Roman" w:hAnsi="Times New Roman" w:cs="Times New Roman"/>
      <w:color w:val="000000"/>
      <w:sz w:val="32"/>
    </w:rPr>
  </w:style>
  <w:style w:type="paragraph" w:styleId="a3">
    <w:name w:val="header"/>
    <w:basedOn w:val="a"/>
    <w:link w:val="a4"/>
    <w:uiPriority w:val="99"/>
    <w:unhideWhenUsed/>
    <w:rsid w:val="00320B3C"/>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320B3C"/>
    <w:rPr>
      <w:rFonts w:ascii="仿宋" w:eastAsia="仿宋" w:hAnsi="仿宋" w:cs="仿宋"/>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guest</dc:creator>
  <cp:keywords/>
  <cp:lastModifiedBy>Peng Gao</cp:lastModifiedBy>
  <cp:revision>2</cp:revision>
  <dcterms:created xsi:type="dcterms:W3CDTF">2024-09-22T14:13:00Z</dcterms:created>
  <dcterms:modified xsi:type="dcterms:W3CDTF">2024-09-22T14:13:00Z</dcterms:modified>
</cp:coreProperties>
</file>