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A335C">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p>
    <w:p w14:paraId="4B931C6D">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1.4.5  跨区域涉税事项报验登记——262</w:t>
      </w:r>
    </w:p>
    <w:p w14:paraId="3112CD02">
      <w:pPr>
        <w:pStyle w:val="2"/>
        <w:rPr>
          <w:rFonts w:hint="eastAsia"/>
        </w:rPr>
      </w:pPr>
    </w:p>
    <w:p w14:paraId="01B06129">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【事项概述】</w:t>
      </w:r>
    </w:p>
    <w:p w14:paraId="47D724E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纳税人到达经营地后，首次在经营地办理涉税事宜时，向经营地税务机关进行跨区域涉税事项报验。</w:t>
      </w:r>
      <w:r>
        <w:rPr>
          <w:rFonts w:hint="eastAsia" w:ascii="宋体" w:hAnsi="宋体" w:eastAsia="宋体" w:cs="宋体"/>
          <w:bCs/>
          <w:sz w:val="24"/>
          <w:szCs w:val="24"/>
        </w:rPr>
        <w:t>经营地税务机关受理纳税人报验信息，反馈报验状态、报验时间、报验机关给机构所在地税务机关。</w:t>
      </w:r>
    </w:p>
    <w:p w14:paraId="3212248E">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79F33E52">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0" w:firstLine="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办理方式：线上（全程在线自主办结）/线下</w:t>
      </w:r>
    </w:p>
    <w:p w14:paraId="53E8FE05">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办理时限：即时办结</w:t>
      </w:r>
    </w:p>
    <w:p w14:paraId="151AD57F">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1C902761">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1.线上流程：报告—确认</w:t>
      </w:r>
    </w:p>
    <w:p w14:paraId="32ADCA7A">
      <w:pPr>
        <w:pStyle w:val="6"/>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（1）报告</w:t>
      </w:r>
    </w:p>
    <w:p w14:paraId="114371E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纳税人通过全国统一规范电子税务局“跨区域涉税事项报验登记”功能办理，系统自动绑定跨区域经营项目联系人关联关系。</w:t>
      </w:r>
    </w:p>
    <w:p w14:paraId="1CB0F96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--信息系统：全国统一规范电子税务局“跨区域涉税事项报验登记”</w:t>
      </w:r>
    </w:p>
    <w:p w14:paraId="3B5733C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--表证单书：见资料处理部分</w:t>
      </w:r>
    </w:p>
    <w:p w14:paraId="57171846">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（2）确认</w:t>
      </w:r>
    </w:p>
    <w:p w14:paraId="7CDFBAA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对符合自动报验规则的，经纳税人确认同步报验后，系统自动完成跨区域涉税事项报验。对不符合自动报验规则的，经税务人员人工确认后完成跨区域涉税事项报验登记。</w:t>
      </w:r>
    </w:p>
    <w:p w14:paraId="4927D8D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--办理机构：纳税服务机构</w:t>
      </w:r>
    </w:p>
    <w:p w14:paraId="34E5363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--信息系统：税务人电子工作平台</w:t>
      </w:r>
    </w:p>
    <w:p w14:paraId="493BCDE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--表证单书：见资料处理部分</w:t>
      </w:r>
    </w:p>
    <w:p w14:paraId="64D2EB9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岗位职责：办税受理岗核对报送的《跨区域涉税事项报告表》等资料是否齐全，是否符合法定形式。符合的，予以受理。资料不齐全、不符合法定形式的，制作《税务事项通知书》（补正通知），一次性告知需补正的内容。依法不属于本机关职权或本业务受理范围的，制作《税务事项通知书》（不予受理通知），告知不予受理的原因。办税受理岗进行系统信息录入、维护，完成报验。录入信息必须规范、完整，并与纳税人提供的资料信息一致。</w:t>
      </w:r>
    </w:p>
    <w:p w14:paraId="6742818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首次在经营地办理涉税事项报验时，批量任务处理中心或办税服务厅人员应按照规定做好个人所得税全员全额扣缴申报税种认定和个人所得税客户端密码发放工作。</w:t>
      </w:r>
    </w:p>
    <w:p w14:paraId="768A4806">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2.线下流程：报告—受理</w:t>
      </w:r>
    </w:p>
    <w:p w14:paraId="4FD109F3">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（1）报告</w:t>
      </w:r>
    </w:p>
    <w:p w14:paraId="3731DDC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纳税人在办税服务厅提交跨区域涉税事项报验报送资料，申请办理本业务。</w:t>
      </w:r>
    </w:p>
    <w:p w14:paraId="4FD66052">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--表证单书：《跨区域涉税事项报告表》</w:t>
      </w:r>
    </w:p>
    <w:p w14:paraId="72AC1014">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（2）受理</w:t>
      </w:r>
    </w:p>
    <w:p w14:paraId="04CDF1A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--办理机构：纳税服务机构</w:t>
      </w:r>
    </w:p>
    <w:p w14:paraId="01497E7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--信息系统：金税系统“跨区域涉税事项报验登记管理”</w:t>
      </w:r>
    </w:p>
    <w:p w14:paraId="6A13860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--表证单书：《税务事项通知书》</w:t>
      </w:r>
    </w:p>
    <w:p w14:paraId="3DFE8F2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bidi="ar"/>
        </w:rPr>
        <w:t>办税受理岗核对报送的《跨区域涉税事项报告表》等资料是否齐全，是否符合法定形式。符合的，予以受理。存在多个报告表的情况下，根据纳税人报送的报告表精准报验。</w:t>
      </w:r>
      <w:r>
        <w:rPr>
          <w:rFonts w:hint="eastAsia" w:ascii="宋体" w:hAnsi="宋体" w:eastAsia="宋体" w:cs="宋体"/>
          <w:bCs/>
          <w:sz w:val="24"/>
          <w:szCs w:val="24"/>
        </w:rPr>
        <w:t>资料不齐全、不符合法定形式的，制作《税务事项通知书》（补正通知），一次性告知需补正的内容。依法不属于本机关职权或本业务受理范围的，制作《税务事项通知书》（不予受理通知），告知不予受理的原因。办税受理岗进行系统信息录入、维护，完成报验。录入信息必须规范、完整，并与纳税人提供的资料信息一致。</w:t>
      </w:r>
    </w:p>
    <w:p w14:paraId="7CDDED2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yellow"/>
        </w:rPr>
      </w:pPr>
      <w:r>
        <w:rPr>
          <w:rFonts w:hint="eastAsia" w:ascii="宋体" w:hAnsi="宋体" w:eastAsia="宋体" w:cs="宋体"/>
          <w:bCs/>
          <w:sz w:val="24"/>
          <w:szCs w:val="24"/>
          <w:highlight w:val="yellow"/>
        </w:rPr>
        <w:t>首次在经营地办理涉税事项报验时，</w:t>
      </w:r>
      <w:r>
        <w:rPr>
          <w:rFonts w:hint="eastAsia" w:ascii="宋体" w:hAnsi="宋体" w:eastAsia="宋体" w:cs="宋体"/>
          <w:b/>
          <w:bCs w:val="0"/>
          <w:color w:val="FF0000"/>
          <w:sz w:val="24"/>
          <w:szCs w:val="24"/>
          <w:highlight w:val="yellow"/>
        </w:rPr>
        <w:t>批量任务处理中心或办税服务厅人员应按照规定做好个人所得税全员全额扣缴申报税种认定</w:t>
      </w:r>
      <w:r>
        <w:rPr>
          <w:rFonts w:hint="eastAsia" w:ascii="宋体" w:hAnsi="宋体" w:eastAsia="宋体" w:cs="宋体"/>
          <w:bCs/>
          <w:sz w:val="24"/>
          <w:szCs w:val="24"/>
          <w:highlight w:val="yellow"/>
        </w:rPr>
        <w:t>。</w:t>
      </w:r>
    </w:p>
    <w:p w14:paraId="009128FE">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28E7052B">
      <w:pPr>
        <w:keepNext/>
        <w:pageBreakBefore w:val="0"/>
        <w:tabs>
          <w:tab w:val="center" w:pos="4200"/>
        </w:tabs>
        <w:kinsoku/>
        <w:wordWrap/>
        <w:topLinePunct w:val="0"/>
        <w:bidi w:val="0"/>
        <w:snapToGrid/>
        <w:spacing w:before="157" w:beforeLines="50" w:after="157" w:afterLines="50" w:line="360" w:lineRule="auto"/>
        <w:ind w:firstLine="181"/>
        <w:jc w:val="center"/>
        <w:rPr>
          <w:rFonts w:hint="eastAsia" w:ascii="宋体" w:hAnsi="宋体" w:eastAsia="宋体" w:cs="宋体"/>
          <w:b/>
          <w:kern w:val="0"/>
          <w:sz w:val="24"/>
          <w:szCs w:val="24"/>
        </w:rPr>
      </w:pPr>
      <w:r>
        <w:rPr>
          <w:rFonts w:hint="eastAsia" w:ascii="宋体" w:hAnsi="宋体" w:eastAsia="宋体" w:cs="宋体"/>
          <w:b/>
          <w:kern w:val="0"/>
          <w:sz w:val="24"/>
          <w:szCs w:val="24"/>
        </w:rPr>
        <w:t>跨区域涉税事项报验报送资料清单</w:t>
      </w:r>
    </w:p>
    <w:tbl>
      <w:tblPr>
        <w:tblStyle w:val="7"/>
        <w:tblW w:w="81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2"/>
        <w:gridCol w:w="3566"/>
        <w:gridCol w:w="669"/>
        <w:gridCol w:w="669"/>
        <w:gridCol w:w="669"/>
        <w:gridCol w:w="669"/>
        <w:gridCol w:w="669"/>
        <w:gridCol w:w="669"/>
      </w:tblGrid>
      <w:tr w14:paraId="4EB32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612" w:type="dxa"/>
            <w:tcBorders>
              <w:top w:val="single" w:color="auto" w:sz="12" w:space="0"/>
              <w:bottom w:val="single" w:color="auto" w:sz="6" w:space="0"/>
            </w:tcBorders>
            <w:shd w:val="clear" w:color="auto" w:fill="BFBFBF"/>
            <w:noWrap w:val="0"/>
            <w:vAlign w:val="center"/>
          </w:tcPr>
          <w:p w14:paraId="3E8C014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566" w:type="dxa"/>
            <w:tcBorders>
              <w:top w:val="single" w:color="auto" w:sz="12" w:space="0"/>
              <w:bottom w:val="single" w:color="auto" w:sz="6" w:space="0"/>
            </w:tcBorders>
            <w:shd w:val="clear" w:color="auto" w:fill="BFBFBF"/>
            <w:noWrap w:val="0"/>
            <w:vAlign w:val="center"/>
          </w:tcPr>
          <w:p w14:paraId="0F387DA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69" w:type="dxa"/>
            <w:tcBorders>
              <w:top w:val="single" w:color="auto" w:sz="12" w:space="0"/>
              <w:bottom w:val="single" w:color="auto" w:sz="6" w:space="0"/>
            </w:tcBorders>
            <w:shd w:val="clear" w:color="auto" w:fill="BFBFBF"/>
            <w:noWrap w:val="0"/>
            <w:vAlign w:val="center"/>
          </w:tcPr>
          <w:p w14:paraId="71280EF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69" w:type="dxa"/>
            <w:tcBorders>
              <w:top w:val="single" w:color="auto" w:sz="12" w:space="0"/>
              <w:bottom w:val="single" w:color="auto" w:sz="6" w:space="0"/>
            </w:tcBorders>
            <w:shd w:val="clear" w:color="auto" w:fill="BFBFBF"/>
            <w:noWrap w:val="0"/>
            <w:vAlign w:val="center"/>
          </w:tcPr>
          <w:p w14:paraId="65F42E7F">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69" w:type="dxa"/>
            <w:tcBorders>
              <w:top w:val="single" w:color="auto" w:sz="12" w:space="0"/>
              <w:bottom w:val="single" w:color="auto" w:sz="6" w:space="0"/>
            </w:tcBorders>
            <w:shd w:val="clear" w:color="auto" w:fill="BFBFBF"/>
            <w:noWrap w:val="0"/>
            <w:vAlign w:val="center"/>
          </w:tcPr>
          <w:p w14:paraId="039468A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69" w:type="dxa"/>
            <w:tcBorders>
              <w:top w:val="single" w:color="auto" w:sz="12" w:space="0"/>
              <w:bottom w:val="single" w:color="auto" w:sz="6" w:space="0"/>
            </w:tcBorders>
            <w:shd w:val="clear" w:color="auto" w:fill="BFBFBF"/>
            <w:noWrap w:val="0"/>
            <w:vAlign w:val="center"/>
          </w:tcPr>
          <w:p w14:paraId="2776CC5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69" w:type="dxa"/>
            <w:tcBorders>
              <w:top w:val="single" w:color="auto" w:sz="12" w:space="0"/>
              <w:bottom w:val="single" w:color="auto" w:sz="6" w:space="0"/>
            </w:tcBorders>
            <w:shd w:val="clear" w:color="auto" w:fill="BFBFBF"/>
            <w:noWrap w:val="0"/>
            <w:vAlign w:val="center"/>
          </w:tcPr>
          <w:p w14:paraId="5686E6EF">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69" w:type="dxa"/>
            <w:tcBorders>
              <w:top w:val="single" w:color="auto" w:sz="12" w:space="0"/>
              <w:bottom w:val="single" w:color="auto" w:sz="6" w:space="0"/>
            </w:tcBorders>
            <w:shd w:val="clear" w:color="auto" w:fill="BFBFBF"/>
            <w:noWrap w:val="0"/>
            <w:vAlign w:val="center"/>
          </w:tcPr>
          <w:p w14:paraId="14704A0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14:paraId="7529D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12" w:type="dxa"/>
            <w:tcBorders>
              <w:top w:val="single" w:color="auto" w:sz="6" w:space="0"/>
              <w:bottom w:val="single" w:color="auto" w:sz="12" w:space="0"/>
            </w:tcBorders>
            <w:noWrap w:val="0"/>
            <w:vAlign w:val="center"/>
          </w:tcPr>
          <w:p w14:paraId="5F4A9B1D">
            <w:pPr>
              <w:pageBreakBefore w:val="0"/>
              <w:widowControl/>
              <w:kinsoku/>
              <w:wordWrap/>
              <w:topLinePunct w:val="0"/>
              <w:bidi w:val="0"/>
              <w:snapToGrid/>
              <w:spacing w:before="157" w:beforeLines="50" w:after="157"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566" w:type="dxa"/>
            <w:tcBorders>
              <w:top w:val="single" w:color="auto" w:sz="6" w:space="0"/>
              <w:bottom w:val="single" w:color="auto" w:sz="12" w:space="0"/>
            </w:tcBorders>
            <w:noWrap w:val="0"/>
            <w:vAlign w:val="top"/>
          </w:tcPr>
          <w:p w14:paraId="4F1C66E7">
            <w:pPr>
              <w:pageBreakBefore w:val="0"/>
              <w:kinsoku/>
              <w:wordWrap/>
              <w:topLinePunct w:val="0"/>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加载统一社会信用代码的营业执照副本（未换照的出示税务登记证副本），或加盖纳税人公章的副本复印件</w:t>
            </w:r>
          </w:p>
        </w:tc>
        <w:tc>
          <w:tcPr>
            <w:tcW w:w="669" w:type="dxa"/>
            <w:tcBorders>
              <w:top w:val="single" w:color="auto" w:sz="6" w:space="0"/>
              <w:bottom w:val="single" w:color="auto" w:sz="12" w:space="0"/>
            </w:tcBorders>
            <w:noWrap w:val="0"/>
            <w:vAlign w:val="center"/>
          </w:tcPr>
          <w:p w14:paraId="22FFD809">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p>
        </w:tc>
        <w:tc>
          <w:tcPr>
            <w:tcW w:w="669" w:type="dxa"/>
            <w:tcBorders>
              <w:top w:val="single" w:color="auto" w:sz="6" w:space="0"/>
              <w:bottom w:val="single" w:color="auto" w:sz="12" w:space="0"/>
            </w:tcBorders>
            <w:noWrap w:val="0"/>
            <w:vAlign w:val="center"/>
          </w:tcPr>
          <w:p w14:paraId="06E8A7DF">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9" w:type="dxa"/>
            <w:tcBorders>
              <w:top w:val="single" w:color="auto" w:sz="6" w:space="0"/>
              <w:bottom w:val="single" w:color="auto" w:sz="12" w:space="0"/>
            </w:tcBorders>
            <w:noWrap w:val="0"/>
            <w:vAlign w:val="center"/>
          </w:tcPr>
          <w:p w14:paraId="39D10BEB">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p>
        </w:tc>
        <w:tc>
          <w:tcPr>
            <w:tcW w:w="669" w:type="dxa"/>
            <w:tcBorders>
              <w:top w:val="single" w:color="auto" w:sz="6" w:space="0"/>
              <w:bottom w:val="single" w:color="auto" w:sz="12" w:space="0"/>
            </w:tcBorders>
            <w:noWrap w:val="0"/>
            <w:vAlign w:val="center"/>
          </w:tcPr>
          <w:p w14:paraId="519E5553">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669" w:type="dxa"/>
            <w:tcBorders>
              <w:top w:val="single" w:color="auto" w:sz="6" w:space="0"/>
              <w:bottom w:val="single" w:color="auto" w:sz="12" w:space="0"/>
            </w:tcBorders>
            <w:noWrap w:val="0"/>
            <w:vAlign w:val="center"/>
          </w:tcPr>
          <w:p w14:paraId="4F8A5677">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p>
        </w:tc>
        <w:tc>
          <w:tcPr>
            <w:tcW w:w="669" w:type="dxa"/>
            <w:tcBorders>
              <w:top w:val="single" w:color="auto" w:sz="6" w:space="0"/>
              <w:bottom w:val="single" w:color="auto" w:sz="12" w:space="0"/>
            </w:tcBorders>
            <w:noWrap w:val="0"/>
            <w:vAlign w:val="center"/>
          </w:tcPr>
          <w:p w14:paraId="110D2FAA">
            <w:pPr>
              <w:pageBreakBefore w:val="0"/>
              <w:kinsoku/>
              <w:wordWrap/>
              <w:topLinePunct w:val="0"/>
              <w:bidi w:val="0"/>
              <w:snapToGrid/>
              <w:spacing w:before="157" w:beforeLines="50" w:after="157" w:afterLines="50" w:line="360" w:lineRule="auto"/>
              <w:jc w:val="center"/>
              <w:rPr>
                <w:rFonts w:hint="eastAsia" w:ascii="宋体" w:hAnsi="宋体" w:eastAsia="宋体" w:cs="宋体"/>
                <w:kern w:val="0"/>
                <w:sz w:val="24"/>
                <w:szCs w:val="24"/>
              </w:rPr>
            </w:pPr>
          </w:p>
        </w:tc>
      </w:tr>
    </w:tbl>
    <w:p w14:paraId="1C8D610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上述条件报送资料的报送条件为：</w:t>
      </w:r>
    </w:p>
    <w:p w14:paraId="14C008B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提供加载统一社会信用代码的营业执照副本（未换照的出示税务登记证副本）或者加盖纳税人公章的副本复印件为未实行实名办税的纳税人。</w:t>
      </w:r>
    </w:p>
    <w:p w14:paraId="3831854D">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42EC971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1.《中华人民共和国税收征收管理法实施细则》（中华人民共和国国务院令第362号）第二十一条</w:t>
      </w:r>
    </w:p>
    <w:p w14:paraId="6842604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2.《税务登记管理办法》（国家税务总局令第7号公布，国家税务总局令第36号、第44号、第48号修改）</w:t>
      </w:r>
    </w:p>
    <w:p w14:paraId="17A7147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3.《关于进一步深化税务系统“放管服”改革优化税收环境的若干意见》（税总发）〔2017〕101号</w:t>
      </w:r>
    </w:p>
    <w:p w14:paraId="21E4699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4.《国家税务总局创新跨区域涉税事项报验管理制度的通知》（税总发〔2017〕103号）</w:t>
      </w:r>
    </w:p>
    <w:p w14:paraId="16A1CEA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5.《国家税务总局关于明确跨区域涉税事项报验管理相关问题的公告》（国家税务总局公告2018年第38号）</w:t>
      </w:r>
    </w:p>
    <w:bookmarkEnd w:id="0"/>
    <w:p w14:paraId="147AD92B">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83A7E"/>
    <w:rsid w:val="19437701"/>
    <w:rsid w:val="63DF70E0"/>
    <w:rsid w:val="64605139"/>
    <w:rsid w:val="7629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1444</Words>
  <Characters>1489</Characters>
  <Lines>0</Lines>
  <Paragraphs>0</Paragraphs>
  <TotalTime>6</TotalTime>
  <ScaleCrop>false</ScaleCrop>
  <LinksUpToDate>false</LinksUpToDate>
  <CharactersWithSpaces>1491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2025-02-24T13:06:00Z</dcterms:created>
  <dc:creator>fzr</dc:creator>
  <cp:lastModifiedBy>默默</cp:lastModifiedBy>
  <dcterms:modified xsi:type="dcterms:W3CDTF">2025-07-08T01:50:00Z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248F1BFA7164417BB324C89F79F17125_12</vt:lpwstr>
  </property>
</Properties>
</file>