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F7E052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bookmarkStart w:id="0" w:name="_Hlk134887432"/>
      <w:bookmarkEnd w:id="0"/>
      <w:r>
        <w:rPr>
          <w:rFonts w:hint="eastAsia" w:ascii="宋体" w:hAnsi="宋体" w:eastAsia="宋体" w:cs="宋体"/>
          <w:sz w:val="24"/>
          <w:szCs w:val="24"/>
        </w:rPr>
        <w:t>1.4.2  土地增值税项目报告（拆分合并情形）——253</w:t>
      </w:r>
    </w:p>
    <w:p w14:paraId="7543F0B2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0D5BCCAB">
      <w:pPr>
        <w:pStyle w:val="4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textAlignment w:val="auto"/>
        <w:outlineLvl w:val="0"/>
        <w:rPr>
          <w:rFonts w:hint="eastAsia" w:ascii="宋体" w:hAnsi="宋体" w:eastAsia="宋体" w:cs="宋体"/>
          <w:sz w:val="24"/>
          <w:szCs w:val="24"/>
        </w:rPr>
      </w:pPr>
      <w:bookmarkStart w:id="1" w:name="_GoBack"/>
      <w:r>
        <w:rPr>
          <w:rFonts w:hint="eastAsia" w:ascii="宋体" w:hAnsi="宋体" w:eastAsia="宋体" w:cs="宋体"/>
          <w:sz w:val="24"/>
          <w:szCs w:val="24"/>
          <w:lang w:eastAsia="zh-CN"/>
        </w:rPr>
        <w:t>一、</w:t>
      </w:r>
      <w:r>
        <w:rPr>
          <w:rFonts w:hint="eastAsia" w:ascii="宋体" w:hAnsi="宋体" w:eastAsia="宋体" w:cs="宋体"/>
          <w:sz w:val="24"/>
          <w:szCs w:val="24"/>
        </w:rPr>
        <w:t xml:space="preserve">业务概述 </w:t>
      </w:r>
    </w:p>
    <w:p w14:paraId="6120A6A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房地产开发项目发生拆分、合并情形的，应办理土地增值税项目报告（拆分合并情形）。</w:t>
      </w:r>
    </w:p>
    <w:p w14:paraId="2795CB99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纳税人</w:t>
      </w:r>
      <w:r>
        <w:rPr>
          <w:rFonts w:hint="eastAsia" w:ascii="宋体" w:hAnsi="宋体" w:eastAsia="宋体" w:cs="宋体"/>
          <w:sz w:val="24"/>
          <w:szCs w:val="24"/>
          <w:highlight w:val="yellow"/>
        </w:rPr>
        <w:t>因项目立项变更、规划调整等原因，需要调整清算单位并提交项目拆分合并报告后，税务机关对项目调整有关情况进行审核。</w:t>
      </w:r>
      <w:r>
        <w:rPr>
          <w:rFonts w:hint="eastAsia" w:ascii="宋体" w:hAnsi="宋体" w:eastAsia="宋体" w:cs="宋体"/>
          <w:sz w:val="24"/>
          <w:szCs w:val="24"/>
        </w:rPr>
        <w:t>对符合拆分合并情形的，经税务机关集体审议后办理项目调整，同步更新项目台账；不符合要求的，一次性告知纳税人原因或者补报的资料和时限。税务机关收到纳税人项目报告或者项目拆分合并报告之日起15日内，将办理结果告知纳税人。纳税人已提交项目报告或者拆分合并报告后，在税收征管系统设置提示信息，提醒税务人员及时审核办理。税务机关审核时，要认真核对项目报告内容的准确性和完整性，建立初审、复审、集体审议机制。项目报告与清算单位相匹配，一个项目编号对应一个清算单位。税务机关必要时可到项目现场开展核查工作，发现应报告而未报告的，或者项目报告信息不准确的，督促纳税人办理项目报告或者调整项目信息。</w:t>
      </w:r>
    </w:p>
    <w:p w14:paraId="6E88FAB8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纳税人在项目开发过程中有需要重新调整确认清算单位，经主管税务机关确认允许合并清算或拆分清算项目，可通过本功能实现原土地增值税项目的拆分和合并。</w:t>
      </w:r>
    </w:p>
    <w:p w14:paraId="0E941185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本用例描述了纳税人通过本用例对土地增值税项目报告拆分合并，以及房源信息拆分合并、预缴税款拆分和清算补税，有出现合并拆分项目情形下，集中展示合并、拆分项目的项目名称、土地增值税项目编号和预征税款情况。</w:t>
      </w:r>
    </w:p>
    <w:p w14:paraId="447928AD">
      <w:pPr>
        <w:pStyle w:val="4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textAlignment w:val="auto"/>
        <w:outlineLvl w:val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二、办理流程</w:t>
      </w:r>
    </w:p>
    <w:p w14:paraId="7AE61C8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即时办结。</w:t>
      </w:r>
    </w:p>
    <w:p w14:paraId="76F25407">
      <w:pPr>
        <w:pStyle w:val="4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textAlignment w:val="auto"/>
        <w:outlineLvl w:val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三、视频讲解</w:t>
      </w:r>
    </w:p>
    <w:p w14:paraId="1C903FE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t>网址：</w:t>
      </w:r>
    </w:p>
    <w:p w14:paraId="186F8BA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fldChar w:fldCharType="begin"/>
      </w: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instrText xml:space="preserve"> HYPERLINK "https://cdn.jiangsu.chinatax.gov.cn/etax/u/nsrxt/www/202407/23135828i4l2.mp4" </w:instrText>
      </w: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fldChar w:fldCharType="separate"/>
      </w:r>
      <w:r>
        <w:rPr>
          <w:rStyle w:val="9"/>
          <w:rFonts w:hint="eastAsia" w:ascii="宋体" w:hAnsi="宋体" w:eastAsia="宋体" w:cs="宋体"/>
          <w:bCs/>
          <w:sz w:val="24"/>
          <w:szCs w:val="24"/>
          <w:lang w:eastAsia="zh-CN"/>
        </w:rPr>
        <w:t>https://cdn.jiangsu.chinatax.gov.cn/etax/u/nsrxt/www/202407/23135828i4l2.mp4</w:t>
      </w: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fldChar w:fldCharType="end"/>
      </w:r>
    </w:p>
    <w:p w14:paraId="7353174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  <w:lang w:eastAsia="zh-CN"/>
        </w:rPr>
      </w:pPr>
    </w:p>
    <w:p w14:paraId="21CB1A9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</w:rPr>
      </w:pPr>
    </w:p>
    <w:p w14:paraId="3ADDB67D">
      <w:pPr>
        <w:pStyle w:val="4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textAlignment w:val="auto"/>
        <w:outlineLvl w:val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四、功能路径</w:t>
      </w:r>
    </w:p>
    <w:p w14:paraId="794DB42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1.【我要办税】-【综合信息报告】-【税源信息报告】-【土地增值税项目报告（拆分合并情形）】。</w:t>
      </w:r>
    </w:p>
    <w:p w14:paraId="3E1701A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bCs/>
          <w:sz w:val="24"/>
          <w:szCs w:val="24"/>
          <w:shd w:val="clear" w:color="auto" w:fill="FFFFFF"/>
        </w:rPr>
        <w:t>2.通过消息提醒跳转链接进入。</w:t>
      </w:r>
    </w:p>
    <w:p w14:paraId="60B1BA3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3.通过首页搜索栏输入关键字查找。</w:t>
      </w:r>
    </w:p>
    <w:p w14:paraId="30DCD237">
      <w:pPr>
        <w:pStyle w:val="4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textAlignment w:val="auto"/>
        <w:outlineLvl w:val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>五、操作步骤</w:t>
      </w:r>
    </w:p>
    <w:p w14:paraId="4EEA3F0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  <w:lang w:eastAsia="zh-Hans"/>
        </w:rPr>
        <w:t>1.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登录新电子</w:t>
      </w:r>
      <w:r>
        <w:rPr>
          <w:rFonts w:hint="eastAsia" w:ascii="宋体" w:hAnsi="宋体" w:eastAsia="宋体" w:cs="宋体"/>
          <w:sz w:val="24"/>
          <w:szCs w:val="24"/>
        </w:rPr>
        <w:t>税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局，点击</w:t>
      </w:r>
      <w:r>
        <w:rPr>
          <w:rFonts w:hint="eastAsia" w:ascii="宋体" w:hAnsi="宋体" w:eastAsia="宋体" w:cs="宋体"/>
          <w:bCs/>
          <w:sz w:val="24"/>
          <w:szCs w:val="24"/>
        </w:rPr>
        <w:t>【我要办税】-【综合信息报告】-【税源信息报告】-【土地增值税项目报告（拆分合并情形）】功能菜单。</w:t>
      </w:r>
    </w:p>
    <w:p w14:paraId="784569B5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textAlignment w:val="auto"/>
        <w:rPr>
          <w:rFonts w:hint="eastAsia" w:ascii="宋体" w:hAnsi="宋体" w:eastAsia="宋体" w:cs="宋体"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drawing>
          <wp:inline distT="0" distB="0" distL="114300" distR="114300">
            <wp:extent cx="5265420" cy="2816860"/>
            <wp:effectExtent l="0" t="0" r="1905" b="2540"/>
            <wp:docPr id="5" name="图片 5" descr="屏幕截图 2024-04-02 101526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屏幕截图 2024-04-02 101526 - 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5AA6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2.跳转至土地增值税项目报告（拆分合并情形）界面。</w:t>
      </w:r>
    </w:p>
    <w:p w14:paraId="2F222379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（1）土地增值税项目报告拆分</w:t>
      </w:r>
    </w:p>
    <w:p w14:paraId="24D29B8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1）“拆分合并类型”选择【拆分】，勾选要拆分的土地增值税项目信息，选择【增加】按实际情况增加对应条数的拆分后土地增值税项目信息并录入“拆分比例”。</w:t>
      </w:r>
    </w:p>
    <w:p w14:paraId="188BDA4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textAlignment w:val="auto"/>
        <w:rPr>
          <w:rFonts w:hint="eastAsia" w:ascii="宋体" w:hAnsi="宋体" w:eastAsia="宋体" w:cs="宋体"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drawing>
          <wp:inline distT="0" distB="0" distL="114300" distR="114300">
            <wp:extent cx="5262880" cy="2811145"/>
            <wp:effectExtent l="0" t="0" r="4445" b="8255"/>
            <wp:docPr id="4" name="图片 4" descr="屏幕截图 2024-04-02 101737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屏幕截图 2024-04-02 101737 - 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CF27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2）点击【删除】即可删除所选拆分后土地增值税项目信息，点击【补录】对所选拆分后土地增值税项目信息进行补录。</w:t>
      </w:r>
    </w:p>
    <w:p w14:paraId="3840297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textAlignment w:val="auto"/>
        <w:rPr>
          <w:rFonts w:hint="eastAsia" w:ascii="宋体" w:hAnsi="宋体" w:eastAsia="宋体" w:cs="宋体"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drawing>
          <wp:inline distT="0" distB="0" distL="114300" distR="114300">
            <wp:extent cx="5274310" cy="2861945"/>
            <wp:effectExtent l="0" t="0" r="2540" b="5080"/>
            <wp:docPr id="6" name="图片 6" descr="屏幕截图 2024-04-02 102013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屏幕截图 2024-04-02 102013 - 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E2E0C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3）跳转至土地增值税项目报告补录界面，系统自动带出原土地增值税项目信息，对“</w:t>
      </w:r>
      <w:r>
        <w:rPr>
          <w:rFonts w:hint="eastAsia" w:ascii="宋体" w:hAnsi="宋体" w:eastAsia="宋体" w:cs="宋体"/>
          <w:sz w:val="24"/>
          <w:szCs w:val="24"/>
        </w:rPr>
        <w:t>项目名称</w:t>
      </w:r>
      <w:r>
        <w:rPr>
          <w:rFonts w:hint="eastAsia" w:ascii="宋体" w:hAnsi="宋体" w:eastAsia="宋体" w:cs="宋体"/>
          <w:bCs/>
          <w:sz w:val="24"/>
          <w:szCs w:val="24"/>
        </w:rPr>
        <w:t>”</w:t>
      </w:r>
      <w:r>
        <w:rPr>
          <w:rFonts w:hint="eastAsia" w:ascii="宋体" w:hAnsi="宋体" w:eastAsia="宋体" w:cs="宋体"/>
          <w:sz w:val="24"/>
          <w:szCs w:val="24"/>
        </w:rPr>
        <w:t>、“所属集团”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等信息进行补录，点击【上传附件】上传所需的资料，点击【下一步】。</w:t>
      </w:r>
    </w:p>
    <w:p w14:paraId="4F996CA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textAlignment w:val="auto"/>
        <w:rPr>
          <w:rFonts w:hint="eastAsia" w:ascii="宋体" w:hAnsi="宋体" w:eastAsia="宋体" w:cs="宋体"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drawing>
          <wp:inline distT="0" distB="0" distL="114300" distR="114300">
            <wp:extent cx="5268595" cy="2862580"/>
            <wp:effectExtent l="0" t="0" r="8255" b="4445"/>
            <wp:docPr id="7" name="图片 7" descr="屏幕截图 2024-04-02 104135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屏幕截图 2024-04-02 104135 - 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DE00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4）若已进行“新建商品房房源信息采集”，则系统带出对应的房源信息，选择需要拆分的房源信息后，点击【提交】。</w:t>
      </w:r>
    </w:p>
    <w:p w14:paraId="3376EE2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textAlignment w:val="auto"/>
        <w:rPr>
          <w:rFonts w:hint="eastAsia" w:ascii="宋体" w:hAnsi="宋体" w:eastAsia="宋体" w:cs="宋体"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drawing>
          <wp:inline distT="0" distB="0" distL="114300" distR="114300">
            <wp:extent cx="5264785" cy="2211070"/>
            <wp:effectExtent l="0" t="0" r="2540" b="8255"/>
            <wp:docPr id="8" name="图片 8" descr="屏幕截图 2024-04-02 104359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屏幕截图 2024-04-02 104359 - 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3901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5）跳转至土地增值税项目报告（拆分合并情形）界面，拆分后土地增值税项目信息都补录完成后，点击【确认】。</w:t>
      </w:r>
    </w:p>
    <w:p w14:paraId="72DADDAC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textAlignment w:val="auto"/>
        <w:rPr>
          <w:rFonts w:hint="eastAsia" w:ascii="宋体" w:hAnsi="宋体" w:eastAsia="宋体" w:cs="宋体"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drawing>
          <wp:inline distT="0" distB="0" distL="114300" distR="114300">
            <wp:extent cx="5271135" cy="2620645"/>
            <wp:effectExtent l="0" t="0" r="5715" b="8255"/>
            <wp:docPr id="9" name="图片 9" descr="屏幕截图 2024-04-02 104807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屏幕截图 2024-04-02 104807 - 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96D8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6）跳转至项目预征情况确认界面，点击【提交】。</w:t>
      </w:r>
    </w:p>
    <w:p w14:paraId="3911EEF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textAlignment w:val="auto"/>
        <w:rPr>
          <w:rFonts w:hint="eastAsia" w:ascii="宋体" w:hAnsi="宋体" w:eastAsia="宋体" w:cs="宋体"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drawing>
          <wp:inline distT="0" distB="0" distL="114300" distR="114300">
            <wp:extent cx="5264785" cy="2164080"/>
            <wp:effectExtent l="0" t="0" r="2540" b="7620"/>
            <wp:docPr id="10" name="图片 10" descr="屏幕截图 2024-04-02 105505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屏幕截图 2024-04-02 105505 - 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87C7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7）跳转至提交成功界面，界面给出提示信息：“土地增值税项目拆分申请已提交”。点击【撤回修改】即可回到上一步。</w:t>
      </w:r>
    </w:p>
    <w:p w14:paraId="4068CD0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textAlignment w:val="auto"/>
        <w:rPr>
          <w:rFonts w:hint="eastAsia" w:ascii="宋体" w:hAnsi="宋体" w:eastAsia="宋体" w:cs="宋体"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drawing>
          <wp:inline distT="0" distB="0" distL="114300" distR="114300">
            <wp:extent cx="5273040" cy="2527300"/>
            <wp:effectExtent l="0" t="0" r="3810" b="6350"/>
            <wp:docPr id="11" name="图片 11" descr="屏幕截图 2024-04-02 105754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屏幕截图 2024-04-02 105754 - 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8591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outlineLvl w:val="1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（2）土地增值税项目报告合并</w:t>
      </w:r>
    </w:p>
    <w:p w14:paraId="346950E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1）“拆分合并类型”选择【合并】，勾选要合并的土地增值税项目信息，点击【补录】对所选合并后土地增值税项目信息进行补录。</w:t>
      </w:r>
    </w:p>
    <w:p w14:paraId="15D60FA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textAlignment w:val="auto"/>
        <w:rPr>
          <w:rFonts w:hint="eastAsia" w:ascii="宋体" w:hAnsi="宋体" w:eastAsia="宋体" w:cs="宋体"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drawing>
          <wp:inline distT="0" distB="0" distL="114300" distR="114300">
            <wp:extent cx="5271135" cy="2491740"/>
            <wp:effectExtent l="0" t="0" r="5715" b="3810"/>
            <wp:docPr id="13" name="图片 13" descr="屏幕截图 2024-04-02 110354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屏幕截图 2024-04-02 110354 - 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6337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2）跳转至土地增值税项目报告补录界面，系统预填土地增值税项目信息，总预算成本为合并项目的总预算成本之和，选择“项目详细座落地点”，对“项目名称”、“所属集团”等信息进行补录，点击【上传附件】上传所需的资料，点击【提交】。</w:t>
      </w:r>
    </w:p>
    <w:p w14:paraId="2A6B9CA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textAlignment w:val="auto"/>
        <w:rPr>
          <w:rFonts w:hint="eastAsia" w:ascii="宋体" w:hAnsi="宋体" w:eastAsia="宋体" w:cs="宋体"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drawing>
          <wp:inline distT="0" distB="0" distL="114300" distR="114300">
            <wp:extent cx="5264150" cy="2876550"/>
            <wp:effectExtent l="0" t="0" r="3175" b="0"/>
            <wp:docPr id="14" name="图片 14" descr="屏幕截图 2024-04-02 110618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屏幕截图 2024-04-02 110618 - 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2E8C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3）跳转至土地增值税项目报告（拆分合并情形）界面，点击【确认】。</w:t>
      </w:r>
    </w:p>
    <w:p w14:paraId="5105EFD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textAlignment w:val="auto"/>
        <w:rPr>
          <w:rFonts w:hint="eastAsia" w:ascii="宋体" w:hAnsi="宋体" w:eastAsia="宋体" w:cs="宋体"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drawing>
          <wp:inline distT="0" distB="0" distL="114300" distR="114300">
            <wp:extent cx="5268595" cy="2636520"/>
            <wp:effectExtent l="0" t="0" r="8255" b="1905"/>
            <wp:docPr id="15" name="图片 15" descr="屏幕截图 2024-04-02 115731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屏幕截图 2024-04-02 115731 - 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662A9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4）跳转至项目预征情况确认界面，点击【提交】。</w:t>
      </w:r>
    </w:p>
    <w:p w14:paraId="4CF733B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textAlignment w:val="auto"/>
        <w:rPr>
          <w:rFonts w:hint="eastAsia" w:ascii="宋体" w:hAnsi="宋体" w:eastAsia="宋体" w:cs="宋体"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drawing>
          <wp:inline distT="0" distB="0" distL="114300" distR="114300">
            <wp:extent cx="5267960" cy="2241550"/>
            <wp:effectExtent l="0" t="0" r="8890" b="6350"/>
            <wp:docPr id="16" name="图片 16" descr="屏幕截图 2024-04-02 115953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屏幕截图 2024-04-02 115953 - 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C9C9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5）跳转至提交成功界面，界面给出提示信息：“土地增值税项目合并申请已提交”。点击【撤回修改】即可回到上一步。</w:t>
      </w:r>
    </w:p>
    <w:p w14:paraId="790CB17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jc w:val="left"/>
        <w:textAlignment w:val="auto"/>
        <w:rPr>
          <w:rFonts w:hint="eastAsia" w:ascii="宋体" w:hAnsi="宋体" w:eastAsia="宋体" w:cs="宋体"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drawing>
          <wp:inline distT="0" distB="0" distL="114300" distR="114300">
            <wp:extent cx="5267960" cy="2456180"/>
            <wp:effectExtent l="0" t="0" r="8890" b="1270"/>
            <wp:docPr id="17" name="图片 17" descr="屏幕截图 2024-04-02 120120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屏幕截图 2024-04-02 120120 - 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29F2A">
      <w:pPr>
        <w:pStyle w:val="4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textAlignment w:val="auto"/>
        <w:outlineLvl w:val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六、报送资料</w:t>
      </w: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3"/>
        <w:gridCol w:w="3380"/>
        <w:gridCol w:w="553"/>
        <w:gridCol w:w="806"/>
        <w:gridCol w:w="553"/>
        <w:gridCol w:w="553"/>
        <w:gridCol w:w="680"/>
        <w:gridCol w:w="553"/>
        <w:gridCol w:w="891"/>
      </w:tblGrid>
      <w:tr w14:paraId="48129B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553" w:type="dxa"/>
            <w:shd w:val="clear" w:color="auto" w:fill="D8D8D8" w:themeFill="background1" w:themeFillShade="D9"/>
            <w:vAlign w:val="center"/>
          </w:tcPr>
          <w:p w14:paraId="55BD46D0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3380" w:type="dxa"/>
            <w:shd w:val="clear" w:color="auto" w:fill="D8D8D8" w:themeFill="background1" w:themeFillShade="D9"/>
            <w:vAlign w:val="center"/>
          </w:tcPr>
          <w:p w14:paraId="0E3573CB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报送资料名称</w:t>
            </w:r>
          </w:p>
        </w:tc>
        <w:tc>
          <w:tcPr>
            <w:tcW w:w="553" w:type="dxa"/>
            <w:shd w:val="clear" w:color="auto" w:fill="D8D8D8" w:themeFill="background1" w:themeFillShade="D9"/>
            <w:vAlign w:val="center"/>
          </w:tcPr>
          <w:p w14:paraId="13845068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必报</w:t>
            </w:r>
          </w:p>
        </w:tc>
        <w:tc>
          <w:tcPr>
            <w:tcW w:w="806" w:type="dxa"/>
            <w:shd w:val="clear" w:color="auto" w:fill="D8D8D8" w:themeFill="background1" w:themeFillShade="D9"/>
            <w:vAlign w:val="center"/>
          </w:tcPr>
          <w:p w14:paraId="1FE9C5F5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条件报送</w:t>
            </w:r>
          </w:p>
        </w:tc>
        <w:tc>
          <w:tcPr>
            <w:tcW w:w="553" w:type="dxa"/>
            <w:shd w:val="clear" w:color="auto" w:fill="D8D8D8" w:themeFill="background1" w:themeFillShade="D9"/>
            <w:vAlign w:val="center"/>
          </w:tcPr>
          <w:p w14:paraId="6A2CE0DE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归档</w:t>
            </w:r>
          </w:p>
        </w:tc>
        <w:tc>
          <w:tcPr>
            <w:tcW w:w="553" w:type="dxa"/>
            <w:shd w:val="clear" w:color="auto" w:fill="D8D8D8" w:themeFill="background1" w:themeFillShade="D9"/>
            <w:vAlign w:val="center"/>
          </w:tcPr>
          <w:p w14:paraId="76F469E8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查验</w:t>
            </w:r>
          </w:p>
        </w:tc>
        <w:tc>
          <w:tcPr>
            <w:tcW w:w="680" w:type="dxa"/>
            <w:shd w:val="clear" w:color="auto" w:fill="D8D8D8" w:themeFill="background1" w:themeFillShade="D9"/>
            <w:vAlign w:val="center"/>
          </w:tcPr>
          <w:p w14:paraId="01EEA487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代保管</w:t>
            </w:r>
          </w:p>
        </w:tc>
        <w:tc>
          <w:tcPr>
            <w:tcW w:w="553" w:type="dxa"/>
            <w:shd w:val="clear" w:color="auto" w:fill="D8D8D8" w:themeFill="background1" w:themeFillShade="D9"/>
            <w:vAlign w:val="center"/>
          </w:tcPr>
          <w:p w14:paraId="2B70DF58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核销</w:t>
            </w:r>
          </w:p>
        </w:tc>
        <w:tc>
          <w:tcPr>
            <w:tcW w:w="891" w:type="dxa"/>
            <w:shd w:val="clear" w:color="auto" w:fill="D8D8D8" w:themeFill="background1" w:themeFillShade="D9"/>
          </w:tcPr>
          <w:p w14:paraId="57DD9EFD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容缺报送</w:t>
            </w:r>
          </w:p>
        </w:tc>
      </w:tr>
      <w:tr w14:paraId="2E89A9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553" w:type="dxa"/>
            <w:vAlign w:val="center"/>
          </w:tcPr>
          <w:p w14:paraId="15DFEFF1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</w:t>
            </w:r>
          </w:p>
        </w:tc>
        <w:tc>
          <w:tcPr>
            <w:tcW w:w="3380" w:type="dxa"/>
            <w:vAlign w:val="center"/>
          </w:tcPr>
          <w:p w14:paraId="4B03D7A1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《土地增值税项目信息报告表》</w:t>
            </w:r>
          </w:p>
        </w:tc>
        <w:tc>
          <w:tcPr>
            <w:tcW w:w="553" w:type="dxa"/>
            <w:vAlign w:val="center"/>
          </w:tcPr>
          <w:p w14:paraId="3611544C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06" w:type="dxa"/>
            <w:vAlign w:val="center"/>
          </w:tcPr>
          <w:p w14:paraId="680AD73D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553" w:type="dxa"/>
            <w:vAlign w:val="center"/>
          </w:tcPr>
          <w:p w14:paraId="1946A163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53" w:type="dxa"/>
            <w:vAlign w:val="center"/>
          </w:tcPr>
          <w:p w14:paraId="051D3631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14:paraId="1256625E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553" w:type="dxa"/>
            <w:vAlign w:val="center"/>
          </w:tcPr>
          <w:p w14:paraId="416756C7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91" w:type="dxa"/>
            <w:vAlign w:val="center"/>
          </w:tcPr>
          <w:p w14:paraId="64C3EA86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——</w:t>
            </w:r>
          </w:p>
        </w:tc>
      </w:tr>
      <w:tr w14:paraId="5BCBA0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553" w:type="dxa"/>
            <w:vAlign w:val="center"/>
          </w:tcPr>
          <w:p w14:paraId="4D089219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3380" w:type="dxa"/>
            <w:vAlign w:val="center"/>
          </w:tcPr>
          <w:p w14:paraId="4281EA6D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《土地增值税项目信息报告表（适用合并拆分情形）》</w:t>
            </w:r>
          </w:p>
        </w:tc>
        <w:tc>
          <w:tcPr>
            <w:tcW w:w="553" w:type="dxa"/>
            <w:vAlign w:val="center"/>
          </w:tcPr>
          <w:p w14:paraId="1D470431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06" w:type="dxa"/>
            <w:vAlign w:val="center"/>
          </w:tcPr>
          <w:p w14:paraId="5E748902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553" w:type="dxa"/>
            <w:vAlign w:val="center"/>
          </w:tcPr>
          <w:p w14:paraId="7A8E298E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53" w:type="dxa"/>
            <w:vAlign w:val="center"/>
          </w:tcPr>
          <w:p w14:paraId="545DC837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14:paraId="20287990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553" w:type="dxa"/>
            <w:vAlign w:val="center"/>
          </w:tcPr>
          <w:p w14:paraId="2637CC74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91" w:type="dxa"/>
            <w:vAlign w:val="center"/>
          </w:tcPr>
          <w:p w14:paraId="0BEA642B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——</w:t>
            </w:r>
          </w:p>
        </w:tc>
      </w:tr>
      <w:tr w14:paraId="5DB01E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553" w:type="dxa"/>
            <w:vAlign w:val="center"/>
          </w:tcPr>
          <w:p w14:paraId="7D44895E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3380" w:type="dxa"/>
          </w:tcPr>
          <w:p w14:paraId="5DD041DF">
            <w:pPr>
              <w:pStyle w:val="1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发改立项文件复印件</w:t>
            </w:r>
          </w:p>
        </w:tc>
        <w:tc>
          <w:tcPr>
            <w:tcW w:w="553" w:type="dxa"/>
          </w:tcPr>
          <w:p w14:paraId="22F14B20">
            <w:pPr>
              <w:pStyle w:val="14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06" w:type="dxa"/>
          </w:tcPr>
          <w:p w14:paraId="3C2CA141">
            <w:pPr>
              <w:pStyle w:val="14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553" w:type="dxa"/>
          </w:tcPr>
          <w:p w14:paraId="3AC48850">
            <w:pPr>
              <w:pStyle w:val="14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53" w:type="dxa"/>
            <w:vAlign w:val="center"/>
          </w:tcPr>
          <w:p w14:paraId="0CF8BE30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14:paraId="72B68103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553" w:type="dxa"/>
            <w:vAlign w:val="center"/>
          </w:tcPr>
          <w:p w14:paraId="4762CB37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91" w:type="dxa"/>
            <w:vAlign w:val="center"/>
          </w:tcPr>
          <w:p w14:paraId="3F93C361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——</w:t>
            </w:r>
          </w:p>
        </w:tc>
      </w:tr>
      <w:tr w14:paraId="598598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553" w:type="dxa"/>
            <w:vAlign w:val="center"/>
          </w:tcPr>
          <w:p w14:paraId="51E155DA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3380" w:type="dxa"/>
          </w:tcPr>
          <w:p w14:paraId="3D25C58B">
            <w:pPr>
              <w:pStyle w:val="1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不动产权证（土地）复印件</w:t>
            </w:r>
          </w:p>
        </w:tc>
        <w:tc>
          <w:tcPr>
            <w:tcW w:w="553" w:type="dxa"/>
          </w:tcPr>
          <w:p w14:paraId="5AF66820">
            <w:pPr>
              <w:pStyle w:val="14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06" w:type="dxa"/>
          </w:tcPr>
          <w:p w14:paraId="39AA4684">
            <w:pPr>
              <w:pStyle w:val="14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553" w:type="dxa"/>
          </w:tcPr>
          <w:p w14:paraId="7C8C2880">
            <w:pPr>
              <w:pStyle w:val="14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53" w:type="dxa"/>
            <w:vAlign w:val="center"/>
          </w:tcPr>
          <w:p w14:paraId="38AE4232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14:paraId="1FC40AAD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553" w:type="dxa"/>
            <w:vAlign w:val="center"/>
          </w:tcPr>
          <w:p w14:paraId="1C6619A3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91" w:type="dxa"/>
            <w:vAlign w:val="center"/>
          </w:tcPr>
          <w:p w14:paraId="045A3409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——</w:t>
            </w:r>
          </w:p>
        </w:tc>
      </w:tr>
      <w:tr w14:paraId="66C2CA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553" w:type="dxa"/>
            <w:vAlign w:val="center"/>
          </w:tcPr>
          <w:p w14:paraId="0C2CEF06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3380" w:type="dxa"/>
          </w:tcPr>
          <w:p w14:paraId="526E4BFC">
            <w:pPr>
              <w:pStyle w:val="1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建设用地规划许可证复印件</w:t>
            </w:r>
          </w:p>
        </w:tc>
        <w:tc>
          <w:tcPr>
            <w:tcW w:w="553" w:type="dxa"/>
          </w:tcPr>
          <w:p w14:paraId="17269692">
            <w:pPr>
              <w:pStyle w:val="14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06" w:type="dxa"/>
          </w:tcPr>
          <w:p w14:paraId="60651D65">
            <w:pPr>
              <w:pStyle w:val="14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553" w:type="dxa"/>
          </w:tcPr>
          <w:p w14:paraId="54370558">
            <w:pPr>
              <w:pStyle w:val="14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53" w:type="dxa"/>
            <w:vAlign w:val="center"/>
          </w:tcPr>
          <w:p w14:paraId="34948F5A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14:paraId="2AB1A0BA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553" w:type="dxa"/>
            <w:vAlign w:val="center"/>
          </w:tcPr>
          <w:p w14:paraId="1287560F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91" w:type="dxa"/>
            <w:vAlign w:val="center"/>
          </w:tcPr>
          <w:p w14:paraId="2D8B3168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——</w:t>
            </w:r>
          </w:p>
        </w:tc>
      </w:tr>
      <w:tr w14:paraId="451BFB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553" w:type="dxa"/>
            <w:vAlign w:val="center"/>
          </w:tcPr>
          <w:p w14:paraId="0BA25489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6</w:t>
            </w:r>
          </w:p>
        </w:tc>
        <w:tc>
          <w:tcPr>
            <w:tcW w:w="3380" w:type="dxa"/>
          </w:tcPr>
          <w:p w14:paraId="6CD90C0A">
            <w:pPr>
              <w:pStyle w:val="1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建设工程规划许可证复印件</w:t>
            </w:r>
          </w:p>
        </w:tc>
        <w:tc>
          <w:tcPr>
            <w:tcW w:w="553" w:type="dxa"/>
          </w:tcPr>
          <w:p w14:paraId="45A8895A">
            <w:pPr>
              <w:pStyle w:val="14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06" w:type="dxa"/>
          </w:tcPr>
          <w:p w14:paraId="560C1B10">
            <w:pPr>
              <w:pStyle w:val="14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553" w:type="dxa"/>
          </w:tcPr>
          <w:p w14:paraId="2E219FFA">
            <w:pPr>
              <w:pStyle w:val="14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53" w:type="dxa"/>
            <w:vAlign w:val="center"/>
          </w:tcPr>
          <w:p w14:paraId="10615257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14:paraId="055685E5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553" w:type="dxa"/>
            <w:vAlign w:val="center"/>
          </w:tcPr>
          <w:p w14:paraId="6A2DA06D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91" w:type="dxa"/>
            <w:vAlign w:val="center"/>
          </w:tcPr>
          <w:p w14:paraId="1EB79151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——</w:t>
            </w:r>
          </w:p>
        </w:tc>
      </w:tr>
      <w:tr w14:paraId="4E5167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553" w:type="dxa"/>
            <w:vAlign w:val="center"/>
          </w:tcPr>
          <w:p w14:paraId="6852FD90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7</w:t>
            </w:r>
          </w:p>
        </w:tc>
        <w:tc>
          <w:tcPr>
            <w:tcW w:w="3380" w:type="dxa"/>
          </w:tcPr>
          <w:p w14:paraId="0354B00F">
            <w:pPr>
              <w:pStyle w:val="15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建筑工程施工许可证复印件</w:t>
            </w:r>
          </w:p>
        </w:tc>
        <w:tc>
          <w:tcPr>
            <w:tcW w:w="553" w:type="dxa"/>
          </w:tcPr>
          <w:p w14:paraId="0A1A2011">
            <w:pPr>
              <w:pStyle w:val="14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06" w:type="dxa"/>
          </w:tcPr>
          <w:p w14:paraId="3BFCD4B5">
            <w:pPr>
              <w:pStyle w:val="14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553" w:type="dxa"/>
          </w:tcPr>
          <w:p w14:paraId="7939D13F">
            <w:pPr>
              <w:pStyle w:val="14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53" w:type="dxa"/>
            <w:vAlign w:val="center"/>
          </w:tcPr>
          <w:p w14:paraId="45743697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0" w:type="dxa"/>
            <w:vAlign w:val="center"/>
          </w:tcPr>
          <w:p w14:paraId="28F52692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553" w:type="dxa"/>
            <w:vAlign w:val="center"/>
          </w:tcPr>
          <w:p w14:paraId="5A906D7E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91" w:type="dxa"/>
            <w:vAlign w:val="center"/>
          </w:tcPr>
          <w:p w14:paraId="1EFF2DD0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20"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——</w:t>
            </w:r>
          </w:p>
        </w:tc>
      </w:tr>
    </w:tbl>
    <w:p w14:paraId="6211414D">
      <w:pPr>
        <w:pStyle w:val="4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textAlignment w:val="auto"/>
        <w:outlineLvl w:val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七、常见问题</w:t>
      </w:r>
    </w:p>
    <w:p w14:paraId="45684FB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土地增值税项目报告能多次拆分合并吗？</w:t>
      </w:r>
    </w:p>
    <w:p w14:paraId="4EFCC11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2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答：</w:t>
      </w:r>
      <w:r>
        <w:rPr>
          <w:rFonts w:hint="eastAsia" w:ascii="宋体" w:hAnsi="宋体" w:eastAsia="宋体" w:cs="宋体"/>
          <w:sz w:val="24"/>
          <w:szCs w:val="24"/>
          <w:highlight w:val="yellow"/>
        </w:rPr>
        <w:t>一个土地增值税项目报告最多只允许拆分合并一次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bookmarkEnd w:id="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JmNjkyZDA3ODI5MDFkOWVmYjQzYWUzNmQzM2ZhZDcifQ=="/>
  </w:docVars>
  <w:rsids>
    <w:rsidRoot w:val="00410AB6"/>
    <w:rsid w:val="0000583E"/>
    <w:rsid w:val="000709BD"/>
    <w:rsid w:val="00094D98"/>
    <w:rsid w:val="000E0BC5"/>
    <w:rsid w:val="0013258D"/>
    <w:rsid w:val="00211FE2"/>
    <w:rsid w:val="00286271"/>
    <w:rsid w:val="002E07E5"/>
    <w:rsid w:val="002F49B2"/>
    <w:rsid w:val="0038715B"/>
    <w:rsid w:val="00396DEC"/>
    <w:rsid w:val="00410AB6"/>
    <w:rsid w:val="004233F1"/>
    <w:rsid w:val="004351BB"/>
    <w:rsid w:val="0045166E"/>
    <w:rsid w:val="00453877"/>
    <w:rsid w:val="004B3126"/>
    <w:rsid w:val="00571D56"/>
    <w:rsid w:val="005D2F1E"/>
    <w:rsid w:val="00627E1E"/>
    <w:rsid w:val="00634AB8"/>
    <w:rsid w:val="00643026"/>
    <w:rsid w:val="00644BF1"/>
    <w:rsid w:val="00780FEF"/>
    <w:rsid w:val="007A02C0"/>
    <w:rsid w:val="00820C5C"/>
    <w:rsid w:val="0086179A"/>
    <w:rsid w:val="0087773A"/>
    <w:rsid w:val="00880A3E"/>
    <w:rsid w:val="008A55AE"/>
    <w:rsid w:val="008E6FB7"/>
    <w:rsid w:val="00953018"/>
    <w:rsid w:val="00961D8D"/>
    <w:rsid w:val="009A1977"/>
    <w:rsid w:val="00AF6156"/>
    <w:rsid w:val="00B01790"/>
    <w:rsid w:val="00B94338"/>
    <w:rsid w:val="00C30014"/>
    <w:rsid w:val="00C96415"/>
    <w:rsid w:val="00CB4D36"/>
    <w:rsid w:val="00CB6087"/>
    <w:rsid w:val="00CE6C83"/>
    <w:rsid w:val="00D97AD7"/>
    <w:rsid w:val="00E17E1E"/>
    <w:rsid w:val="00E20C77"/>
    <w:rsid w:val="00E47052"/>
    <w:rsid w:val="00EE7E31"/>
    <w:rsid w:val="00F24BE7"/>
    <w:rsid w:val="00F77DB3"/>
    <w:rsid w:val="00FC375E"/>
    <w:rsid w:val="00FC6B56"/>
    <w:rsid w:val="0950709A"/>
    <w:rsid w:val="0C2E2113"/>
    <w:rsid w:val="0C8235E4"/>
    <w:rsid w:val="10EF1016"/>
    <w:rsid w:val="26610994"/>
    <w:rsid w:val="28B5111E"/>
    <w:rsid w:val="2D9E73E8"/>
    <w:rsid w:val="2F805485"/>
    <w:rsid w:val="36232900"/>
    <w:rsid w:val="3D2C012D"/>
    <w:rsid w:val="3D7329ED"/>
    <w:rsid w:val="47863B0D"/>
    <w:rsid w:val="55E5412F"/>
    <w:rsid w:val="5A455061"/>
    <w:rsid w:val="5C9D73D6"/>
    <w:rsid w:val="5F351F5D"/>
    <w:rsid w:val="600B12DB"/>
    <w:rsid w:val="636E721D"/>
    <w:rsid w:val="65AF6DA2"/>
    <w:rsid w:val="6B2111EB"/>
    <w:rsid w:val="6C69319B"/>
    <w:rsid w:val="7ACA48DB"/>
    <w:rsid w:val="7CE24FBD"/>
    <w:rsid w:val="7F224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2"/>
    <w:basedOn w:val="1"/>
    <w:next w:val="1"/>
    <w:link w:val="12"/>
    <w:qFormat/>
    <w:uiPriority w:val="0"/>
    <w:pPr>
      <w:keepNext/>
      <w:keepLines/>
      <w:outlineLvl w:val="1"/>
    </w:pPr>
    <w:rPr>
      <w:rFonts w:ascii="Arial" w:hAnsi="Arial" w:eastAsia="黑体"/>
      <w:b/>
      <w:sz w:val="2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3"/>
    <w:qFormat/>
    <w:uiPriority w:val="99"/>
    <w:pPr>
      <w:spacing w:after="120"/>
    </w:pPr>
  </w:style>
  <w:style w:type="paragraph" w:customStyle="1" w:styleId="3">
    <w:name w:val="正文_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6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5"/>
    <w:qFormat/>
    <w:uiPriority w:val="99"/>
    <w:rPr>
      <w:sz w:val="18"/>
      <w:szCs w:val="18"/>
    </w:rPr>
  </w:style>
  <w:style w:type="character" w:customStyle="1" w:styleId="12">
    <w:name w:val="标题 2 字符"/>
    <w:basedOn w:val="8"/>
    <w:link w:val="4"/>
    <w:qFormat/>
    <w:uiPriority w:val="0"/>
    <w:rPr>
      <w:rFonts w:ascii="Arial" w:hAnsi="Arial" w:eastAsia="黑体" w:cs="Times New Roman"/>
      <w:b/>
      <w:sz w:val="28"/>
      <w:szCs w:val="24"/>
    </w:rPr>
  </w:style>
  <w:style w:type="paragraph" w:customStyle="1" w:styleId="13">
    <w:name w:val="表格列标题"/>
    <w:basedOn w:val="1"/>
    <w:qFormat/>
    <w:uiPriority w:val="0"/>
    <w:pPr>
      <w:jc w:val="center"/>
    </w:pPr>
    <w:rPr>
      <w:rFonts w:ascii="Arial" w:hAnsi="Arial" w:cs="Arial"/>
      <w:b/>
      <w:sz w:val="18"/>
    </w:rPr>
  </w:style>
  <w:style w:type="paragraph" w:customStyle="1" w:styleId="14">
    <w:name w:val="表格文字 居中"/>
    <w:basedOn w:val="1"/>
    <w:link w:val="17"/>
    <w:qFormat/>
    <w:uiPriority w:val="0"/>
    <w:pPr>
      <w:widowControl/>
      <w:jc w:val="center"/>
    </w:pPr>
    <w:rPr>
      <w:rFonts w:ascii="Times New Roman" w:hAnsi="Times New Roman" w:cs="宋体"/>
      <w:szCs w:val="20"/>
    </w:rPr>
  </w:style>
  <w:style w:type="paragraph" w:customStyle="1" w:styleId="15">
    <w:name w:val="表格文字 左对齐"/>
    <w:basedOn w:val="1"/>
    <w:link w:val="16"/>
    <w:qFormat/>
    <w:uiPriority w:val="0"/>
    <w:pPr>
      <w:jc w:val="left"/>
    </w:pPr>
    <w:rPr>
      <w:rFonts w:ascii="Arial" w:hAnsi="Arial" w:cs="Arial"/>
      <w:kern w:val="0"/>
      <w:sz w:val="18"/>
      <w:szCs w:val="20"/>
    </w:rPr>
  </w:style>
  <w:style w:type="character" w:customStyle="1" w:styleId="16">
    <w:name w:val="表格文字 左对齐 Char"/>
    <w:link w:val="15"/>
    <w:qFormat/>
    <w:uiPriority w:val="0"/>
    <w:rPr>
      <w:rFonts w:ascii="Arial" w:hAnsi="Arial" w:eastAsia="宋体" w:cs="Arial"/>
      <w:kern w:val="0"/>
      <w:sz w:val="18"/>
      <w:szCs w:val="20"/>
    </w:rPr>
  </w:style>
  <w:style w:type="character" w:customStyle="1" w:styleId="17">
    <w:name w:val="表格文字 居中 Char"/>
    <w:link w:val="14"/>
    <w:qFormat/>
    <w:uiPriority w:val="0"/>
    <w:rPr>
      <w:rFonts w:ascii="Times New Roman" w:hAnsi="Times New Roman" w:eastAsia="宋体" w:cs="宋体"/>
      <w:szCs w:val="20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1675</Words>
  <Characters>1765</Characters>
  <Lines>12</Lines>
  <Paragraphs>3</Paragraphs>
  <TotalTime>5</TotalTime>
  <ScaleCrop>false</ScaleCrop>
  <LinksUpToDate>false</LinksUpToDate>
  <CharactersWithSpaces>1768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2023-06-01T01:27:00Z</dcterms:created>
  <dc:creator>奕翔 火</dc:creator>
  <cp:lastModifiedBy>默默</cp:lastModifiedBy>
  <dcterms:modified xsi:type="dcterms:W3CDTF">2025-07-08T01:36:38Z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B935FA4B1AB14478ACBA7D72F088F14F_12</vt:lpwstr>
  </property>
  <property fmtid="{D5CDD505-2E9C-101B-9397-08002B2CF9AE}" pid="4" name="KSOTemplateDocerSaveRecord">
    <vt:lpwstr>eyJoZGlkIjoiYWI0MTczMTlmZGQwMDlkNjE0Y2E2NDViNmNjNWY1ZmYiLCJ1c2VySWQiOiI3MzkzMzY4MTcifQ==</vt:lpwstr>
  </property>
</Properties>
</file>