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16F55">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1.4.1  土地增值税项目报告——250</w:t>
      </w:r>
    </w:p>
    <w:p w14:paraId="558D9C4D">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p>
    <w:p w14:paraId="4F2778E9">
      <w:pPr>
        <w:pStyle w:val="2"/>
        <w:pageBreakBefore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 xml:space="preserve">业务概述 </w:t>
      </w:r>
    </w:p>
    <w:p w14:paraId="780C164A">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房地产开发企业开发的房地产项目、非房地产开发企业自建房屋按照转让新建房的政策规定缴纳土地增值税的房地产项目，首次取得建设工程规划许可相关文书之日起30日内，应向项目所在地主管税务机关申报办理土地增值税项目报告。</w:t>
      </w:r>
    </w:p>
    <w:p w14:paraId="718502C4">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纳税人自行分期的开发项目，</w:t>
      </w:r>
      <w:r>
        <w:rPr>
          <w:rFonts w:hint="eastAsia" w:ascii="宋体" w:hAnsi="宋体" w:eastAsia="宋体" w:cs="宋体"/>
          <w:b/>
          <w:bCs w:val="0"/>
          <w:color w:val="FF0000"/>
          <w:sz w:val="24"/>
          <w:szCs w:val="24"/>
          <w:highlight w:val="none"/>
        </w:rPr>
        <w:t>可将自行分期项目确定为清算单位。纳税人首次取得《建设工程规划许可证》相关文书后、预征申报前，将自行分期的项目信息，按清算单位分别填写《房地产开发项目登记（变更）表》，报主管税务机关备</w:t>
      </w:r>
      <w:r>
        <w:rPr>
          <w:rFonts w:hint="eastAsia" w:ascii="宋体" w:hAnsi="宋体" w:eastAsia="宋体" w:cs="宋体"/>
          <w:bCs/>
          <w:sz w:val="24"/>
          <w:szCs w:val="24"/>
          <w:highlight w:val="none"/>
        </w:rPr>
        <w:t>案。</w:t>
      </w:r>
    </w:p>
    <w:p w14:paraId="7A05D7D0">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纳税人房地产开发项目信息报告内容发生变化的，应在次月15日内办理变更登记。</w:t>
      </w:r>
    </w:p>
    <w:p w14:paraId="1FC83256">
      <w:pPr>
        <w:pStyle w:val="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rPr>
        <w:t>在纳税人缴纳土地出让金、首次取得施工许可证等环节，税务机关可结合实际情况设置提示信息，提醒纳税人及时办理项目报告。从事房地产开发的纳税人按规定提交土地增值税项目报告及相关资料后，税务机关对项目划分等有关情况进行审核。</w:t>
      </w:r>
      <w:r>
        <w:rPr>
          <w:rFonts w:hint="eastAsia" w:ascii="宋体" w:hAnsi="宋体" w:eastAsia="宋体" w:cs="宋体"/>
          <w:sz w:val="24"/>
          <w:szCs w:val="24"/>
          <w:highlight w:val="none"/>
        </w:rPr>
        <w:t>对符合要求的，按照“一项目一档案”的原则建立项目台账；不符合要求或者资料不</w:t>
      </w:r>
      <w:bookmarkStart w:id="0" w:name="_GoBack"/>
      <w:r>
        <w:rPr>
          <w:rFonts w:hint="eastAsia" w:ascii="宋体" w:hAnsi="宋体" w:eastAsia="宋体" w:cs="宋体"/>
          <w:sz w:val="24"/>
          <w:szCs w:val="24"/>
          <w:highlight w:val="none"/>
        </w:rPr>
        <w:t>齐</w:t>
      </w:r>
      <w:bookmarkEnd w:id="0"/>
      <w:r>
        <w:rPr>
          <w:rFonts w:hint="eastAsia" w:ascii="宋体" w:hAnsi="宋体" w:eastAsia="宋体" w:cs="宋体"/>
          <w:sz w:val="24"/>
          <w:szCs w:val="24"/>
          <w:highlight w:val="none"/>
        </w:rPr>
        <w:t>全的，一次性告知纳税人原因或者补报的资料和时限。税务机关审核时，要认真核对项目报告内容的准确性和完整性，建立初审、复审、集体审议机制。</w:t>
      </w:r>
      <w:r>
        <w:rPr>
          <w:rFonts w:hint="eastAsia" w:ascii="宋体" w:hAnsi="宋体" w:eastAsia="宋体" w:cs="宋体"/>
          <w:b/>
          <w:bCs/>
          <w:color w:val="FF0000"/>
          <w:sz w:val="24"/>
          <w:szCs w:val="24"/>
          <w:highlight w:val="yellow"/>
        </w:rPr>
        <w:t>项目报告与清算单位相匹配，一个项目编号对应一个清算单位</w:t>
      </w:r>
      <w:r>
        <w:rPr>
          <w:rFonts w:hint="eastAsia" w:ascii="宋体" w:hAnsi="宋体" w:eastAsia="宋体" w:cs="宋体"/>
          <w:b/>
          <w:bCs/>
          <w:color w:val="FF0000"/>
          <w:sz w:val="24"/>
          <w:szCs w:val="24"/>
          <w:highlight w:val="yellow"/>
          <w:u w:val="single"/>
          <w:lang w:eastAsia="zh-CN"/>
        </w:rPr>
        <w:t>（</w:t>
      </w:r>
      <w:r>
        <w:rPr>
          <w:rFonts w:hint="eastAsia" w:ascii="宋体" w:hAnsi="宋体" w:eastAsia="宋体" w:cs="宋体"/>
          <w:b/>
          <w:bCs/>
          <w:color w:val="FF0000"/>
          <w:sz w:val="24"/>
          <w:szCs w:val="24"/>
          <w:highlight w:val="yellow"/>
          <w:u w:val="single"/>
          <w:lang w:val="en-US" w:eastAsia="zh-CN"/>
        </w:rPr>
        <w:t>注：</w:t>
      </w:r>
      <w:r>
        <w:rPr>
          <w:rFonts w:hint="eastAsia" w:ascii="宋体" w:hAnsi="宋体" w:eastAsia="宋体" w:cs="宋体"/>
          <w:b/>
          <w:bCs/>
          <w:color w:val="FF0000"/>
          <w:sz w:val="24"/>
          <w:szCs w:val="24"/>
          <w:highlight w:val="yellow"/>
          <w:u w:val="single"/>
        </w:rPr>
        <w:t>——指税务项目编号——NOT发改委的项目编号——一个发改委的项目编号，企业可分期，拆分多期，并向税务备案，取得税务项目编号，分别对应清算单位</w:t>
      </w:r>
      <w:r>
        <w:rPr>
          <w:rFonts w:hint="eastAsia" w:ascii="宋体" w:hAnsi="宋体" w:eastAsia="宋体" w:cs="宋体"/>
          <w:b/>
          <w:bCs/>
          <w:color w:val="FF0000"/>
          <w:sz w:val="24"/>
          <w:szCs w:val="24"/>
          <w:highlight w:val="yellow"/>
          <w:u w:val="single"/>
          <w:lang w:eastAsia="zh-CN"/>
        </w:rPr>
        <w:t>）</w:t>
      </w:r>
      <w:r>
        <w:rPr>
          <w:rFonts w:hint="eastAsia" w:ascii="宋体" w:hAnsi="宋体" w:eastAsia="宋体" w:cs="宋体"/>
          <w:sz w:val="24"/>
          <w:szCs w:val="24"/>
        </w:rPr>
        <w:t>。税务机关必要时可到项目现场开展核查工作，发现应报告而未报告的，或者项目报告信息不准确的，督促纳税人办理项目报告或者调整项目信息。</w:t>
      </w:r>
    </w:p>
    <w:p w14:paraId="1B69C214">
      <w:pPr>
        <w:pStyle w:val="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rPr>
        <w:t>纳税人办理项目报告时，税务机关提示其在办理预（销）售报告的同时报送对应的房源信息，并根据销售情况及时更新相关数据。税务机关收到纳税人预（销）售报告10日内，对纳税人填报的信息进行确认，</w:t>
      </w:r>
      <w:r>
        <w:rPr>
          <w:rFonts w:hint="eastAsia" w:ascii="宋体" w:hAnsi="宋体" w:eastAsia="宋体" w:cs="宋体"/>
          <w:sz w:val="24"/>
          <w:szCs w:val="24"/>
        </w:rPr>
        <w:t>对填报信息内容不完整或附报资料不齐全的，一次性告知纳税人补报的资料和时限。税务机关在纳税人办理预（销）售报告时，提醒纳税人取得预售收入后要按规定预缴税款。</w:t>
      </w:r>
    </w:p>
    <w:p w14:paraId="1B3E0E04">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房地产开发企业存在新的房地产开发项目时，</w:t>
      </w:r>
      <w:r>
        <w:rPr>
          <w:rFonts w:hint="eastAsia" w:ascii="宋体" w:hAnsi="宋体" w:eastAsia="宋体" w:cs="宋体"/>
          <w:bCs/>
          <w:sz w:val="24"/>
          <w:szCs w:val="24"/>
          <w:highlight w:val="yellow"/>
        </w:rPr>
        <w:t>应向税务机关报告土地增值税项目信息</w:t>
      </w:r>
      <w:r>
        <w:rPr>
          <w:rFonts w:hint="eastAsia" w:ascii="宋体" w:hAnsi="宋体" w:eastAsia="宋体" w:cs="宋体"/>
          <w:bCs/>
          <w:sz w:val="24"/>
          <w:szCs w:val="24"/>
        </w:rPr>
        <w:t>。报告后生成土地增值税项目编号，用于纳税人后续土地增值税预缴、清算等申报。</w:t>
      </w:r>
    </w:p>
    <w:p w14:paraId="320C1590">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土地增值税项目报告主要涉及基础登记信息和第三方各类文件、证书、备案信息。其中第三方信息通过外部交换系统获取，</w:t>
      </w:r>
      <w:r>
        <w:rPr>
          <w:rFonts w:hint="eastAsia" w:ascii="宋体" w:hAnsi="宋体" w:eastAsia="宋体" w:cs="宋体"/>
          <w:bCs/>
          <w:sz w:val="24"/>
          <w:szCs w:val="24"/>
          <w:highlight w:val="yellow"/>
        </w:rPr>
        <w:t>也可以由纳税人在</w:t>
      </w:r>
      <w:r>
        <w:rPr>
          <w:rFonts w:hint="eastAsia" w:ascii="宋体" w:hAnsi="宋体" w:eastAsia="宋体" w:cs="宋体"/>
          <w:bCs/>
          <w:sz w:val="24"/>
          <w:szCs w:val="24"/>
          <w:highlight w:val="yellow"/>
          <w:lang w:eastAsia="zh-CN"/>
        </w:rPr>
        <w:t>新</w:t>
      </w:r>
      <w:r>
        <w:rPr>
          <w:rFonts w:hint="eastAsia" w:ascii="宋体" w:hAnsi="宋体" w:eastAsia="宋体" w:cs="宋体"/>
          <w:bCs/>
          <w:sz w:val="24"/>
          <w:szCs w:val="24"/>
          <w:highlight w:val="yellow"/>
        </w:rPr>
        <w:t>电子税局手工录入</w:t>
      </w:r>
      <w:r>
        <w:rPr>
          <w:rFonts w:hint="eastAsia" w:ascii="宋体" w:hAnsi="宋体" w:eastAsia="宋体" w:cs="宋体"/>
          <w:bCs/>
          <w:sz w:val="24"/>
          <w:szCs w:val="24"/>
        </w:rPr>
        <w:t>。</w:t>
      </w:r>
    </w:p>
    <w:p w14:paraId="5EFE8DD8">
      <w:pPr>
        <w:pStyle w:val="2"/>
        <w:pageBreakBefore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二、办理流程</w:t>
      </w:r>
    </w:p>
    <w:p w14:paraId="4F153188">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即时办结。</w:t>
      </w:r>
    </w:p>
    <w:p w14:paraId="3A883383">
      <w:pPr>
        <w:pStyle w:val="2"/>
        <w:pageBreakBefore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三、视频讲解</w:t>
      </w:r>
    </w:p>
    <w:p w14:paraId="275DAF28">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网址：</w:t>
      </w:r>
    </w:p>
    <w:p w14:paraId="0774699C">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fldChar w:fldCharType="begin"/>
      </w:r>
      <w:r>
        <w:rPr>
          <w:rFonts w:hint="eastAsia" w:ascii="宋体" w:hAnsi="宋体" w:eastAsia="宋体" w:cs="宋体"/>
          <w:bCs/>
          <w:sz w:val="24"/>
          <w:szCs w:val="24"/>
          <w:lang w:eastAsia="zh-CN"/>
        </w:rPr>
        <w:instrText xml:space="preserve"> HYPERLINK "https://cdn.jiangsu.chinatax.gov.cn/etax/u/nsrxt/www/202407/23112231tmnp.mp4" </w:instrText>
      </w:r>
      <w:r>
        <w:rPr>
          <w:rFonts w:hint="eastAsia" w:ascii="宋体" w:hAnsi="宋体" w:eastAsia="宋体" w:cs="宋体"/>
          <w:bCs/>
          <w:sz w:val="24"/>
          <w:szCs w:val="24"/>
          <w:lang w:eastAsia="zh-CN"/>
        </w:rPr>
        <w:fldChar w:fldCharType="separate"/>
      </w:r>
      <w:r>
        <w:rPr>
          <w:rStyle w:val="14"/>
          <w:rFonts w:hint="eastAsia" w:ascii="宋体" w:hAnsi="宋体" w:eastAsia="宋体" w:cs="宋体"/>
          <w:bCs/>
          <w:sz w:val="24"/>
          <w:szCs w:val="24"/>
          <w:lang w:eastAsia="zh-CN"/>
        </w:rPr>
        <w:t>https://cdn.jiangsu.chinatax.gov.cn/etax/u/nsrxt/www/202407/23112231tmnp.mp4</w:t>
      </w:r>
      <w:r>
        <w:rPr>
          <w:rFonts w:hint="eastAsia" w:ascii="宋体" w:hAnsi="宋体" w:eastAsia="宋体" w:cs="宋体"/>
          <w:bCs/>
          <w:sz w:val="24"/>
          <w:szCs w:val="24"/>
          <w:lang w:eastAsia="zh-CN"/>
        </w:rPr>
        <w:fldChar w:fldCharType="end"/>
      </w:r>
    </w:p>
    <w:p w14:paraId="7EA9CE1D">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lang w:eastAsia="zh-CN"/>
        </w:rPr>
      </w:pPr>
    </w:p>
    <w:p w14:paraId="0D39EA16">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p>
    <w:p w14:paraId="51588382">
      <w:pPr>
        <w:pStyle w:val="2"/>
        <w:pageBreakBefore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四、功能路径</w:t>
      </w:r>
    </w:p>
    <w:p w14:paraId="2E4F8D91">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1.【我要办税】-【综合信息报告】-【税源信息报告】-【</w:t>
      </w:r>
      <w:r>
        <w:rPr>
          <w:rFonts w:hint="eastAsia" w:ascii="宋体" w:hAnsi="宋体" w:eastAsia="宋体" w:cs="宋体"/>
          <w:bCs/>
          <w:sz w:val="24"/>
          <w:szCs w:val="24"/>
          <w:shd w:val="clear" w:color="auto" w:fill="FFFFFF"/>
        </w:rPr>
        <w:t>土地增值税项目报告】。</w:t>
      </w:r>
    </w:p>
    <w:p w14:paraId="417FBD4C">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2.【我要办税】-【税费申报及缴纳】-【财产和行为税申报】-【财产和行为税税源采集及合并申报】，点击【填表式申报】，选择土地增值税，点击【新增税源】，点击【新增项目报告】进入。</w:t>
      </w:r>
    </w:p>
    <w:p w14:paraId="4A4236DE">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3.通过消息提醒进入。 </w:t>
      </w:r>
    </w:p>
    <w:p w14:paraId="5B572528">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4.通过首页搜索栏输入关键字查找。</w:t>
      </w:r>
    </w:p>
    <w:p w14:paraId="1E1E6D3F">
      <w:pPr>
        <w:pStyle w:val="2"/>
        <w:pageBreakBefore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CN"/>
        </w:rPr>
        <w:t>五、</w:t>
      </w:r>
      <w:r>
        <w:rPr>
          <w:rFonts w:hint="eastAsia" w:ascii="宋体" w:hAnsi="宋体" w:eastAsia="宋体" w:cs="宋体"/>
          <w:sz w:val="24"/>
          <w:szCs w:val="24"/>
          <w:lang w:eastAsia="zh-Hans"/>
        </w:rPr>
        <w:t>操作步骤</w:t>
      </w:r>
    </w:p>
    <w:p w14:paraId="306D4448">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1.登录新电子税局后，点击【我要办税】-【税源信息报告】-【土地增值税项目报告】功能菜单。</w:t>
      </w:r>
    </w:p>
    <w:p w14:paraId="04879437">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Cs/>
          <w:sz w:val="24"/>
          <w:szCs w:val="24"/>
        </w:rPr>
      </w:pPr>
      <w:r>
        <w:rPr>
          <w:rFonts w:hint="eastAsia" w:ascii="宋体" w:hAnsi="宋体" w:eastAsia="宋体" w:cs="宋体"/>
          <w:sz w:val="24"/>
          <w:szCs w:val="24"/>
        </w:rPr>
        <w:drawing>
          <wp:inline distT="0" distB="0" distL="114300" distR="114300">
            <wp:extent cx="5271770" cy="1852930"/>
            <wp:effectExtent l="0" t="0" r="5080" b="13970"/>
            <wp:docPr id="1"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0"/>
                    <pic:cNvPicPr>
                      <a:picLocks noChangeAspect="1"/>
                    </pic:cNvPicPr>
                  </pic:nvPicPr>
                  <pic:blipFill>
                    <a:blip r:embed="rId4"/>
                    <a:stretch>
                      <a:fillRect/>
                    </a:stretch>
                  </pic:blipFill>
                  <pic:spPr>
                    <a:xfrm>
                      <a:off x="0" y="0"/>
                      <a:ext cx="5271770" cy="1852930"/>
                    </a:xfrm>
                    <a:prstGeom prst="rect">
                      <a:avLst/>
                    </a:prstGeom>
                    <a:noFill/>
                    <a:ln w="9525">
                      <a:noFill/>
                    </a:ln>
                  </pic:spPr>
                </pic:pic>
              </a:graphicData>
            </a:graphic>
          </wp:inline>
        </w:drawing>
      </w:r>
    </w:p>
    <w:p w14:paraId="6502AAA4">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2.点击进入功能界面，如纳税人存在旧版土地增值税项目报告，则带出对应项目信息。可对土地增值税项目报告进行新增、补录和变更操作。</w:t>
      </w:r>
    </w:p>
    <w:p w14:paraId="743C769B">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（1）新增土地增值税项目信息。</w:t>
      </w:r>
    </w:p>
    <w:p w14:paraId="584CEFA6">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1）点击【新增】。</w:t>
      </w:r>
    </w:p>
    <w:p w14:paraId="619A0277">
      <w:pPr>
        <w:pageBreakBefore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bCs/>
          <w:sz w:val="24"/>
          <w:szCs w:val="24"/>
        </w:rPr>
      </w:pPr>
      <w:r>
        <w:rPr>
          <w:rFonts w:hint="eastAsia" w:ascii="宋体" w:hAnsi="宋体" w:eastAsia="宋体" w:cs="宋体"/>
          <w:sz w:val="24"/>
          <w:szCs w:val="24"/>
        </w:rPr>
        <w:drawing>
          <wp:inline distT="0" distB="0" distL="114300" distR="114300">
            <wp:extent cx="5273040" cy="1565910"/>
            <wp:effectExtent l="0" t="0" r="3810" b="15240"/>
            <wp:docPr id="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2"/>
                    <pic:cNvPicPr>
                      <a:picLocks noChangeAspect="1"/>
                    </pic:cNvPicPr>
                  </pic:nvPicPr>
                  <pic:blipFill>
                    <a:blip r:embed="rId5"/>
                    <a:stretch>
                      <a:fillRect/>
                    </a:stretch>
                  </pic:blipFill>
                  <pic:spPr>
                    <a:xfrm>
                      <a:off x="0" y="0"/>
                      <a:ext cx="5273040" cy="1565910"/>
                    </a:xfrm>
                    <a:prstGeom prst="rect">
                      <a:avLst/>
                    </a:prstGeom>
                    <a:noFill/>
                    <a:ln w="9525">
                      <a:noFill/>
                    </a:ln>
                  </pic:spPr>
                </pic:pic>
              </a:graphicData>
            </a:graphic>
          </wp:inline>
        </w:drawing>
      </w:r>
    </w:p>
    <w:p w14:paraId="5099115E">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14:paraId="2DA86BB6">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2）系统跳转至土地增值税项目报告界面，填写项目名称、所属集团、项目所在地行政区划等信息。填写确认无误后，点击【保存】。点击【上传附件】后可上传附件。</w:t>
      </w:r>
    </w:p>
    <w:p w14:paraId="57165B41">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Cs/>
          <w:sz w:val="24"/>
          <w:szCs w:val="24"/>
        </w:rPr>
      </w:pPr>
      <w:r>
        <w:rPr>
          <w:rFonts w:hint="eastAsia" w:ascii="宋体" w:hAnsi="宋体" w:eastAsia="宋体" w:cs="宋体"/>
          <w:sz w:val="24"/>
          <w:szCs w:val="24"/>
        </w:rPr>
        <w:drawing>
          <wp:inline distT="0" distB="0" distL="114300" distR="114300">
            <wp:extent cx="5264150" cy="2531745"/>
            <wp:effectExtent l="0" t="0" r="12700" b="1905"/>
            <wp:docPr id="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3"/>
                    <pic:cNvPicPr>
                      <a:picLocks noChangeAspect="1"/>
                    </pic:cNvPicPr>
                  </pic:nvPicPr>
                  <pic:blipFill>
                    <a:blip r:embed="rId6"/>
                    <a:stretch>
                      <a:fillRect/>
                    </a:stretch>
                  </pic:blipFill>
                  <pic:spPr>
                    <a:xfrm>
                      <a:off x="0" y="0"/>
                      <a:ext cx="5264150" cy="2531745"/>
                    </a:xfrm>
                    <a:prstGeom prst="rect">
                      <a:avLst/>
                    </a:prstGeom>
                    <a:noFill/>
                    <a:ln w="9525">
                      <a:noFill/>
                    </a:ln>
                  </pic:spPr>
                </pic:pic>
              </a:graphicData>
            </a:graphic>
          </wp:inline>
        </w:drawing>
      </w:r>
    </w:p>
    <w:p w14:paraId="5FB408B0">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14:paraId="7506A3C9">
      <w:pPr>
        <w:pageBreakBefore w:val="0"/>
        <w:numPr>
          <w:ilvl w:val="0"/>
          <w:numId w:val="1"/>
        </w:numPr>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系统提示：“</w:t>
      </w:r>
      <w:r>
        <w:rPr>
          <w:rFonts w:hint="eastAsia" w:ascii="宋体" w:hAnsi="宋体" w:eastAsia="宋体" w:cs="宋体"/>
          <w:bCs/>
          <w:sz w:val="24"/>
          <w:szCs w:val="24"/>
          <w:lang w:eastAsia="zh-CN"/>
        </w:rPr>
        <w:t>提交</w:t>
      </w:r>
      <w:r>
        <w:rPr>
          <w:rFonts w:hint="eastAsia" w:ascii="宋体" w:hAnsi="宋体" w:eastAsia="宋体" w:cs="宋体"/>
          <w:bCs/>
          <w:sz w:val="24"/>
          <w:szCs w:val="24"/>
        </w:rPr>
        <w:t>成功”，点击【</w:t>
      </w:r>
      <w:r>
        <w:rPr>
          <w:rFonts w:hint="eastAsia" w:ascii="宋体" w:hAnsi="宋体" w:eastAsia="宋体" w:cs="宋体"/>
          <w:bCs/>
          <w:sz w:val="24"/>
          <w:szCs w:val="24"/>
          <w:lang w:eastAsia="zh-CN"/>
        </w:rPr>
        <w:t>确定</w:t>
      </w:r>
      <w:r>
        <w:rPr>
          <w:rFonts w:hint="eastAsia" w:ascii="宋体" w:hAnsi="宋体" w:eastAsia="宋体" w:cs="宋体"/>
          <w:bCs/>
          <w:sz w:val="24"/>
          <w:szCs w:val="24"/>
        </w:rPr>
        <w:t>】可返回</w:t>
      </w:r>
      <w:r>
        <w:rPr>
          <w:rFonts w:hint="eastAsia" w:ascii="宋体" w:hAnsi="宋体" w:eastAsia="宋体" w:cs="宋体"/>
          <w:bCs/>
          <w:sz w:val="24"/>
          <w:szCs w:val="24"/>
          <w:lang w:eastAsia="zh-CN"/>
        </w:rPr>
        <w:t>新电子税局首页</w:t>
      </w:r>
      <w:r>
        <w:rPr>
          <w:rFonts w:hint="eastAsia" w:ascii="宋体" w:hAnsi="宋体" w:eastAsia="宋体" w:cs="宋体"/>
          <w:bCs/>
          <w:sz w:val="24"/>
          <w:szCs w:val="24"/>
        </w:rPr>
        <w:t>。</w:t>
      </w:r>
    </w:p>
    <w:p w14:paraId="5030E5E2">
      <w:pPr>
        <w:pageBreakBefore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Cs/>
          <w:sz w:val="24"/>
          <w:szCs w:val="24"/>
        </w:rPr>
      </w:pPr>
      <w:r>
        <w:rPr>
          <w:rFonts w:hint="eastAsia" w:ascii="宋体" w:hAnsi="宋体" w:eastAsia="宋体" w:cs="宋体"/>
          <w:sz w:val="24"/>
          <w:szCs w:val="24"/>
        </w:rPr>
        <w:drawing>
          <wp:inline distT="0" distB="0" distL="114300" distR="114300">
            <wp:extent cx="5266690" cy="1635125"/>
            <wp:effectExtent l="0" t="0" r="10160" b="3175"/>
            <wp:docPr id="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4"/>
                    <pic:cNvPicPr>
                      <a:picLocks noChangeAspect="1"/>
                    </pic:cNvPicPr>
                  </pic:nvPicPr>
                  <pic:blipFill>
                    <a:blip r:embed="rId7"/>
                    <a:stretch>
                      <a:fillRect/>
                    </a:stretch>
                  </pic:blipFill>
                  <pic:spPr>
                    <a:xfrm>
                      <a:off x="0" y="0"/>
                      <a:ext cx="5266690" cy="1635125"/>
                    </a:xfrm>
                    <a:prstGeom prst="rect">
                      <a:avLst/>
                    </a:prstGeom>
                    <a:noFill/>
                    <a:ln w="9525">
                      <a:noFill/>
                    </a:ln>
                  </pic:spPr>
                </pic:pic>
              </a:graphicData>
            </a:graphic>
          </wp:inline>
        </w:drawing>
      </w:r>
    </w:p>
    <w:p w14:paraId="71697634">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（2）补录旧版土地增值税项目报告</w:t>
      </w:r>
    </w:p>
    <w:p w14:paraId="1B3A5933">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1）旧版的土地增值税项目信息未在新电子税务局进行过补录，补录状态显示为“待补录”。选择需补录的土地增值税项目报告信息，点击【补录】。</w:t>
      </w:r>
    </w:p>
    <w:p w14:paraId="4E515E13">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Cs/>
          <w:sz w:val="24"/>
          <w:szCs w:val="24"/>
        </w:rPr>
      </w:pPr>
      <w:r>
        <w:rPr>
          <w:rFonts w:hint="eastAsia" w:ascii="宋体" w:hAnsi="宋体" w:eastAsia="宋体" w:cs="宋体"/>
          <w:sz w:val="24"/>
          <w:szCs w:val="24"/>
        </w:rPr>
        <w:drawing>
          <wp:inline distT="0" distB="0" distL="114300" distR="114300">
            <wp:extent cx="5271770" cy="1638300"/>
            <wp:effectExtent l="0" t="0" r="5080" b="0"/>
            <wp:docPr id="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5"/>
                    <pic:cNvPicPr>
                      <a:picLocks noChangeAspect="1"/>
                    </pic:cNvPicPr>
                  </pic:nvPicPr>
                  <pic:blipFill>
                    <a:blip r:embed="rId8"/>
                    <a:stretch>
                      <a:fillRect/>
                    </a:stretch>
                  </pic:blipFill>
                  <pic:spPr>
                    <a:xfrm>
                      <a:off x="0" y="0"/>
                      <a:ext cx="5271770" cy="1638300"/>
                    </a:xfrm>
                    <a:prstGeom prst="rect">
                      <a:avLst/>
                    </a:prstGeom>
                    <a:noFill/>
                    <a:ln w="9525">
                      <a:noFill/>
                    </a:ln>
                  </pic:spPr>
                </pic:pic>
              </a:graphicData>
            </a:graphic>
          </wp:inline>
        </w:drawing>
      </w:r>
    </w:p>
    <w:p w14:paraId="27B0E8C3">
      <w:pPr>
        <w:pageBreakBefore w:val="0"/>
        <w:numPr>
          <w:ilvl w:val="0"/>
          <w:numId w:val="2"/>
        </w:numPr>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系统跳转至土地增值税项目报告界面，对相应信息进行补录修改，确认信息无误后，点击【保存】。</w:t>
      </w:r>
    </w:p>
    <w:p w14:paraId="2FDB38C5">
      <w:pPr>
        <w:pageBreakBefore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Cs/>
          <w:sz w:val="24"/>
          <w:szCs w:val="24"/>
        </w:rPr>
      </w:pPr>
      <w:r>
        <w:rPr>
          <w:rFonts w:hint="eastAsia" w:ascii="宋体" w:hAnsi="宋体" w:eastAsia="宋体" w:cs="宋体"/>
          <w:sz w:val="24"/>
          <w:szCs w:val="24"/>
        </w:rPr>
        <w:drawing>
          <wp:inline distT="0" distB="0" distL="114300" distR="114300">
            <wp:extent cx="5266690" cy="2479675"/>
            <wp:effectExtent l="0" t="0" r="10160" b="15875"/>
            <wp:docPr id="6"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3"/>
                    <pic:cNvPicPr>
                      <a:picLocks noChangeAspect="1"/>
                    </pic:cNvPicPr>
                  </pic:nvPicPr>
                  <pic:blipFill>
                    <a:blip r:embed="rId9"/>
                    <a:stretch>
                      <a:fillRect/>
                    </a:stretch>
                  </pic:blipFill>
                  <pic:spPr>
                    <a:xfrm>
                      <a:off x="0" y="0"/>
                      <a:ext cx="5266690" cy="2479675"/>
                    </a:xfrm>
                    <a:prstGeom prst="rect">
                      <a:avLst/>
                    </a:prstGeom>
                    <a:noFill/>
                    <a:ln w="9525">
                      <a:noFill/>
                    </a:ln>
                  </pic:spPr>
                </pic:pic>
              </a:graphicData>
            </a:graphic>
          </wp:inline>
        </w:drawing>
      </w:r>
    </w:p>
    <w:p w14:paraId="4E04F457">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3）系统提示：“</w:t>
      </w:r>
      <w:r>
        <w:rPr>
          <w:rFonts w:hint="eastAsia" w:ascii="宋体" w:hAnsi="宋体" w:eastAsia="宋体" w:cs="宋体"/>
          <w:bCs/>
          <w:sz w:val="24"/>
          <w:szCs w:val="24"/>
          <w:lang w:eastAsia="zh-CN"/>
        </w:rPr>
        <w:t>提交</w:t>
      </w:r>
      <w:r>
        <w:rPr>
          <w:rFonts w:hint="eastAsia" w:ascii="宋体" w:hAnsi="宋体" w:eastAsia="宋体" w:cs="宋体"/>
          <w:bCs/>
          <w:sz w:val="24"/>
          <w:szCs w:val="24"/>
        </w:rPr>
        <w:t>成功”，点击【</w:t>
      </w:r>
      <w:r>
        <w:rPr>
          <w:rFonts w:hint="eastAsia" w:ascii="宋体" w:hAnsi="宋体" w:eastAsia="宋体" w:cs="宋体"/>
          <w:bCs/>
          <w:sz w:val="24"/>
          <w:szCs w:val="24"/>
          <w:lang w:eastAsia="zh-CN"/>
        </w:rPr>
        <w:t>确定</w:t>
      </w:r>
      <w:r>
        <w:rPr>
          <w:rFonts w:hint="eastAsia" w:ascii="宋体" w:hAnsi="宋体" w:eastAsia="宋体" w:cs="宋体"/>
          <w:bCs/>
          <w:sz w:val="24"/>
          <w:szCs w:val="24"/>
        </w:rPr>
        <w:t>】可返回土地增值税项目信息界面。</w:t>
      </w:r>
    </w:p>
    <w:p w14:paraId="4E45F159">
      <w:pPr>
        <w:pageBreakBefore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bCs/>
          <w:sz w:val="24"/>
          <w:szCs w:val="24"/>
        </w:rPr>
      </w:pPr>
      <w:r>
        <w:rPr>
          <w:rFonts w:hint="eastAsia" w:ascii="宋体" w:hAnsi="宋体" w:eastAsia="宋体" w:cs="宋体"/>
          <w:sz w:val="24"/>
          <w:szCs w:val="24"/>
        </w:rPr>
        <w:drawing>
          <wp:inline distT="0" distB="0" distL="114300" distR="114300">
            <wp:extent cx="5261610" cy="1585595"/>
            <wp:effectExtent l="0" t="0" r="15240" b="14605"/>
            <wp:docPr id="7"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8"/>
                    <pic:cNvPicPr>
                      <a:picLocks noChangeAspect="1"/>
                    </pic:cNvPicPr>
                  </pic:nvPicPr>
                  <pic:blipFill>
                    <a:blip r:embed="rId10"/>
                    <a:stretch>
                      <a:fillRect/>
                    </a:stretch>
                  </pic:blipFill>
                  <pic:spPr>
                    <a:xfrm>
                      <a:off x="0" y="0"/>
                      <a:ext cx="5261610" cy="1585595"/>
                    </a:xfrm>
                    <a:prstGeom prst="rect">
                      <a:avLst/>
                    </a:prstGeom>
                    <a:noFill/>
                    <a:ln w="9525">
                      <a:noFill/>
                    </a:ln>
                  </pic:spPr>
                </pic:pic>
              </a:graphicData>
            </a:graphic>
          </wp:inline>
        </w:drawing>
      </w:r>
    </w:p>
    <w:p w14:paraId="5D5E0BAE">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sz w:val="24"/>
          <w:szCs w:val="24"/>
          <w:lang w:eastAsia="zh-Hans"/>
        </w:rPr>
      </w:pPr>
    </w:p>
    <w:p w14:paraId="4969BAA9">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4）返回土地增值税项目信息界面，已补录的土地增值税项目信息补录状态变更为“已补录”。</w:t>
      </w:r>
    </w:p>
    <w:p w14:paraId="5DD607F5">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271770" cy="1599565"/>
            <wp:effectExtent l="0" t="0" r="5080" b="635"/>
            <wp:docPr id="8"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9"/>
                    <pic:cNvPicPr>
                      <a:picLocks noChangeAspect="1"/>
                    </pic:cNvPicPr>
                  </pic:nvPicPr>
                  <pic:blipFill>
                    <a:blip r:embed="rId11"/>
                    <a:stretch>
                      <a:fillRect/>
                    </a:stretch>
                  </pic:blipFill>
                  <pic:spPr>
                    <a:xfrm>
                      <a:off x="0" y="0"/>
                      <a:ext cx="5271770" cy="1599565"/>
                    </a:xfrm>
                    <a:prstGeom prst="rect">
                      <a:avLst/>
                    </a:prstGeom>
                    <a:noFill/>
                    <a:ln w="9525">
                      <a:noFill/>
                    </a:ln>
                  </pic:spPr>
                </pic:pic>
              </a:graphicData>
            </a:graphic>
          </wp:inline>
        </w:drawing>
      </w:r>
    </w:p>
    <w:p w14:paraId="3AE532F3">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（3）变更土地增值税项目报告</w:t>
      </w:r>
    </w:p>
    <w:p w14:paraId="350866A4">
      <w:pPr>
        <w:pageBreakBefore w:val="0"/>
        <w:kinsoku/>
        <w:wordWrap/>
        <w:overflowPunct/>
        <w:topLinePunct w:val="0"/>
        <w:autoSpaceDE/>
        <w:autoSpaceDN/>
        <w:bidi w:val="0"/>
        <w:adjustRightInd/>
        <w:snapToGrid/>
        <w:spacing w:before="157" w:beforeLines="50" w:after="157" w:afterLines="50" w:line="360" w:lineRule="auto"/>
        <w:ind w:firstLine="630"/>
        <w:textAlignment w:val="auto"/>
        <w:rPr>
          <w:rFonts w:hint="eastAsia" w:ascii="宋体" w:hAnsi="宋体" w:eastAsia="宋体" w:cs="宋体"/>
          <w:sz w:val="24"/>
          <w:szCs w:val="24"/>
        </w:rPr>
      </w:pPr>
      <w:r>
        <w:rPr>
          <w:rFonts w:hint="eastAsia" w:ascii="宋体" w:hAnsi="宋体" w:eastAsia="宋体" w:cs="宋体"/>
          <w:sz w:val="24"/>
          <w:szCs w:val="24"/>
        </w:rPr>
        <w:t>1）选择需变更的土地增值税项目报告信息，点击【变更】。</w:t>
      </w:r>
    </w:p>
    <w:p w14:paraId="210D37F5">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271770" cy="1704340"/>
            <wp:effectExtent l="0" t="0" r="5080" b="10160"/>
            <wp:docPr id="9"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0"/>
                    <pic:cNvPicPr>
                      <a:picLocks noChangeAspect="1"/>
                    </pic:cNvPicPr>
                  </pic:nvPicPr>
                  <pic:blipFill>
                    <a:blip r:embed="rId12"/>
                    <a:stretch>
                      <a:fillRect/>
                    </a:stretch>
                  </pic:blipFill>
                  <pic:spPr>
                    <a:xfrm>
                      <a:off x="0" y="0"/>
                      <a:ext cx="5271770" cy="1704340"/>
                    </a:xfrm>
                    <a:prstGeom prst="rect">
                      <a:avLst/>
                    </a:prstGeom>
                    <a:noFill/>
                    <a:ln w="9525">
                      <a:noFill/>
                    </a:ln>
                  </pic:spPr>
                </pic:pic>
              </a:graphicData>
            </a:graphic>
          </wp:inline>
        </w:drawing>
      </w:r>
    </w:p>
    <w:p w14:paraId="1620A453">
      <w:pPr>
        <w:pageBreakBefore w:val="0"/>
        <w:numPr>
          <w:ilvl w:val="0"/>
          <w:numId w:val="3"/>
        </w:numPr>
        <w:kinsoku/>
        <w:wordWrap/>
        <w:overflowPunct/>
        <w:topLinePunct w:val="0"/>
        <w:autoSpaceDE/>
        <w:autoSpaceDN/>
        <w:bidi w:val="0"/>
        <w:adjustRightInd/>
        <w:snapToGrid/>
        <w:spacing w:before="157" w:beforeLines="50" w:after="157" w:afterLines="5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跳转至土地增值税项目报告界面，对相应信息进行变更修改，确认信息无误后，点击【保存】。</w:t>
      </w:r>
    </w:p>
    <w:p w14:paraId="16753403">
      <w:pPr>
        <w:pageBreakBefore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266690" cy="2466340"/>
            <wp:effectExtent l="0" t="0" r="10160" b="10160"/>
            <wp:docPr id="10"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1"/>
                    <pic:cNvPicPr>
                      <a:picLocks noChangeAspect="1"/>
                    </pic:cNvPicPr>
                  </pic:nvPicPr>
                  <pic:blipFill>
                    <a:blip r:embed="rId13"/>
                    <a:stretch>
                      <a:fillRect/>
                    </a:stretch>
                  </pic:blipFill>
                  <pic:spPr>
                    <a:xfrm>
                      <a:off x="0" y="0"/>
                      <a:ext cx="5266690" cy="2466340"/>
                    </a:xfrm>
                    <a:prstGeom prst="rect">
                      <a:avLst/>
                    </a:prstGeom>
                    <a:noFill/>
                    <a:ln w="9525">
                      <a:noFill/>
                    </a:ln>
                  </pic:spPr>
                </pic:pic>
              </a:graphicData>
            </a:graphic>
          </wp:inline>
        </w:drawing>
      </w:r>
    </w:p>
    <w:p w14:paraId="6753F00F">
      <w:pPr>
        <w:pageBreakBefore w:val="0"/>
        <w:numPr>
          <w:ilvl w:val="0"/>
          <w:numId w:val="3"/>
        </w:numPr>
        <w:kinsoku/>
        <w:wordWrap/>
        <w:overflowPunct/>
        <w:topLinePunct w:val="0"/>
        <w:autoSpaceDE/>
        <w:autoSpaceDN/>
        <w:bidi w:val="0"/>
        <w:adjustRightInd/>
        <w:snapToGrid/>
        <w:spacing w:before="157" w:beforeLines="50" w:after="157" w:afterLines="5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系统提示：“保存成功”，点击【确认】可返回</w:t>
      </w:r>
      <w:r>
        <w:rPr>
          <w:rFonts w:hint="eastAsia" w:ascii="宋体" w:hAnsi="宋体" w:eastAsia="宋体" w:cs="宋体"/>
          <w:color w:val="000000"/>
          <w:sz w:val="24"/>
          <w:szCs w:val="24"/>
        </w:rPr>
        <w:t>土地增值税项目信息界面</w:t>
      </w:r>
      <w:r>
        <w:rPr>
          <w:rFonts w:hint="eastAsia" w:ascii="宋体" w:hAnsi="宋体" w:eastAsia="宋体" w:cs="宋体"/>
          <w:sz w:val="24"/>
          <w:szCs w:val="24"/>
        </w:rPr>
        <w:t>。</w:t>
      </w:r>
    </w:p>
    <w:p w14:paraId="7EF09958">
      <w:pPr>
        <w:pageBreakBefore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263515" cy="1555115"/>
            <wp:effectExtent l="0" t="0" r="13335" b="6985"/>
            <wp:docPr id="11"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2"/>
                    <pic:cNvPicPr>
                      <a:picLocks noChangeAspect="1"/>
                    </pic:cNvPicPr>
                  </pic:nvPicPr>
                  <pic:blipFill>
                    <a:blip r:embed="rId14"/>
                    <a:stretch>
                      <a:fillRect/>
                    </a:stretch>
                  </pic:blipFill>
                  <pic:spPr>
                    <a:xfrm>
                      <a:off x="0" y="0"/>
                      <a:ext cx="5263515" cy="1555115"/>
                    </a:xfrm>
                    <a:prstGeom prst="rect">
                      <a:avLst/>
                    </a:prstGeom>
                    <a:noFill/>
                    <a:ln w="9525">
                      <a:noFill/>
                    </a:ln>
                  </pic:spPr>
                </pic:pic>
              </a:graphicData>
            </a:graphic>
          </wp:inline>
        </w:drawing>
      </w:r>
    </w:p>
    <w:p w14:paraId="52B61BBC">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sz w:val="24"/>
          <w:szCs w:val="24"/>
        </w:rPr>
      </w:pPr>
    </w:p>
    <w:p w14:paraId="41E0F0F1">
      <w:pPr>
        <w:pStyle w:val="2"/>
        <w:pageBreakBefore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六、报送资料</w:t>
      </w:r>
    </w:p>
    <w:tbl>
      <w:tblPr>
        <w:tblStyle w:val="11"/>
        <w:tblW w:w="8522" w:type="dxa"/>
        <w:tblInd w:w="0" w:type="dxa"/>
        <w:tblLayout w:type="fixed"/>
        <w:tblCellMar>
          <w:top w:w="0" w:type="dxa"/>
          <w:left w:w="108" w:type="dxa"/>
          <w:bottom w:w="0" w:type="dxa"/>
          <w:right w:w="108" w:type="dxa"/>
        </w:tblCellMar>
      </w:tblPr>
      <w:tblGrid>
        <w:gridCol w:w="949"/>
        <w:gridCol w:w="1568"/>
        <w:gridCol w:w="852"/>
        <w:gridCol w:w="1133"/>
        <w:gridCol w:w="709"/>
        <w:gridCol w:w="711"/>
        <w:gridCol w:w="850"/>
        <w:gridCol w:w="810"/>
        <w:gridCol w:w="940"/>
      </w:tblGrid>
      <w:tr w14:paraId="476387BB">
        <w:tblPrEx>
          <w:tblCellMar>
            <w:top w:w="0" w:type="dxa"/>
            <w:left w:w="108" w:type="dxa"/>
            <w:bottom w:w="0" w:type="dxa"/>
            <w:right w:w="108" w:type="dxa"/>
          </w:tblCellMar>
        </w:tblPrEx>
        <w:trPr>
          <w:trHeight w:val="450" w:hRule="atLeast"/>
        </w:trPr>
        <w:tc>
          <w:tcPr>
            <w:tcW w:w="949" w:type="dxa"/>
            <w:tcBorders>
              <w:top w:val="single" w:color="auto" w:sz="4" w:space="0"/>
              <w:left w:val="single" w:color="auto" w:sz="4" w:space="0"/>
              <w:bottom w:val="single" w:color="auto" w:sz="4" w:space="0"/>
              <w:right w:val="single" w:color="auto" w:sz="4" w:space="0"/>
            </w:tcBorders>
            <w:shd w:val="clear" w:color="auto" w:fill="D9D9D9"/>
            <w:vAlign w:val="center"/>
          </w:tcPr>
          <w:p w14:paraId="46ACD98E">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568" w:type="dxa"/>
            <w:tcBorders>
              <w:top w:val="single" w:color="auto" w:sz="4" w:space="0"/>
              <w:left w:val="nil"/>
              <w:bottom w:val="single" w:color="auto" w:sz="4" w:space="0"/>
              <w:right w:val="single" w:color="auto" w:sz="4" w:space="0"/>
            </w:tcBorders>
            <w:shd w:val="clear" w:color="auto" w:fill="D9D9D9"/>
            <w:vAlign w:val="center"/>
          </w:tcPr>
          <w:p w14:paraId="5C107D03">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报送资料名称</w:t>
            </w:r>
          </w:p>
        </w:tc>
        <w:tc>
          <w:tcPr>
            <w:tcW w:w="852" w:type="dxa"/>
            <w:tcBorders>
              <w:top w:val="single" w:color="auto" w:sz="4" w:space="0"/>
              <w:left w:val="nil"/>
              <w:bottom w:val="single" w:color="auto" w:sz="4" w:space="0"/>
              <w:right w:val="single" w:color="auto" w:sz="4" w:space="0"/>
            </w:tcBorders>
            <w:shd w:val="clear" w:color="auto" w:fill="D9D9D9"/>
            <w:vAlign w:val="center"/>
          </w:tcPr>
          <w:p w14:paraId="4EC05944">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必报</w:t>
            </w:r>
          </w:p>
        </w:tc>
        <w:tc>
          <w:tcPr>
            <w:tcW w:w="1133" w:type="dxa"/>
            <w:tcBorders>
              <w:top w:val="single" w:color="auto" w:sz="4" w:space="0"/>
              <w:left w:val="nil"/>
              <w:bottom w:val="single" w:color="auto" w:sz="4" w:space="0"/>
              <w:right w:val="single" w:color="auto" w:sz="4" w:space="0"/>
            </w:tcBorders>
            <w:shd w:val="clear" w:color="auto" w:fill="D9D9D9"/>
            <w:vAlign w:val="center"/>
          </w:tcPr>
          <w:p w14:paraId="7BC633E0">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条件报送</w:t>
            </w:r>
          </w:p>
        </w:tc>
        <w:tc>
          <w:tcPr>
            <w:tcW w:w="709" w:type="dxa"/>
            <w:tcBorders>
              <w:top w:val="single" w:color="auto" w:sz="4" w:space="0"/>
              <w:left w:val="nil"/>
              <w:bottom w:val="single" w:color="auto" w:sz="4" w:space="0"/>
              <w:right w:val="single" w:color="auto" w:sz="4" w:space="0"/>
            </w:tcBorders>
            <w:shd w:val="clear" w:color="auto" w:fill="D9D9D9"/>
            <w:vAlign w:val="center"/>
          </w:tcPr>
          <w:p w14:paraId="79F38EBE">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归档</w:t>
            </w:r>
          </w:p>
        </w:tc>
        <w:tc>
          <w:tcPr>
            <w:tcW w:w="711" w:type="dxa"/>
            <w:tcBorders>
              <w:top w:val="single" w:color="auto" w:sz="4" w:space="0"/>
              <w:left w:val="nil"/>
              <w:bottom w:val="single" w:color="auto" w:sz="4" w:space="0"/>
              <w:right w:val="single" w:color="auto" w:sz="4" w:space="0"/>
            </w:tcBorders>
            <w:shd w:val="clear" w:color="auto" w:fill="D9D9D9"/>
            <w:vAlign w:val="center"/>
          </w:tcPr>
          <w:p w14:paraId="1D89DA8F">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查验</w:t>
            </w:r>
          </w:p>
        </w:tc>
        <w:tc>
          <w:tcPr>
            <w:tcW w:w="850" w:type="dxa"/>
            <w:tcBorders>
              <w:top w:val="single" w:color="auto" w:sz="4" w:space="0"/>
              <w:left w:val="nil"/>
              <w:bottom w:val="single" w:color="auto" w:sz="4" w:space="0"/>
              <w:right w:val="single" w:color="auto" w:sz="4" w:space="0"/>
            </w:tcBorders>
            <w:shd w:val="clear" w:color="auto" w:fill="D9D9D9"/>
            <w:vAlign w:val="center"/>
          </w:tcPr>
          <w:p w14:paraId="42E21892">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代保管</w:t>
            </w:r>
          </w:p>
        </w:tc>
        <w:tc>
          <w:tcPr>
            <w:tcW w:w="810" w:type="dxa"/>
            <w:tcBorders>
              <w:top w:val="single" w:color="auto" w:sz="4" w:space="0"/>
              <w:left w:val="nil"/>
              <w:bottom w:val="single" w:color="auto" w:sz="4" w:space="0"/>
              <w:right w:val="single" w:color="auto" w:sz="4" w:space="0"/>
            </w:tcBorders>
            <w:shd w:val="clear" w:color="auto" w:fill="D9D9D9"/>
            <w:vAlign w:val="center"/>
          </w:tcPr>
          <w:p w14:paraId="58DDF80B">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核销</w:t>
            </w:r>
          </w:p>
        </w:tc>
        <w:tc>
          <w:tcPr>
            <w:tcW w:w="940" w:type="dxa"/>
            <w:tcBorders>
              <w:top w:val="single" w:color="auto" w:sz="4" w:space="0"/>
              <w:left w:val="nil"/>
              <w:bottom w:val="single" w:color="auto" w:sz="4" w:space="0"/>
              <w:right w:val="single" w:color="auto" w:sz="4" w:space="0"/>
            </w:tcBorders>
            <w:shd w:val="clear" w:color="auto" w:fill="D9D9D9"/>
            <w:vAlign w:val="center"/>
          </w:tcPr>
          <w:p w14:paraId="36A2871A">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容缺报送</w:t>
            </w:r>
          </w:p>
        </w:tc>
      </w:tr>
      <w:tr w14:paraId="24C660A5">
        <w:tblPrEx>
          <w:tblCellMar>
            <w:top w:w="0" w:type="dxa"/>
            <w:left w:w="108" w:type="dxa"/>
            <w:bottom w:w="0" w:type="dxa"/>
            <w:right w:w="108" w:type="dxa"/>
          </w:tblCellMar>
        </w:tblPrEx>
        <w:trPr>
          <w:trHeight w:val="675" w:hRule="atLeast"/>
        </w:trPr>
        <w:tc>
          <w:tcPr>
            <w:tcW w:w="949" w:type="dxa"/>
            <w:tcBorders>
              <w:top w:val="nil"/>
              <w:left w:val="single" w:color="auto" w:sz="4" w:space="0"/>
              <w:bottom w:val="single" w:color="auto" w:sz="4" w:space="0"/>
              <w:right w:val="single" w:color="auto" w:sz="4" w:space="0"/>
            </w:tcBorders>
            <w:vAlign w:val="center"/>
          </w:tcPr>
          <w:p w14:paraId="784FB998">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68" w:type="dxa"/>
            <w:tcBorders>
              <w:top w:val="nil"/>
              <w:left w:val="nil"/>
              <w:bottom w:val="single" w:color="auto" w:sz="4" w:space="0"/>
              <w:right w:val="single" w:color="auto" w:sz="4" w:space="0"/>
            </w:tcBorders>
            <w:vAlign w:val="center"/>
          </w:tcPr>
          <w:p w14:paraId="066CC7A5">
            <w:pPr>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《土地增值税项目信息报告表》</w:t>
            </w:r>
          </w:p>
        </w:tc>
        <w:tc>
          <w:tcPr>
            <w:tcW w:w="852" w:type="dxa"/>
            <w:tcBorders>
              <w:top w:val="nil"/>
              <w:left w:val="nil"/>
              <w:bottom w:val="single" w:color="auto" w:sz="4" w:space="0"/>
              <w:right w:val="single" w:color="auto" w:sz="4" w:space="0"/>
            </w:tcBorders>
            <w:vAlign w:val="center"/>
          </w:tcPr>
          <w:p w14:paraId="757806E9">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p>
        </w:tc>
        <w:tc>
          <w:tcPr>
            <w:tcW w:w="1133" w:type="dxa"/>
            <w:tcBorders>
              <w:top w:val="nil"/>
              <w:left w:val="nil"/>
              <w:bottom w:val="single" w:color="auto" w:sz="4" w:space="0"/>
              <w:right w:val="single" w:color="auto" w:sz="4" w:space="0"/>
            </w:tcBorders>
            <w:vAlign w:val="center"/>
          </w:tcPr>
          <w:p w14:paraId="59621568">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p>
        </w:tc>
        <w:tc>
          <w:tcPr>
            <w:tcW w:w="709" w:type="dxa"/>
            <w:tcBorders>
              <w:top w:val="nil"/>
              <w:left w:val="nil"/>
              <w:bottom w:val="single" w:color="auto" w:sz="4" w:space="0"/>
              <w:right w:val="single" w:color="auto" w:sz="4" w:space="0"/>
            </w:tcBorders>
            <w:vAlign w:val="center"/>
          </w:tcPr>
          <w:p w14:paraId="014C1F88">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11" w:type="dxa"/>
            <w:tcBorders>
              <w:top w:val="nil"/>
              <w:left w:val="nil"/>
              <w:bottom w:val="single" w:color="auto" w:sz="4" w:space="0"/>
              <w:right w:val="single" w:color="auto" w:sz="4" w:space="0"/>
            </w:tcBorders>
            <w:vAlign w:val="center"/>
          </w:tcPr>
          <w:p w14:paraId="0F757A06">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0" w:type="dxa"/>
            <w:tcBorders>
              <w:top w:val="nil"/>
              <w:left w:val="nil"/>
              <w:bottom w:val="single" w:color="auto" w:sz="4" w:space="0"/>
              <w:right w:val="single" w:color="auto" w:sz="4" w:space="0"/>
            </w:tcBorders>
            <w:vAlign w:val="center"/>
          </w:tcPr>
          <w:p w14:paraId="540A27F8">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0" w:type="dxa"/>
            <w:tcBorders>
              <w:top w:val="nil"/>
              <w:left w:val="nil"/>
              <w:bottom w:val="single" w:color="auto" w:sz="4" w:space="0"/>
              <w:right w:val="single" w:color="auto" w:sz="4" w:space="0"/>
            </w:tcBorders>
            <w:vAlign w:val="center"/>
          </w:tcPr>
          <w:p w14:paraId="349FAB14">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40" w:type="dxa"/>
            <w:tcBorders>
              <w:top w:val="nil"/>
              <w:left w:val="nil"/>
              <w:bottom w:val="single" w:color="auto" w:sz="4" w:space="0"/>
              <w:right w:val="single" w:color="auto" w:sz="4" w:space="0"/>
            </w:tcBorders>
            <w:vAlign w:val="center"/>
          </w:tcPr>
          <w:p w14:paraId="13F96F49">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r>
      <w:tr w14:paraId="5070E0A1">
        <w:tblPrEx>
          <w:tblCellMar>
            <w:top w:w="0" w:type="dxa"/>
            <w:left w:w="108" w:type="dxa"/>
            <w:bottom w:w="0" w:type="dxa"/>
            <w:right w:w="108" w:type="dxa"/>
          </w:tblCellMar>
        </w:tblPrEx>
        <w:trPr>
          <w:trHeight w:val="1125" w:hRule="atLeast"/>
        </w:trPr>
        <w:tc>
          <w:tcPr>
            <w:tcW w:w="949" w:type="dxa"/>
            <w:tcBorders>
              <w:top w:val="nil"/>
              <w:left w:val="single" w:color="auto" w:sz="4" w:space="0"/>
              <w:bottom w:val="single" w:color="auto" w:sz="4" w:space="0"/>
              <w:right w:val="single" w:color="auto" w:sz="4" w:space="0"/>
            </w:tcBorders>
            <w:vAlign w:val="center"/>
          </w:tcPr>
          <w:p w14:paraId="6A9286A3">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568" w:type="dxa"/>
            <w:tcBorders>
              <w:top w:val="nil"/>
              <w:left w:val="nil"/>
              <w:bottom w:val="single" w:color="auto" w:sz="4" w:space="0"/>
              <w:right w:val="single" w:color="auto" w:sz="4" w:space="0"/>
            </w:tcBorders>
            <w:vAlign w:val="center"/>
          </w:tcPr>
          <w:p w14:paraId="5E9C62BB">
            <w:pPr>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《土地增值税项目信息报告表（适用合并拆分情形）》</w:t>
            </w:r>
          </w:p>
        </w:tc>
        <w:tc>
          <w:tcPr>
            <w:tcW w:w="852" w:type="dxa"/>
            <w:tcBorders>
              <w:top w:val="nil"/>
              <w:left w:val="nil"/>
              <w:bottom w:val="single" w:color="auto" w:sz="4" w:space="0"/>
              <w:right w:val="single" w:color="auto" w:sz="4" w:space="0"/>
            </w:tcBorders>
            <w:vAlign w:val="center"/>
          </w:tcPr>
          <w:p w14:paraId="457BF604">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p>
        </w:tc>
        <w:tc>
          <w:tcPr>
            <w:tcW w:w="1133" w:type="dxa"/>
            <w:tcBorders>
              <w:top w:val="nil"/>
              <w:left w:val="nil"/>
              <w:bottom w:val="single" w:color="auto" w:sz="4" w:space="0"/>
              <w:right w:val="single" w:color="auto" w:sz="4" w:space="0"/>
            </w:tcBorders>
            <w:vAlign w:val="center"/>
          </w:tcPr>
          <w:p w14:paraId="384A3692">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p>
        </w:tc>
        <w:tc>
          <w:tcPr>
            <w:tcW w:w="709" w:type="dxa"/>
            <w:tcBorders>
              <w:top w:val="nil"/>
              <w:left w:val="nil"/>
              <w:bottom w:val="single" w:color="auto" w:sz="4" w:space="0"/>
              <w:right w:val="single" w:color="auto" w:sz="4" w:space="0"/>
            </w:tcBorders>
            <w:vAlign w:val="center"/>
          </w:tcPr>
          <w:p w14:paraId="69C9B2B3">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11" w:type="dxa"/>
            <w:tcBorders>
              <w:top w:val="nil"/>
              <w:left w:val="nil"/>
              <w:bottom w:val="single" w:color="auto" w:sz="4" w:space="0"/>
              <w:right w:val="single" w:color="auto" w:sz="4" w:space="0"/>
            </w:tcBorders>
            <w:vAlign w:val="center"/>
          </w:tcPr>
          <w:p w14:paraId="6CD9C5E9">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0" w:type="dxa"/>
            <w:tcBorders>
              <w:top w:val="nil"/>
              <w:left w:val="nil"/>
              <w:bottom w:val="single" w:color="auto" w:sz="4" w:space="0"/>
              <w:right w:val="single" w:color="auto" w:sz="4" w:space="0"/>
            </w:tcBorders>
            <w:vAlign w:val="center"/>
          </w:tcPr>
          <w:p w14:paraId="737892CC">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0" w:type="dxa"/>
            <w:tcBorders>
              <w:top w:val="nil"/>
              <w:left w:val="nil"/>
              <w:bottom w:val="single" w:color="auto" w:sz="4" w:space="0"/>
              <w:right w:val="single" w:color="auto" w:sz="4" w:space="0"/>
            </w:tcBorders>
            <w:vAlign w:val="center"/>
          </w:tcPr>
          <w:p w14:paraId="43B0E534">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40" w:type="dxa"/>
            <w:tcBorders>
              <w:top w:val="nil"/>
              <w:left w:val="nil"/>
              <w:bottom w:val="single" w:color="auto" w:sz="4" w:space="0"/>
              <w:right w:val="single" w:color="auto" w:sz="4" w:space="0"/>
            </w:tcBorders>
            <w:vAlign w:val="center"/>
          </w:tcPr>
          <w:p w14:paraId="29E3111D">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r>
      <w:tr w14:paraId="7FC6276D">
        <w:tblPrEx>
          <w:tblCellMar>
            <w:top w:w="0" w:type="dxa"/>
            <w:left w:w="108" w:type="dxa"/>
            <w:bottom w:w="0" w:type="dxa"/>
            <w:right w:w="108" w:type="dxa"/>
          </w:tblCellMar>
        </w:tblPrEx>
        <w:trPr>
          <w:trHeight w:val="450" w:hRule="atLeast"/>
        </w:trPr>
        <w:tc>
          <w:tcPr>
            <w:tcW w:w="949" w:type="dxa"/>
            <w:tcBorders>
              <w:top w:val="nil"/>
              <w:left w:val="single" w:color="auto" w:sz="4" w:space="0"/>
              <w:bottom w:val="single" w:color="auto" w:sz="4" w:space="0"/>
              <w:right w:val="single" w:color="auto" w:sz="4" w:space="0"/>
            </w:tcBorders>
            <w:vAlign w:val="center"/>
          </w:tcPr>
          <w:p w14:paraId="72E87865">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568" w:type="dxa"/>
            <w:tcBorders>
              <w:top w:val="nil"/>
              <w:left w:val="nil"/>
              <w:bottom w:val="single" w:color="auto" w:sz="4" w:space="0"/>
              <w:right w:val="single" w:color="auto" w:sz="4" w:space="0"/>
            </w:tcBorders>
            <w:vAlign w:val="center"/>
          </w:tcPr>
          <w:p w14:paraId="4C1B09B0">
            <w:pPr>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发改立项文件复印件</w:t>
            </w:r>
          </w:p>
        </w:tc>
        <w:tc>
          <w:tcPr>
            <w:tcW w:w="852" w:type="dxa"/>
            <w:tcBorders>
              <w:top w:val="nil"/>
              <w:left w:val="nil"/>
              <w:bottom w:val="single" w:color="auto" w:sz="4" w:space="0"/>
              <w:right w:val="single" w:color="auto" w:sz="4" w:space="0"/>
            </w:tcBorders>
            <w:vAlign w:val="center"/>
          </w:tcPr>
          <w:p w14:paraId="4AB3DEA9">
            <w:pPr>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3" w:type="dxa"/>
            <w:tcBorders>
              <w:top w:val="nil"/>
              <w:left w:val="nil"/>
              <w:bottom w:val="single" w:color="auto" w:sz="4" w:space="0"/>
              <w:right w:val="single" w:color="auto" w:sz="4" w:space="0"/>
            </w:tcBorders>
            <w:vAlign w:val="center"/>
          </w:tcPr>
          <w:p w14:paraId="5413D2A4">
            <w:pPr>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vAlign w:val="center"/>
          </w:tcPr>
          <w:p w14:paraId="79CDBBF9">
            <w:pPr>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11" w:type="dxa"/>
            <w:tcBorders>
              <w:top w:val="nil"/>
              <w:left w:val="nil"/>
              <w:bottom w:val="single" w:color="auto" w:sz="4" w:space="0"/>
              <w:right w:val="single" w:color="auto" w:sz="4" w:space="0"/>
            </w:tcBorders>
            <w:vAlign w:val="center"/>
          </w:tcPr>
          <w:p w14:paraId="22873CC0">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0" w:type="dxa"/>
            <w:tcBorders>
              <w:top w:val="nil"/>
              <w:left w:val="nil"/>
              <w:bottom w:val="single" w:color="auto" w:sz="4" w:space="0"/>
              <w:right w:val="single" w:color="auto" w:sz="4" w:space="0"/>
            </w:tcBorders>
            <w:vAlign w:val="center"/>
          </w:tcPr>
          <w:p w14:paraId="1DE449D1">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0" w:type="dxa"/>
            <w:tcBorders>
              <w:top w:val="nil"/>
              <w:left w:val="nil"/>
              <w:bottom w:val="single" w:color="auto" w:sz="4" w:space="0"/>
              <w:right w:val="single" w:color="auto" w:sz="4" w:space="0"/>
            </w:tcBorders>
            <w:vAlign w:val="center"/>
          </w:tcPr>
          <w:p w14:paraId="06FA5088">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40" w:type="dxa"/>
            <w:tcBorders>
              <w:top w:val="nil"/>
              <w:left w:val="nil"/>
              <w:bottom w:val="single" w:color="auto" w:sz="4" w:space="0"/>
              <w:right w:val="single" w:color="auto" w:sz="4" w:space="0"/>
            </w:tcBorders>
            <w:vAlign w:val="center"/>
          </w:tcPr>
          <w:p w14:paraId="5F8E6923">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r>
      <w:tr w14:paraId="58AB49A3">
        <w:tblPrEx>
          <w:tblCellMar>
            <w:top w:w="0" w:type="dxa"/>
            <w:left w:w="108" w:type="dxa"/>
            <w:bottom w:w="0" w:type="dxa"/>
            <w:right w:w="108" w:type="dxa"/>
          </w:tblCellMar>
        </w:tblPrEx>
        <w:trPr>
          <w:trHeight w:val="675" w:hRule="atLeast"/>
        </w:trPr>
        <w:tc>
          <w:tcPr>
            <w:tcW w:w="949" w:type="dxa"/>
            <w:tcBorders>
              <w:top w:val="nil"/>
              <w:left w:val="single" w:color="auto" w:sz="4" w:space="0"/>
              <w:bottom w:val="single" w:color="auto" w:sz="4" w:space="0"/>
              <w:right w:val="single" w:color="auto" w:sz="4" w:space="0"/>
            </w:tcBorders>
            <w:vAlign w:val="center"/>
          </w:tcPr>
          <w:p w14:paraId="76DCB74D">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568" w:type="dxa"/>
            <w:tcBorders>
              <w:top w:val="nil"/>
              <w:left w:val="nil"/>
              <w:bottom w:val="single" w:color="auto" w:sz="4" w:space="0"/>
              <w:right w:val="single" w:color="auto" w:sz="4" w:space="0"/>
            </w:tcBorders>
            <w:vAlign w:val="center"/>
          </w:tcPr>
          <w:p w14:paraId="122EF977">
            <w:pPr>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不动产权证（土地）复印件</w:t>
            </w:r>
          </w:p>
        </w:tc>
        <w:tc>
          <w:tcPr>
            <w:tcW w:w="852" w:type="dxa"/>
            <w:tcBorders>
              <w:top w:val="nil"/>
              <w:left w:val="nil"/>
              <w:bottom w:val="single" w:color="auto" w:sz="4" w:space="0"/>
              <w:right w:val="single" w:color="auto" w:sz="4" w:space="0"/>
            </w:tcBorders>
            <w:vAlign w:val="center"/>
          </w:tcPr>
          <w:p w14:paraId="294097AE">
            <w:pPr>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3" w:type="dxa"/>
            <w:tcBorders>
              <w:top w:val="nil"/>
              <w:left w:val="nil"/>
              <w:bottom w:val="single" w:color="auto" w:sz="4" w:space="0"/>
              <w:right w:val="single" w:color="auto" w:sz="4" w:space="0"/>
            </w:tcBorders>
            <w:vAlign w:val="center"/>
          </w:tcPr>
          <w:p w14:paraId="66FC662B">
            <w:pPr>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vAlign w:val="center"/>
          </w:tcPr>
          <w:p w14:paraId="4193CF6B">
            <w:pPr>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11" w:type="dxa"/>
            <w:tcBorders>
              <w:top w:val="nil"/>
              <w:left w:val="nil"/>
              <w:bottom w:val="single" w:color="auto" w:sz="4" w:space="0"/>
              <w:right w:val="single" w:color="auto" w:sz="4" w:space="0"/>
            </w:tcBorders>
            <w:vAlign w:val="center"/>
          </w:tcPr>
          <w:p w14:paraId="281652B3">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0" w:type="dxa"/>
            <w:tcBorders>
              <w:top w:val="nil"/>
              <w:left w:val="nil"/>
              <w:bottom w:val="single" w:color="auto" w:sz="4" w:space="0"/>
              <w:right w:val="single" w:color="auto" w:sz="4" w:space="0"/>
            </w:tcBorders>
            <w:vAlign w:val="center"/>
          </w:tcPr>
          <w:p w14:paraId="3104E488">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0" w:type="dxa"/>
            <w:tcBorders>
              <w:top w:val="nil"/>
              <w:left w:val="nil"/>
              <w:bottom w:val="single" w:color="auto" w:sz="4" w:space="0"/>
              <w:right w:val="single" w:color="auto" w:sz="4" w:space="0"/>
            </w:tcBorders>
            <w:vAlign w:val="center"/>
          </w:tcPr>
          <w:p w14:paraId="0AE881FF">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40" w:type="dxa"/>
            <w:tcBorders>
              <w:top w:val="nil"/>
              <w:left w:val="nil"/>
              <w:bottom w:val="single" w:color="auto" w:sz="4" w:space="0"/>
              <w:right w:val="single" w:color="auto" w:sz="4" w:space="0"/>
            </w:tcBorders>
            <w:vAlign w:val="center"/>
          </w:tcPr>
          <w:p w14:paraId="2E1D572C">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r>
      <w:tr w14:paraId="221F57FF">
        <w:tblPrEx>
          <w:tblCellMar>
            <w:top w:w="0" w:type="dxa"/>
            <w:left w:w="108" w:type="dxa"/>
            <w:bottom w:w="0" w:type="dxa"/>
            <w:right w:w="108" w:type="dxa"/>
          </w:tblCellMar>
        </w:tblPrEx>
        <w:trPr>
          <w:trHeight w:val="675" w:hRule="atLeast"/>
        </w:trPr>
        <w:tc>
          <w:tcPr>
            <w:tcW w:w="949" w:type="dxa"/>
            <w:tcBorders>
              <w:top w:val="nil"/>
              <w:left w:val="single" w:color="auto" w:sz="4" w:space="0"/>
              <w:bottom w:val="single" w:color="auto" w:sz="4" w:space="0"/>
              <w:right w:val="single" w:color="auto" w:sz="4" w:space="0"/>
            </w:tcBorders>
            <w:vAlign w:val="center"/>
          </w:tcPr>
          <w:p w14:paraId="7E7A38B2">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568" w:type="dxa"/>
            <w:tcBorders>
              <w:top w:val="nil"/>
              <w:left w:val="nil"/>
              <w:bottom w:val="single" w:color="auto" w:sz="4" w:space="0"/>
              <w:right w:val="single" w:color="auto" w:sz="4" w:space="0"/>
            </w:tcBorders>
            <w:vAlign w:val="center"/>
          </w:tcPr>
          <w:p w14:paraId="35C98947">
            <w:pPr>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建设用地规划许可证复印件</w:t>
            </w:r>
          </w:p>
        </w:tc>
        <w:tc>
          <w:tcPr>
            <w:tcW w:w="852" w:type="dxa"/>
            <w:tcBorders>
              <w:top w:val="nil"/>
              <w:left w:val="nil"/>
              <w:bottom w:val="single" w:color="auto" w:sz="4" w:space="0"/>
              <w:right w:val="single" w:color="auto" w:sz="4" w:space="0"/>
            </w:tcBorders>
            <w:vAlign w:val="center"/>
          </w:tcPr>
          <w:p w14:paraId="31BD5291">
            <w:pPr>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3" w:type="dxa"/>
            <w:tcBorders>
              <w:top w:val="nil"/>
              <w:left w:val="nil"/>
              <w:bottom w:val="single" w:color="auto" w:sz="4" w:space="0"/>
              <w:right w:val="single" w:color="auto" w:sz="4" w:space="0"/>
            </w:tcBorders>
            <w:vAlign w:val="center"/>
          </w:tcPr>
          <w:p w14:paraId="0446F7B4">
            <w:pPr>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vAlign w:val="center"/>
          </w:tcPr>
          <w:p w14:paraId="11E684BC">
            <w:pPr>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11" w:type="dxa"/>
            <w:tcBorders>
              <w:top w:val="nil"/>
              <w:left w:val="nil"/>
              <w:bottom w:val="single" w:color="auto" w:sz="4" w:space="0"/>
              <w:right w:val="single" w:color="auto" w:sz="4" w:space="0"/>
            </w:tcBorders>
            <w:vAlign w:val="center"/>
          </w:tcPr>
          <w:p w14:paraId="3F707A5D">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0" w:type="dxa"/>
            <w:tcBorders>
              <w:top w:val="nil"/>
              <w:left w:val="nil"/>
              <w:bottom w:val="single" w:color="auto" w:sz="4" w:space="0"/>
              <w:right w:val="single" w:color="auto" w:sz="4" w:space="0"/>
            </w:tcBorders>
            <w:vAlign w:val="center"/>
          </w:tcPr>
          <w:p w14:paraId="142CBDA2">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0" w:type="dxa"/>
            <w:tcBorders>
              <w:top w:val="nil"/>
              <w:left w:val="nil"/>
              <w:bottom w:val="single" w:color="auto" w:sz="4" w:space="0"/>
              <w:right w:val="single" w:color="auto" w:sz="4" w:space="0"/>
            </w:tcBorders>
            <w:vAlign w:val="center"/>
          </w:tcPr>
          <w:p w14:paraId="4FED33EE">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40" w:type="dxa"/>
            <w:tcBorders>
              <w:top w:val="nil"/>
              <w:left w:val="nil"/>
              <w:bottom w:val="single" w:color="auto" w:sz="4" w:space="0"/>
              <w:right w:val="single" w:color="auto" w:sz="4" w:space="0"/>
            </w:tcBorders>
            <w:vAlign w:val="center"/>
          </w:tcPr>
          <w:p w14:paraId="4D9D492D">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r>
      <w:tr w14:paraId="091EEA8A">
        <w:tblPrEx>
          <w:tblCellMar>
            <w:top w:w="0" w:type="dxa"/>
            <w:left w:w="108" w:type="dxa"/>
            <w:bottom w:w="0" w:type="dxa"/>
            <w:right w:w="108" w:type="dxa"/>
          </w:tblCellMar>
        </w:tblPrEx>
        <w:trPr>
          <w:trHeight w:val="675" w:hRule="atLeast"/>
        </w:trPr>
        <w:tc>
          <w:tcPr>
            <w:tcW w:w="949" w:type="dxa"/>
            <w:tcBorders>
              <w:top w:val="nil"/>
              <w:left w:val="single" w:color="auto" w:sz="4" w:space="0"/>
              <w:bottom w:val="single" w:color="auto" w:sz="4" w:space="0"/>
              <w:right w:val="single" w:color="auto" w:sz="4" w:space="0"/>
            </w:tcBorders>
            <w:vAlign w:val="center"/>
          </w:tcPr>
          <w:p w14:paraId="6BC56E81">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568" w:type="dxa"/>
            <w:tcBorders>
              <w:top w:val="nil"/>
              <w:left w:val="nil"/>
              <w:bottom w:val="single" w:color="auto" w:sz="4" w:space="0"/>
              <w:right w:val="single" w:color="auto" w:sz="4" w:space="0"/>
            </w:tcBorders>
            <w:vAlign w:val="center"/>
          </w:tcPr>
          <w:p w14:paraId="57B00E64">
            <w:pPr>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建设工程规划许可证复印件</w:t>
            </w:r>
          </w:p>
        </w:tc>
        <w:tc>
          <w:tcPr>
            <w:tcW w:w="852" w:type="dxa"/>
            <w:tcBorders>
              <w:top w:val="nil"/>
              <w:left w:val="nil"/>
              <w:bottom w:val="single" w:color="auto" w:sz="4" w:space="0"/>
              <w:right w:val="single" w:color="auto" w:sz="4" w:space="0"/>
            </w:tcBorders>
            <w:vAlign w:val="center"/>
          </w:tcPr>
          <w:p w14:paraId="00C40D48">
            <w:pPr>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3" w:type="dxa"/>
            <w:tcBorders>
              <w:top w:val="nil"/>
              <w:left w:val="nil"/>
              <w:bottom w:val="single" w:color="auto" w:sz="4" w:space="0"/>
              <w:right w:val="single" w:color="auto" w:sz="4" w:space="0"/>
            </w:tcBorders>
            <w:vAlign w:val="center"/>
          </w:tcPr>
          <w:p w14:paraId="5BE37A0D">
            <w:pPr>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vAlign w:val="center"/>
          </w:tcPr>
          <w:p w14:paraId="2B1C37CA">
            <w:pPr>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11" w:type="dxa"/>
            <w:tcBorders>
              <w:top w:val="nil"/>
              <w:left w:val="nil"/>
              <w:bottom w:val="single" w:color="auto" w:sz="4" w:space="0"/>
              <w:right w:val="single" w:color="auto" w:sz="4" w:space="0"/>
            </w:tcBorders>
            <w:vAlign w:val="center"/>
          </w:tcPr>
          <w:p w14:paraId="43D69EA5">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0" w:type="dxa"/>
            <w:tcBorders>
              <w:top w:val="nil"/>
              <w:left w:val="nil"/>
              <w:bottom w:val="single" w:color="auto" w:sz="4" w:space="0"/>
              <w:right w:val="single" w:color="auto" w:sz="4" w:space="0"/>
            </w:tcBorders>
            <w:vAlign w:val="center"/>
          </w:tcPr>
          <w:p w14:paraId="7427B902">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0" w:type="dxa"/>
            <w:tcBorders>
              <w:top w:val="nil"/>
              <w:left w:val="nil"/>
              <w:bottom w:val="single" w:color="auto" w:sz="4" w:space="0"/>
              <w:right w:val="single" w:color="auto" w:sz="4" w:space="0"/>
            </w:tcBorders>
            <w:vAlign w:val="center"/>
          </w:tcPr>
          <w:p w14:paraId="2D6A4257">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40" w:type="dxa"/>
            <w:tcBorders>
              <w:top w:val="nil"/>
              <w:left w:val="nil"/>
              <w:bottom w:val="single" w:color="auto" w:sz="4" w:space="0"/>
              <w:right w:val="single" w:color="auto" w:sz="4" w:space="0"/>
            </w:tcBorders>
            <w:vAlign w:val="center"/>
          </w:tcPr>
          <w:p w14:paraId="2B69FDC3">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r>
      <w:tr w14:paraId="23752F39">
        <w:tblPrEx>
          <w:tblCellMar>
            <w:top w:w="0" w:type="dxa"/>
            <w:left w:w="108" w:type="dxa"/>
            <w:bottom w:w="0" w:type="dxa"/>
            <w:right w:w="108" w:type="dxa"/>
          </w:tblCellMar>
        </w:tblPrEx>
        <w:trPr>
          <w:trHeight w:val="675" w:hRule="atLeast"/>
        </w:trPr>
        <w:tc>
          <w:tcPr>
            <w:tcW w:w="949" w:type="dxa"/>
            <w:tcBorders>
              <w:top w:val="nil"/>
              <w:left w:val="single" w:color="auto" w:sz="4" w:space="0"/>
              <w:bottom w:val="single" w:color="auto" w:sz="4" w:space="0"/>
              <w:right w:val="single" w:color="auto" w:sz="4" w:space="0"/>
            </w:tcBorders>
            <w:vAlign w:val="center"/>
          </w:tcPr>
          <w:p w14:paraId="0C0D03C2">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568" w:type="dxa"/>
            <w:tcBorders>
              <w:top w:val="nil"/>
              <w:left w:val="nil"/>
              <w:bottom w:val="single" w:color="auto" w:sz="4" w:space="0"/>
              <w:right w:val="single" w:color="auto" w:sz="4" w:space="0"/>
            </w:tcBorders>
            <w:vAlign w:val="center"/>
          </w:tcPr>
          <w:p w14:paraId="63881AB2">
            <w:pPr>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建筑工程施工许可证复印件</w:t>
            </w:r>
          </w:p>
        </w:tc>
        <w:tc>
          <w:tcPr>
            <w:tcW w:w="852" w:type="dxa"/>
            <w:tcBorders>
              <w:top w:val="nil"/>
              <w:left w:val="nil"/>
              <w:bottom w:val="single" w:color="auto" w:sz="4" w:space="0"/>
              <w:right w:val="single" w:color="auto" w:sz="4" w:space="0"/>
            </w:tcBorders>
            <w:vAlign w:val="center"/>
          </w:tcPr>
          <w:p w14:paraId="55D74873">
            <w:pPr>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3" w:type="dxa"/>
            <w:tcBorders>
              <w:top w:val="nil"/>
              <w:left w:val="nil"/>
              <w:bottom w:val="single" w:color="auto" w:sz="4" w:space="0"/>
              <w:right w:val="single" w:color="auto" w:sz="4" w:space="0"/>
            </w:tcBorders>
            <w:vAlign w:val="center"/>
          </w:tcPr>
          <w:p w14:paraId="1EB860A1">
            <w:pPr>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vAlign w:val="center"/>
          </w:tcPr>
          <w:p w14:paraId="1E8961C2">
            <w:pPr>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11" w:type="dxa"/>
            <w:tcBorders>
              <w:top w:val="nil"/>
              <w:left w:val="nil"/>
              <w:bottom w:val="single" w:color="auto" w:sz="4" w:space="0"/>
              <w:right w:val="single" w:color="auto" w:sz="4" w:space="0"/>
            </w:tcBorders>
            <w:vAlign w:val="center"/>
          </w:tcPr>
          <w:p w14:paraId="0F699AE9">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0" w:type="dxa"/>
            <w:tcBorders>
              <w:top w:val="nil"/>
              <w:left w:val="nil"/>
              <w:bottom w:val="single" w:color="auto" w:sz="4" w:space="0"/>
              <w:right w:val="single" w:color="auto" w:sz="4" w:space="0"/>
            </w:tcBorders>
            <w:vAlign w:val="center"/>
          </w:tcPr>
          <w:p w14:paraId="7A6CAD4B">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10" w:type="dxa"/>
            <w:tcBorders>
              <w:top w:val="nil"/>
              <w:left w:val="nil"/>
              <w:bottom w:val="single" w:color="auto" w:sz="4" w:space="0"/>
              <w:right w:val="single" w:color="auto" w:sz="4" w:space="0"/>
            </w:tcBorders>
            <w:vAlign w:val="center"/>
          </w:tcPr>
          <w:p w14:paraId="17FCF91D">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40" w:type="dxa"/>
            <w:tcBorders>
              <w:top w:val="nil"/>
              <w:left w:val="nil"/>
              <w:bottom w:val="single" w:color="auto" w:sz="4" w:space="0"/>
              <w:right w:val="single" w:color="auto" w:sz="4" w:space="0"/>
            </w:tcBorders>
            <w:vAlign w:val="center"/>
          </w:tcPr>
          <w:p w14:paraId="43A3CCED">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r>
    </w:tbl>
    <w:p w14:paraId="51BFE2DB">
      <w:pPr>
        <w:pStyle w:val="2"/>
        <w:pageBreakBefore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七、常见问题</w:t>
      </w:r>
    </w:p>
    <w:p w14:paraId="2F1BA83F">
      <w:pPr>
        <w:pageBreakBefore w:val="0"/>
        <w:kinsoku/>
        <w:wordWrap/>
        <w:overflowPunct/>
        <w:topLinePunct w:val="0"/>
        <w:autoSpaceDE/>
        <w:autoSpaceDN/>
        <w:bidi w:val="0"/>
        <w:adjustRightInd/>
        <w:snapToGrid/>
        <w:spacing w:before="157" w:beforeLines="50" w:after="157" w:afterLines="50" w:line="36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1.如果想对已采集的土地增值税项目报告中的预售许可信息进行修改，该如何操作？</w:t>
      </w:r>
    </w:p>
    <w:p w14:paraId="1EEBB630">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答：点击【变更】进入项目信息界面，进行对应信息修改即可。</w:t>
      </w:r>
    </w:p>
    <w:p w14:paraId="10D5314F">
      <w:pPr>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lang w:eastAsia="zh-Hans"/>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ngti SC">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431CA"/>
    <w:multiLevelType w:val="singleLevel"/>
    <w:tmpl w:val="B26431CA"/>
    <w:lvl w:ilvl="0" w:tentative="0">
      <w:start w:val="2"/>
      <w:numFmt w:val="decimal"/>
      <w:suff w:val="nothing"/>
      <w:lvlText w:val="%1）"/>
      <w:lvlJc w:val="left"/>
    </w:lvl>
  </w:abstractNum>
  <w:abstractNum w:abstractNumId="1">
    <w:nsid w:val="2EF58995"/>
    <w:multiLevelType w:val="singleLevel"/>
    <w:tmpl w:val="2EF58995"/>
    <w:lvl w:ilvl="0" w:tentative="0">
      <w:start w:val="3"/>
      <w:numFmt w:val="decimal"/>
      <w:suff w:val="nothing"/>
      <w:lvlText w:val="%1）"/>
      <w:lvlJc w:val="left"/>
    </w:lvl>
  </w:abstractNum>
  <w:abstractNum w:abstractNumId="2">
    <w:nsid w:val="6D36C1FB"/>
    <w:multiLevelType w:val="singleLevel"/>
    <w:tmpl w:val="6D36C1FB"/>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NjkyZDA3ODI5MDFkOWVmYjQzYWUzNmQzM2ZhZDcifQ=="/>
    <w:docVar w:name="KSO_WPS_MARK_KEY" w:val="245c0de9-6f5d-4e8f-ab00-a5ee9997426b"/>
  </w:docVars>
  <w:rsids>
    <w:rsidRoot w:val="00172A27"/>
    <w:rsid w:val="000571FA"/>
    <w:rsid w:val="0007555D"/>
    <w:rsid w:val="00083802"/>
    <w:rsid w:val="000A6FF7"/>
    <w:rsid w:val="000C691D"/>
    <w:rsid w:val="000E02B3"/>
    <w:rsid w:val="00110BA1"/>
    <w:rsid w:val="00136B21"/>
    <w:rsid w:val="00172D46"/>
    <w:rsid w:val="001A24C4"/>
    <w:rsid w:val="001C3352"/>
    <w:rsid w:val="00200C52"/>
    <w:rsid w:val="0020161E"/>
    <w:rsid w:val="00215F0F"/>
    <w:rsid w:val="002779B5"/>
    <w:rsid w:val="002B38FE"/>
    <w:rsid w:val="002D2BB3"/>
    <w:rsid w:val="00304247"/>
    <w:rsid w:val="00332203"/>
    <w:rsid w:val="00346193"/>
    <w:rsid w:val="00346C4B"/>
    <w:rsid w:val="00360636"/>
    <w:rsid w:val="003D5F92"/>
    <w:rsid w:val="00421F36"/>
    <w:rsid w:val="00443C32"/>
    <w:rsid w:val="00453F65"/>
    <w:rsid w:val="00464BE5"/>
    <w:rsid w:val="0047491A"/>
    <w:rsid w:val="004E05C4"/>
    <w:rsid w:val="004E72BA"/>
    <w:rsid w:val="005477AE"/>
    <w:rsid w:val="00567A36"/>
    <w:rsid w:val="00597E77"/>
    <w:rsid w:val="005A2F8C"/>
    <w:rsid w:val="005A4CA7"/>
    <w:rsid w:val="005B223F"/>
    <w:rsid w:val="005D3C61"/>
    <w:rsid w:val="005D47FE"/>
    <w:rsid w:val="00612995"/>
    <w:rsid w:val="00643AF0"/>
    <w:rsid w:val="00650A5B"/>
    <w:rsid w:val="006548AC"/>
    <w:rsid w:val="006575A3"/>
    <w:rsid w:val="006B7A56"/>
    <w:rsid w:val="006F2279"/>
    <w:rsid w:val="0072390F"/>
    <w:rsid w:val="00731E31"/>
    <w:rsid w:val="008A3AB2"/>
    <w:rsid w:val="008A6A82"/>
    <w:rsid w:val="0098561A"/>
    <w:rsid w:val="009A4147"/>
    <w:rsid w:val="009D7786"/>
    <w:rsid w:val="00A64805"/>
    <w:rsid w:val="00A77C76"/>
    <w:rsid w:val="00A96762"/>
    <w:rsid w:val="00AE0536"/>
    <w:rsid w:val="00BF50DD"/>
    <w:rsid w:val="00C34F82"/>
    <w:rsid w:val="00C421CC"/>
    <w:rsid w:val="00C4324E"/>
    <w:rsid w:val="00C615BB"/>
    <w:rsid w:val="00C819D3"/>
    <w:rsid w:val="00CD4B38"/>
    <w:rsid w:val="00CF134B"/>
    <w:rsid w:val="00D606F7"/>
    <w:rsid w:val="00D944F4"/>
    <w:rsid w:val="00DB0766"/>
    <w:rsid w:val="00E14E0E"/>
    <w:rsid w:val="00E264B3"/>
    <w:rsid w:val="00E36234"/>
    <w:rsid w:val="00E37032"/>
    <w:rsid w:val="00E558F3"/>
    <w:rsid w:val="00E70424"/>
    <w:rsid w:val="00E905AC"/>
    <w:rsid w:val="00F11A34"/>
    <w:rsid w:val="00F24F32"/>
    <w:rsid w:val="00F7198E"/>
    <w:rsid w:val="00F9216D"/>
    <w:rsid w:val="00FB1A0E"/>
    <w:rsid w:val="00FE6A7B"/>
    <w:rsid w:val="00FF6DB9"/>
    <w:rsid w:val="01204850"/>
    <w:rsid w:val="01333515"/>
    <w:rsid w:val="02EC570B"/>
    <w:rsid w:val="06233BF8"/>
    <w:rsid w:val="06A0349B"/>
    <w:rsid w:val="0815067C"/>
    <w:rsid w:val="0A367D26"/>
    <w:rsid w:val="0AED62AE"/>
    <w:rsid w:val="0B635BBC"/>
    <w:rsid w:val="0C917C70"/>
    <w:rsid w:val="0CF14295"/>
    <w:rsid w:val="0E8405C1"/>
    <w:rsid w:val="103E61FE"/>
    <w:rsid w:val="104C6198"/>
    <w:rsid w:val="10D71680"/>
    <w:rsid w:val="10DF6144"/>
    <w:rsid w:val="112F0B98"/>
    <w:rsid w:val="118A650C"/>
    <w:rsid w:val="132304A0"/>
    <w:rsid w:val="13737F6D"/>
    <w:rsid w:val="147F65EA"/>
    <w:rsid w:val="18C95366"/>
    <w:rsid w:val="1A4274FB"/>
    <w:rsid w:val="1A65578C"/>
    <w:rsid w:val="1BCB33AB"/>
    <w:rsid w:val="1C853F45"/>
    <w:rsid w:val="1D104432"/>
    <w:rsid w:val="1F1C1584"/>
    <w:rsid w:val="20C1659F"/>
    <w:rsid w:val="21111EDC"/>
    <w:rsid w:val="24537CA2"/>
    <w:rsid w:val="29631016"/>
    <w:rsid w:val="29E52EAA"/>
    <w:rsid w:val="2A1E50CD"/>
    <w:rsid w:val="2A2F15FA"/>
    <w:rsid w:val="2BA450E0"/>
    <w:rsid w:val="2BB44172"/>
    <w:rsid w:val="2E5F323F"/>
    <w:rsid w:val="2EF7C3AF"/>
    <w:rsid w:val="30B16B4C"/>
    <w:rsid w:val="311E78AA"/>
    <w:rsid w:val="326A47D9"/>
    <w:rsid w:val="327A18F2"/>
    <w:rsid w:val="335F53F9"/>
    <w:rsid w:val="34235D5A"/>
    <w:rsid w:val="346C65E7"/>
    <w:rsid w:val="354B43F8"/>
    <w:rsid w:val="35C81F43"/>
    <w:rsid w:val="36855033"/>
    <w:rsid w:val="37152A33"/>
    <w:rsid w:val="38E93B3F"/>
    <w:rsid w:val="38F904BF"/>
    <w:rsid w:val="39164634"/>
    <w:rsid w:val="39DE1FCE"/>
    <w:rsid w:val="3A5804AA"/>
    <w:rsid w:val="3C9F2C1B"/>
    <w:rsid w:val="3DA51D5C"/>
    <w:rsid w:val="3E5E166E"/>
    <w:rsid w:val="3EDE7B4C"/>
    <w:rsid w:val="3F120C6E"/>
    <w:rsid w:val="3F2C52F0"/>
    <w:rsid w:val="3FFC13F0"/>
    <w:rsid w:val="409E1713"/>
    <w:rsid w:val="40B70B85"/>
    <w:rsid w:val="432C7165"/>
    <w:rsid w:val="44051025"/>
    <w:rsid w:val="44EB68D1"/>
    <w:rsid w:val="45A02348"/>
    <w:rsid w:val="47097F00"/>
    <w:rsid w:val="478B1022"/>
    <w:rsid w:val="47950910"/>
    <w:rsid w:val="497D29A6"/>
    <w:rsid w:val="4D4C2230"/>
    <w:rsid w:val="4DB3525B"/>
    <w:rsid w:val="4DC52790"/>
    <w:rsid w:val="4E5C291E"/>
    <w:rsid w:val="523F0C82"/>
    <w:rsid w:val="525F10E1"/>
    <w:rsid w:val="52762291"/>
    <w:rsid w:val="535F09ED"/>
    <w:rsid w:val="54501E8F"/>
    <w:rsid w:val="54A737AF"/>
    <w:rsid w:val="54B05A1D"/>
    <w:rsid w:val="564C7BCE"/>
    <w:rsid w:val="56665027"/>
    <w:rsid w:val="57C638DC"/>
    <w:rsid w:val="59023B2D"/>
    <w:rsid w:val="590D31DE"/>
    <w:rsid w:val="5A3A490E"/>
    <w:rsid w:val="5A83754C"/>
    <w:rsid w:val="5AEC0296"/>
    <w:rsid w:val="5B4F29BB"/>
    <w:rsid w:val="5BC07095"/>
    <w:rsid w:val="5BD26A97"/>
    <w:rsid w:val="5C3C3BB3"/>
    <w:rsid w:val="5CEA6C5F"/>
    <w:rsid w:val="5E6735A1"/>
    <w:rsid w:val="61D350B2"/>
    <w:rsid w:val="6223212B"/>
    <w:rsid w:val="63366B81"/>
    <w:rsid w:val="633F5B80"/>
    <w:rsid w:val="637C5F97"/>
    <w:rsid w:val="65A94EA3"/>
    <w:rsid w:val="67495049"/>
    <w:rsid w:val="685E7C65"/>
    <w:rsid w:val="68F44821"/>
    <w:rsid w:val="69236EB5"/>
    <w:rsid w:val="692D1AE1"/>
    <w:rsid w:val="698D7DC0"/>
    <w:rsid w:val="6A463D2C"/>
    <w:rsid w:val="6A50275D"/>
    <w:rsid w:val="6B4A5A0A"/>
    <w:rsid w:val="6B9877A0"/>
    <w:rsid w:val="6C5D3E89"/>
    <w:rsid w:val="6CA7202D"/>
    <w:rsid w:val="6D762006"/>
    <w:rsid w:val="6D904EA1"/>
    <w:rsid w:val="6EF596E6"/>
    <w:rsid w:val="712B4252"/>
    <w:rsid w:val="74185868"/>
    <w:rsid w:val="752A55EB"/>
    <w:rsid w:val="7537252C"/>
    <w:rsid w:val="75EC066F"/>
    <w:rsid w:val="772A3DE0"/>
    <w:rsid w:val="779B393A"/>
    <w:rsid w:val="7A3A3637"/>
    <w:rsid w:val="7A7B26AD"/>
    <w:rsid w:val="7AFE2CE1"/>
    <w:rsid w:val="7B9E3E1A"/>
    <w:rsid w:val="7C330192"/>
    <w:rsid w:val="7C4E1D77"/>
    <w:rsid w:val="7DFF185B"/>
    <w:rsid w:val="7F3D43D5"/>
    <w:rsid w:val="7F7A6E74"/>
    <w:rsid w:val="7FF334EC"/>
    <w:rsid w:val="9BD59475"/>
    <w:rsid w:val="BF1FC0BD"/>
    <w:rsid w:val="DED35183"/>
    <w:rsid w:val="E4DF032E"/>
    <w:rsid w:val="FCA3AC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b/>
      <w:kern w:val="44"/>
      <w:sz w:val="32"/>
    </w:rPr>
  </w:style>
  <w:style w:type="paragraph" w:styleId="3">
    <w:name w:val="heading 2"/>
    <w:basedOn w:val="1"/>
    <w:next w:val="1"/>
    <w:qFormat/>
    <w:uiPriority w:val="0"/>
    <w:pPr>
      <w:keepNext/>
      <w:keepLines/>
      <w:spacing w:beforeLines="0" w:beforeAutospacing="0" w:afterLines="0" w:afterAutospacing="0" w:line="240" w:lineRule="auto"/>
      <w:outlineLvl w:val="1"/>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link w:val="28"/>
    <w:qFormat/>
    <w:uiPriority w:val="0"/>
    <w:pPr>
      <w:jc w:val="left"/>
    </w:pPr>
  </w:style>
  <w:style w:type="paragraph" w:styleId="5">
    <w:name w:val="Body Text"/>
    <w:basedOn w:val="6"/>
    <w:qFormat/>
    <w:uiPriority w:val="0"/>
    <w:pPr>
      <w:spacing w:after="120"/>
    </w:pPr>
    <w:rPr>
      <w:rFonts w:ascii="Times New Roman" w:hAnsi="Times New Roman" w:cs="Calibri"/>
      <w:szCs w:val="21"/>
    </w:rPr>
  </w:style>
  <w:style w:type="paragraph" w:customStyle="1" w:styleId="6">
    <w:name w:val="正文_0"/>
    <w:qFormat/>
    <w:uiPriority w:val="0"/>
    <w:pPr>
      <w:widowControl w:val="0"/>
      <w:jc w:val="both"/>
    </w:pPr>
    <w:rPr>
      <w:rFonts w:ascii="Calibri" w:hAnsi="Calibri" w:eastAsia="宋体" w:cs="Calibri"/>
      <w:kern w:val="2"/>
      <w:sz w:val="21"/>
      <w:szCs w:val="21"/>
      <w:lang w:val="en-US" w:eastAsia="zh-CN" w:bidi="ar-SA"/>
    </w:rPr>
  </w:style>
  <w:style w:type="paragraph" w:styleId="7">
    <w:name w:val="Balloon Text"/>
    <w:basedOn w:val="1"/>
    <w:link w:val="29"/>
    <w:qFormat/>
    <w:uiPriority w:val="0"/>
    <w:rPr>
      <w:sz w:val="18"/>
      <w:szCs w:val="18"/>
    </w:rPr>
  </w:style>
  <w:style w:type="paragraph" w:styleId="8">
    <w:name w:val="footer"/>
    <w:basedOn w:val="1"/>
    <w:link w:val="30"/>
    <w:qFormat/>
    <w:uiPriority w:val="0"/>
    <w:pPr>
      <w:tabs>
        <w:tab w:val="center" w:pos="4153"/>
        <w:tab w:val="right" w:pos="8306"/>
      </w:tabs>
      <w:snapToGrid w:val="0"/>
      <w:jc w:val="left"/>
    </w:pPr>
    <w:rPr>
      <w:sz w:val="18"/>
      <w:szCs w:val="18"/>
    </w:rPr>
  </w:style>
  <w:style w:type="paragraph" w:styleId="9">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32"/>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styleId="15">
    <w:name w:val="annotation reference"/>
    <w:qFormat/>
    <w:uiPriority w:val="0"/>
    <w:rPr>
      <w:sz w:val="21"/>
      <w:szCs w:val="21"/>
    </w:rPr>
  </w:style>
  <w:style w:type="paragraph" w:customStyle="1" w:styleId="16">
    <w:name w:val="Normal Indent1"/>
    <w:qFormat/>
    <w:uiPriority w:val="0"/>
    <w:pPr>
      <w:spacing w:line="360" w:lineRule="auto"/>
      <w:ind w:firstLine="883" w:firstLineChars="200"/>
    </w:pPr>
    <w:rPr>
      <w:rFonts w:ascii="Songti SC" w:hAnsi="Songti SC" w:eastAsia="宋体" w:cs="Songti SC"/>
      <w:sz w:val="24"/>
      <w:szCs w:val="24"/>
      <w:lang w:val="en-US" w:eastAsia="zh-CN" w:bidi="ar-SA"/>
    </w:rPr>
  </w:style>
  <w:style w:type="paragraph" w:customStyle="1" w:styleId="17">
    <w:name w:val="正文1"/>
    <w:qFormat/>
    <w:uiPriority w:val="0"/>
    <w:pPr>
      <w:widowControl w:val="0"/>
      <w:jc w:val="both"/>
    </w:pPr>
    <w:rPr>
      <w:rFonts w:ascii="Calibri" w:hAnsi="Calibri" w:eastAsia="宋体" w:cs="Times New Roman"/>
      <w:lang w:val="en-US" w:eastAsia="zh-CN" w:bidi="ar-SA"/>
    </w:rPr>
  </w:style>
  <w:style w:type="paragraph" w:customStyle="1" w:styleId="18">
    <w:name w:val="需求正文"/>
    <w:basedOn w:val="17"/>
    <w:qFormat/>
    <w:uiPriority w:val="0"/>
    <w:pPr>
      <w:ind w:firstLine="420"/>
    </w:pPr>
    <w:rPr>
      <w:rFonts w:ascii="Arial" w:hAnsi="Arial" w:cs="Arial"/>
    </w:rPr>
  </w:style>
  <w:style w:type="paragraph" w:customStyle="1" w:styleId="19">
    <w:name w:val="正文2"/>
    <w:qFormat/>
    <w:uiPriority w:val="0"/>
    <w:pPr>
      <w:jc w:val="both"/>
    </w:pPr>
    <w:rPr>
      <w:rFonts w:ascii="Calibri" w:hAnsi="Calibri" w:eastAsia="宋体" w:cs="Calibri"/>
      <w:kern w:val="2"/>
      <w:sz w:val="21"/>
      <w:szCs w:val="21"/>
      <w:lang w:val="en-US" w:eastAsia="zh-CN" w:bidi="ar-SA"/>
    </w:rPr>
  </w:style>
  <w:style w:type="paragraph" w:customStyle="1" w:styleId="20">
    <w:name w:val="表格文字 左对齐"/>
    <w:basedOn w:val="21"/>
    <w:qFormat/>
    <w:uiPriority w:val="0"/>
    <w:rPr>
      <w:rFonts w:ascii="Arial" w:hAnsi="Arial" w:cs="Arial"/>
      <w:sz w:val="18"/>
    </w:rPr>
  </w:style>
  <w:style w:type="paragraph" w:customStyle="1" w:styleId="21">
    <w:name w:val="正文_1"/>
    <w:qFormat/>
    <w:uiPriority w:val="0"/>
    <w:rPr>
      <w:rFonts w:ascii="Times New Roman" w:hAnsi="Times New Roman" w:eastAsia="Times New Roman" w:cs="Times New Roman"/>
      <w:sz w:val="24"/>
      <w:szCs w:val="24"/>
      <w:lang w:val="en-US" w:eastAsia="zh-CN" w:bidi="ar-SA"/>
    </w:rPr>
  </w:style>
  <w:style w:type="paragraph" w:customStyle="1" w:styleId="22">
    <w:name w:val="表格列标题"/>
    <w:basedOn w:val="21"/>
    <w:qFormat/>
    <w:uiPriority w:val="0"/>
    <w:pPr>
      <w:jc w:val="center"/>
    </w:pPr>
    <w:rPr>
      <w:rFonts w:ascii="Arial" w:hAnsi="Arial" w:cs="Arial"/>
      <w:b/>
      <w:sz w:val="18"/>
    </w:rPr>
  </w:style>
  <w:style w:type="paragraph" w:customStyle="1" w:styleId="23">
    <w:name w:val="正文 首行缩进"/>
    <w:basedOn w:val="1"/>
    <w:qFormat/>
    <w:uiPriority w:val="99"/>
    <w:pPr>
      <w:spacing w:line="360" w:lineRule="auto"/>
      <w:ind w:firstLine="420" w:firstLineChars="200"/>
    </w:pPr>
    <w:rPr>
      <w:rFonts w:ascii="Arial" w:hAnsi="Arial"/>
      <w:kern w:val="0"/>
      <w:sz w:val="20"/>
      <w:szCs w:val="20"/>
    </w:rPr>
  </w:style>
  <w:style w:type="paragraph" w:customStyle="1" w:styleId="24">
    <w:name w:val="_Style 3"/>
    <w:basedOn w:val="1"/>
    <w:qFormat/>
    <w:uiPriority w:val="0"/>
    <w:pPr>
      <w:ind w:firstLine="420" w:firstLineChars="200"/>
    </w:pPr>
    <w:rPr>
      <w:szCs w:val="22"/>
    </w:rPr>
  </w:style>
  <w:style w:type="paragraph" w:customStyle="1" w:styleId="25">
    <w:name w:val="表格文字 居中"/>
    <w:basedOn w:val="17"/>
    <w:qFormat/>
    <w:uiPriority w:val="0"/>
    <w:pPr>
      <w:jc w:val="center"/>
    </w:pPr>
    <w:rPr>
      <w:rFonts w:ascii="Arial" w:hAnsi="Arial" w:cs="Arial"/>
      <w:sz w:val="18"/>
    </w:rPr>
  </w:style>
  <w:style w:type="paragraph" w:customStyle="1" w:styleId="26">
    <w:name w:val="_Style 24"/>
    <w:unhideWhenUsed/>
    <w:qFormat/>
    <w:uiPriority w:val="99"/>
    <w:rPr>
      <w:rFonts w:ascii="Calibri" w:hAnsi="Calibri" w:eastAsia="宋体" w:cs="Times New Roman"/>
      <w:kern w:val="2"/>
      <w:sz w:val="21"/>
      <w:szCs w:val="24"/>
      <w:lang w:val="en-US" w:eastAsia="zh-CN" w:bidi="ar-SA"/>
    </w:rPr>
  </w:style>
  <w:style w:type="paragraph" w:customStyle="1" w:styleId="27">
    <w:name w:val="mar20top"/>
    <w:basedOn w:val="1"/>
    <w:qFormat/>
    <w:uiPriority w:val="0"/>
    <w:pPr>
      <w:widowControl/>
      <w:spacing w:before="100" w:beforeAutospacing="1" w:after="100" w:afterAutospacing="1"/>
      <w:jc w:val="left"/>
    </w:pPr>
    <w:rPr>
      <w:rFonts w:ascii="宋体" w:hAnsi="宋体" w:cs="宋体"/>
      <w:kern w:val="0"/>
      <w:sz w:val="24"/>
    </w:rPr>
  </w:style>
  <w:style w:type="character" w:customStyle="1" w:styleId="28">
    <w:name w:val="批注文字 字符"/>
    <w:link w:val="4"/>
    <w:qFormat/>
    <w:uiPriority w:val="0"/>
    <w:rPr>
      <w:rFonts w:ascii="Calibri" w:hAnsi="Calibri"/>
      <w:kern w:val="2"/>
      <w:sz w:val="21"/>
      <w:szCs w:val="24"/>
    </w:rPr>
  </w:style>
  <w:style w:type="character" w:customStyle="1" w:styleId="29">
    <w:name w:val="批注框文本 字符"/>
    <w:link w:val="7"/>
    <w:qFormat/>
    <w:uiPriority w:val="0"/>
    <w:rPr>
      <w:rFonts w:ascii="Calibri" w:hAnsi="Calibri"/>
      <w:kern w:val="2"/>
      <w:sz w:val="18"/>
      <w:szCs w:val="18"/>
    </w:rPr>
  </w:style>
  <w:style w:type="character" w:customStyle="1" w:styleId="30">
    <w:name w:val="页脚 字符"/>
    <w:link w:val="8"/>
    <w:qFormat/>
    <w:uiPriority w:val="0"/>
    <w:rPr>
      <w:rFonts w:ascii="Calibri" w:hAnsi="Calibri"/>
      <w:kern w:val="2"/>
      <w:sz w:val="18"/>
      <w:szCs w:val="18"/>
    </w:rPr>
  </w:style>
  <w:style w:type="character" w:customStyle="1" w:styleId="31">
    <w:name w:val="页眉 字符"/>
    <w:link w:val="9"/>
    <w:qFormat/>
    <w:uiPriority w:val="0"/>
    <w:rPr>
      <w:rFonts w:ascii="Calibri" w:hAnsi="Calibri"/>
      <w:kern w:val="2"/>
      <w:sz w:val="18"/>
      <w:szCs w:val="18"/>
    </w:rPr>
  </w:style>
  <w:style w:type="character" w:customStyle="1" w:styleId="32">
    <w:name w:val="批注主题 字符"/>
    <w:link w:val="10"/>
    <w:qFormat/>
    <w:uiPriority w:val="0"/>
    <w:rPr>
      <w:rFonts w:ascii="Calibri" w:hAnsi="Calibri"/>
      <w:b/>
      <w:bCs/>
      <w:kern w:val="2"/>
      <w:sz w:val="21"/>
      <w:szCs w:val="24"/>
    </w:rPr>
  </w:style>
  <w:style w:type="character" w:customStyle="1" w:styleId="33">
    <w:name w:val="font11"/>
    <w:qFormat/>
    <w:uiPriority w:val="0"/>
    <w:rPr>
      <w:rFonts w:hint="eastAsia" w:ascii="宋体" w:hAnsi="宋体" w:eastAsia="宋体" w:cs="宋体"/>
      <w:color w:val="000000"/>
      <w:sz w:val="18"/>
      <w:szCs w:val="18"/>
      <w:u w:val="none"/>
    </w:rPr>
  </w:style>
  <w:style w:type="character" w:customStyle="1" w:styleId="34">
    <w:name w:val="10"/>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1919</Words>
  <Characters>2012</Characters>
  <Lines>10</Lines>
  <Paragraphs>3</Paragraphs>
  <TotalTime>19</TotalTime>
  <ScaleCrop>false</ScaleCrop>
  <LinksUpToDate>false</LinksUpToDate>
  <CharactersWithSpaces>2052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2022-12-05T03:59:00Z</dcterms:created>
  <dc:creator>chenrunqiu</dc:creator>
  <cp:lastModifiedBy>默默</cp:lastModifiedBy>
  <dcterms:modified xsi:type="dcterms:W3CDTF">2025-07-08T01:39:58Z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25C8BF1AC66E41A49CBE21C325118260</vt:lpwstr>
  </property>
  <property fmtid="{D5CDD505-2E9C-101B-9397-08002B2CF9AE}" pid="4" name="KSOTemplateDocerSaveRecord">
    <vt:lpwstr>eyJoZGlkIjoiYWI0MTczMTlmZGQwMDlkNjE0Y2E2NDViNmNjNWY1ZmYiLCJ1c2VySWQiOiI3MzkzMzY4MTcifQ==</vt:lpwstr>
  </property>
</Properties>
</file>