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DF782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2.5.1  发票验（交）旧——790</w:t>
      </w:r>
    </w:p>
    <w:p w14:paraId="4959A673">
      <w:pPr>
        <w:pStyle w:val="2"/>
        <w:rPr>
          <w:rFonts w:hint="eastAsia"/>
        </w:rPr>
      </w:pPr>
    </w:p>
    <w:p w14:paraId="3B26AFC4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【事项概述】</w:t>
      </w:r>
    </w:p>
    <w:p w14:paraId="2C49C5B6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单位和个人领用发票时，应当按照税务机关的规定报告发票使用情况，税务机关应当按照规定对已开具发票存根联（记账联）、红字发票和作废发票进行查验，检查发票的开具是否符合有关规定。</w:t>
      </w:r>
    </w:p>
    <w:p w14:paraId="5A04F338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</w:rPr>
        <w:t>取消增值税发票（包括增值税专用发票、增值税普通发票和机动车销售统一发票等）手工验旧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。税务机关应利用增值税发票管理新系统报税数据，通过信息化手段开展增值税发票验旧工作。</w:t>
      </w:r>
    </w:p>
    <w:p w14:paraId="28F324D6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【办理类别】</w:t>
      </w:r>
    </w:p>
    <w:p w14:paraId="5EDA29AF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办理方式：线上（全程在线自主办结）/线下</w:t>
      </w:r>
    </w:p>
    <w:p w14:paraId="6BD285B7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办理时限：即时办结</w:t>
      </w:r>
    </w:p>
    <w:p w14:paraId="48F4CDB6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【办理流程】</w:t>
      </w:r>
    </w:p>
    <w:p w14:paraId="49446C6F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1.线上流程：报告</w:t>
      </w:r>
    </w:p>
    <w:p w14:paraId="32CCEA18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单位和个人领用发票前，通过信息化手段自动化开展增值税发票验旧工作。</w:t>
      </w:r>
    </w:p>
    <w:p w14:paraId="2104B906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--信息系统：全国统一规范电子税务局“发票验（交）旧”</w:t>
      </w:r>
    </w:p>
    <w:p w14:paraId="36D8A570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--表证单书：见“发票验（交）旧报送资料清单”</w:t>
      </w:r>
    </w:p>
    <w:p w14:paraId="447EF7AE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2.线下流程：申请—受理</w:t>
      </w:r>
    </w:p>
    <w:p w14:paraId="5DF1430B">
      <w:pPr>
        <w:pStyle w:val="6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（1）申请</w:t>
      </w:r>
    </w:p>
    <w:p w14:paraId="249AE6D9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纳税人向税务机关申请办理发票验（交）旧。</w:t>
      </w:r>
    </w:p>
    <w:p w14:paraId="6E57B91B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--信息系统：不涉及</w:t>
      </w:r>
    </w:p>
    <w:p w14:paraId="4F27D5CE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--表证单书：见“发票验（交）旧报送资料清单”</w:t>
      </w:r>
    </w:p>
    <w:p w14:paraId="445CE19E">
      <w:pPr>
        <w:pStyle w:val="6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（2）受理</w:t>
      </w:r>
    </w:p>
    <w:p w14:paraId="2640A999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--办理机构：纳税服务机构</w:t>
      </w:r>
    </w:p>
    <w:p w14:paraId="36613B54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--信息系统：金税系统“发票验（交）旧”</w:t>
      </w:r>
    </w:p>
    <w:p w14:paraId="44A7E69E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--表证单书：《税务事项通知书》</w:t>
      </w:r>
    </w:p>
    <w:p w14:paraId="2F1A7BDF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税受理岗核对报送资料是否齐全，是否符合法定形式。符合的，受理并即时办理。资料不齐全、不符合法定形式的，制作《税务事项通知书》（补正通知），一次性告知需补正的内容。依法不属于本机关职权或本业务受理范围的，制作《税务事项通知书》（不予受理通知），告知不予受理的原因。</w:t>
      </w:r>
    </w:p>
    <w:p w14:paraId="56790B71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办税受理岗进行系统信息录入、维护，录入信息必须规范、完整，并与纳税人提供的资料信息一致。</w:t>
      </w:r>
    </w:p>
    <w:p w14:paraId="1CC70CA6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办税受理岗结合纳税人报送资料情况，为纳税人办理发票验（交）旧。</w:t>
      </w:r>
    </w:p>
    <w:p w14:paraId="7CCEBC68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【资料处理】</w:t>
      </w:r>
    </w:p>
    <w:p w14:paraId="07AAC0D4">
      <w:pPr>
        <w:keepNext/>
        <w:pageBreakBefore w:val="0"/>
        <w:tabs>
          <w:tab w:val="center" w:pos="4200"/>
        </w:tabs>
        <w:kinsoku/>
        <w:wordWrap/>
        <w:topLinePunct w:val="0"/>
        <w:bidi w:val="0"/>
        <w:snapToGrid/>
        <w:spacing w:before="157" w:beforeLines="50" w:after="157" w:afterLines="50" w:line="360" w:lineRule="auto"/>
        <w:ind w:firstLine="10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发票验（交）旧报送资料清单</w:t>
      </w:r>
    </w:p>
    <w:tbl>
      <w:tblPr>
        <w:tblStyle w:val="7"/>
        <w:tblW w:w="86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203"/>
        <w:gridCol w:w="633"/>
        <w:gridCol w:w="633"/>
        <w:gridCol w:w="633"/>
        <w:gridCol w:w="633"/>
        <w:gridCol w:w="633"/>
        <w:gridCol w:w="633"/>
      </w:tblGrid>
      <w:tr w14:paraId="5051D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56DBD052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29C1900B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报送资料名称</w:t>
            </w:r>
          </w:p>
        </w:tc>
        <w:tc>
          <w:tcPr>
            <w:tcW w:w="6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56170A79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必报</w:t>
            </w:r>
          </w:p>
        </w:tc>
        <w:tc>
          <w:tcPr>
            <w:tcW w:w="6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1E4F60EB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条件报送</w:t>
            </w:r>
          </w:p>
        </w:tc>
        <w:tc>
          <w:tcPr>
            <w:tcW w:w="6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14F24CCF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归档</w:t>
            </w:r>
          </w:p>
        </w:tc>
        <w:tc>
          <w:tcPr>
            <w:tcW w:w="6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6A22FA92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查验</w:t>
            </w:r>
          </w:p>
        </w:tc>
        <w:tc>
          <w:tcPr>
            <w:tcW w:w="6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410EA4C2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代保管</w:t>
            </w:r>
          </w:p>
        </w:tc>
        <w:tc>
          <w:tcPr>
            <w:tcW w:w="6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0E0E0"/>
            <w:noWrap w:val="0"/>
            <w:vAlign w:val="center"/>
          </w:tcPr>
          <w:p w14:paraId="538F2AFC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核销</w:t>
            </w:r>
          </w:p>
        </w:tc>
      </w:tr>
      <w:tr w14:paraId="1DEC0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4880C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6FD492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已开具发票存根联（记账联）、红字发票、作废发票（使用税控机的同时提供发票使用汇总数据报表）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80059E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BFC2EF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A9A80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9F31D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DEFD0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FA3E74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11A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1AFCB13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2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1F390DE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需上传发票电子开具信息、下载开具发票电子解锁文件 存储介质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65D0C27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5D9E315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7F4FB47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ABA486B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ACF7ADD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270C0A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103DB71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【政策依据】</w:t>
      </w:r>
    </w:p>
    <w:p w14:paraId="3D5694A0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1.《中华人民共和国发票管理办法》（财政部令第6号发布、中华人民共和国国务院令第587号第一次修订、中华人民共和国国务院令第709号第二次修订、中华人民共和国国务院令第764号第三次修订）</w:t>
      </w:r>
    </w:p>
    <w:p w14:paraId="684EE2C9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2.《个体工商户税收定期定额征收管理办法》（国家税务总局令第16号）</w:t>
      </w:r>
    </w:p>
    <w:p w14:paraId="394D0B54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3.《中华人民共和国发票管理办法实施细则》（国家税务总局令第37号）</w:t>
      </w:r>
    </w:p>
    <w:p w14:paraId="737C5605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4.《国家税务总局关于加快推行办税事项同城通办的通知》（税总发〔2016〕46号）</w:t>
      </w:r>
    </w:p>
    <w:p w14:paraId="20EC6783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5.《国家税务总局关于印发〈税控收款机管理系统业务操作规程〉的通知》（国税发〔2005〕126号）</w:t>
      </w:r>
    </w:p>
    <w:p w14:paraId="3AD4892A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6.《国家税务总局关于使用新版公路、内河货物运输业统一发票有关问题的通知》（国税发〔2006〕67号）</w:t>
      </w:r>
    </w:p>
    <w:p w14:paraId="44F105EB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7.《国家税务总局关于简化增值税发票领用和使用程序有关问题的公告》（国家税务总局公告2014年第19号）</w:t>
      </w:r>
    </w:p>
    <w:bookmarkEnd w:id="0"/>
    <w:p w14:paraId="31FC2655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8606B"/>
    <w:multiLevelType w:val="multilevel"/>
    <w:tmpl w:val="2698606B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5357D"/>
    <w:rsid w:val="12947CB6"/>
    <w:rsid w:val="304B73FA"/>
    <w:rsid w:val="342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1091</Words>
  <Characters>1140</Characters>
  <Lines>0</Lines>
  <Paragraphs>0</Paragraphs>
  <TotalTime>4</TotalTime>
  <ScaleCrop>false</ScaleCrop>
  <LinksUpToDate>false</LinksUpToDate>
  <CharactersWithSpaces>1142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2025-02-25T12:56:00Z</dcterms:created>
  <dc:creator>tsuser</dc:creator>
  <cp:lastModifiedBy>默默</cp:lastModifiedBy>
  <dcterms:modified xsi:type="dcterms:W3CDTF">2025-07-08T06:16:37Z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20864BF1FC5C4B7EBD172B9EB73172A6_12</vt:lpwstr>
  </property>
</Properties>
</file>