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23053">
      <w:pPr>
        <w:pStyle w:val="12"/>
        <w:pageBreakBefore w:val="0"/>
        <w:kinsoku/>
        <w:wordWrap/>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sz w:val="24"/>
          <w:szCs w:val="24"/>
        </w:rPr>
      </w:pPr>
      <w:bookmarkStart w:id="5" w:name="_GoBack"/>
      <w:r>
        <w:rPr>
          <w:rFonts w:hint="eastAsia" w:ascii="宋体" w:hAnsi="宋体" w:eastAsia="宋体" w:cs="宋体"/>
          <w:b/>
          <w:bCs/>
          <w:sz w:val="24"/>
          <w:szCs w:val="24"/>
        </w:rPr>
        <w:t>3.1.2    增值税及附加税费申报（小规模纳税人）</w:t>
      </w:r>
      <w:bookmarkEnd w:id="5"/>
      <w:r>
        <w:rPr>
          <w:rFonts w:hint="eastAsia" w:ascii="宋体" w:hAnsi="宋体" w:eastAsia="宋体" w:cs="宋体"/>
          <w:b/>
          <w:bCs/>
          <w:sz w:val="24"/>
          <w:szCs w:val="24"/>
        </w:rPr>
        <w:t>——1013</w:t>
      </w:r>
    </w:p>
    <w:p w14:paraId="5DC4303A">
      <w:pPr>
        <w:pStyle w:val="12"/>
        <w:pageBreakBefore w:val="0"/>
        <w:kinsoku/>
        <w:wordWrap/>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b/>
          <w:bCs/>
          <w:sz w:val="24"/>
          <w:szCs w:val="24"/>
        </w:rPr>
      </w:pPr>
    </w:p>
    <w:p w14:paraId="721D4976">
      <w:pPr>
        <w:pStyle w:val="2"/>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一、业务概述 </w:t>
      </w:r>
    </w:p>
    <w:p w14:paraId="25CCA68A">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小规模纳税人可通过此功能模块完成增值税、城市维护建设税、教育费附加以及地方教育费附加申报。</w:t>
      </w:r>
    </w:p>
    <w:p w14:paraId="133BF832">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符合以下情形之一的纳税人，可按照小规模纳税人进行增值税及附加税费申报：</w:t>
      </w:r>
    </w:p>
    <w:p w14:paraId="7E86AB00">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1.年应税销售额未超过小规模纳税人标准（500万元及以下）可按照小规模纳税人进行纳税。</w:t>
      </w:r>
      <w:r>
        <w:rPr>
          <w:rFonts w:hint="eastAsia" w:ascii="宋体" w:hAnsi="宋体" w:eastAsia="宋体" w:cs="宋体"/>
          <w:kern w:val="0"/>
          <w:sz w:val="24"/>
          <w:szCs w:val="24"/>
          <w:highlight w:val="yellow"/>
        </w:rPr>
        <w:t>按差额征税的纳税人，应以差额前的销售额确定是否按照小规模纳税人进行纳税</w:t>
      </w:r>
      <w:r>
        <w:rPr>
          <w:rFonts w:hint="eastAsia" w:ascii="宋体" w:hAnsi="宋体" w:eastAsia="宋体" w:cs="宋体"/>
          <w:kern w:val="0"/>
          <w:sz w:val="24"/>
          <w:szCs w:val="24"/>
        </w:rPr>
        <w:t>。</w:t>
      </w:r>
    </w:p>
    <w:p w14:paraId="0F0D270B">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2.年应税销售额超过小规模纳税人标准的其他个人按小规模纳税人进行纳税。</w:t>
      </w:r>
    </w:p>
    <w:p w14:paraId="31B71EBB">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3.非企业性单位、不经常发生应税行为的企业，可以选择按照小规模纳税人进行纳税。</w:t>
      </w:r>
    </w:p>
    <w:p w14:paraId="798F5FE1">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4.年应税销售额超过规定标准但不经常发生增值税应税行为的单位和个体工商户可选择按照小规模纳税人纳税。</w:t>
      </w:r>
    </w:p>
    <w:p w14:paraId="4583225C">
      <w:pPr>
        <w:pStyle w:val="2"/>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rPr>
      </w:pPr>
      <w:bookmarkStart w:id="0" w:name="_Hlk164174596"/>
      <w:r>
        <w:rPr>
          <w:rFonts w:hint="eastAsia" w:ascii="宋体" w:hAnsi="宋体" w:eastAsia="宋体" w:cs="宋体"/>
          <w:b/>
          <w:sz w:val="24"/>
          <w:szCs w:val="24"/>
        </w:rPr>
        <w:t>二、办理流程</w:t>
      </w:r>
    </w:p>
    <w:bookmarkEnd w:id="0"/>
    <w:p w14:paraId="4A78AFFF">
      <w:pPr>
        <w:pageBreakBefore w:val="0"/>
        <w:kinsoku/>
        <w:wordWrap/>
        <w:overflowPunct w:val="0"/>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即</w:t>
      </w:r>
      <w:r>
        <w:rPr>
          <w:rFonts w:hint="eastAsia" w:ascii="宋体" w:hAnsi="宋体" w:eastAsia="宋体" w:cs="宋体"/>
          <w:bCs/>
          <w:sz w:val="24"/>
          <w:szCs w:val="24"/>
          <w:shd w:val="clear" w:color="auto" w:fill="FFFFFF"/>
          <w:lang w:val="en-US" w:eastAsia="zh-CN"/>
        </w:rPr>
        <w:t>时</w:t>
      </w:r>
      <w:r>
        <w:rPr>
          <w:rFonts w:hint="eastAsia" w:ascii="宋体" w:hAnsi="宋体" w:eastAsia="宋体" w:cs="宋体"/>
          <w:bCs/>
          <w:sz w:val="24"/>
          <w:szCs w:val="24"/>
          <w:shd w:val="clear" w:color="auto" w:fill="FFFFFF"/>
        </w:rPr>
        <w:t>办结。</w:t>
      </w:r>
    </w:p>
    <w:p w14:paraId="573C3EF3">
      <w:pPr>
        <w:pStyle w:val="2"/>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、功能路径</w:t>
      </w:r>
    </w:p>
    <w:p w14:paraId="66F6F27F">
      <w:pPr>
        <w:pageBreakBefore w:val="0"/>
        <w:kinsoku/>
        <w:wordWrap/>
        <w:overflowPunct w:val="0"/>
        <w:topLinePunct/>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1.【我要办税】-【税费申报及缴纳】-【增值税及附加税费申报（小规模纳税人）】</w:t>
      </w:r>
    </w:p>
    <w:p w14:paraId="18EA4A77">
      <w:pPr>
        <w:pageBreakBefore w:val="0"/>
        <w:kinsoku/>
        <w:wordWrap/>
        <w:overflowPunct w:val="0"/>
        <w:topLinePunct/>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933065"/>
            <wp:effectExtent l="0" t="0" r="2540" b="635"/>
            <wp:docPr id="886254642"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54642" name="图片 1" descr="图形用户界面, 文本, 应用程序, 电子邮件&#10;&#10;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5C938DBD">
      <w:pPr>
        <w:pageBreakBefore w:val="0"/>
        <w:kinsoku/>
        <w:wordWrap/>
        <w:overflowPunct w:val="0"/>
        <w:topLinePunct/>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2.本期应申报提醒进入办税功能。</w:t>
      </w:r>
    </w:p>
    <w:p w14:paraId="72DE8D62">
      <w:pPr>
        <w:pageBreakBefore w:val="0"/>
        <w:kinsoku/>
        <w:wordWrap/>
        <w:overflowPunct w:val="0"/>
        <w:topLinePunct/>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3.</w:t>
      </w:r>
      <w:r>
        <w:rPr>
          <w:rFonts w:hint="eastAsia" w:ascii="宋体" w:hAnsi="宋体" w:eastAsia="宋体" w:cs="宋体"/>
          <w:sz w:val="24"/>
          <w:szCs w:val="24"/>
        </w:rPr>
        <w:t xml:space="preserve"> </w:t>
      </w:r>
      <w:r>
        <w:rPr>
          <w:rFonts w:hint="eastAsia" w:ascii="宋体" w:hAnsi="宋体" w:eastAsia="宋体" w:cs="宋体"/>
          <w:bCs/>
          <w:sz w:val="24"/>
          <w:szCs w:val="24"/>
          <w:shd w:val="clear" w:color="auto" w:fill="FFFFFF"/>
        </w:rPr>
        <w:t>通过首页搜索栏输入关键字查找出的“增值税及附加税费申报（小规模纳税人）”进入办税功能。</w:t>
      </w:r>
    </w:p>
    <w:p w14:paraId="7F37A53B">
      <w:pPr>
        <w:pStyle w:val="2"/>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、操作步骤</w:t>
      </w:r>
    </w:p>
    <w:p w14:paraId="7BEF2431">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目前系统有确认式和填表式两种申报模式，系统会根据纳税人业务复杂程度自动匹配相应的申报模式。</w:t>
      </w:r>
    </w:p>
    <w:p w14:paraId="7C090550">
      <w:pPr>
        <w:pStyle w:val="3"/>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1.确认式申报</w:t>
      </w:r>
    </w:p>
    <w:p w14:paraId="14D6C093">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1.1当纳税人涉及的业务简单时，系统会根据纳税人开具发票的信息自动预填收入并计算税（费）结果，纳税人只需要对预填的收入以及税（费）结果进行确认。</w:t>
      </w:r>
    </w:p>
    <w:p w14:paraId="739BEFE8">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2129080553" name="图片 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0553" name="图片 2" descr="图形用户界面, 文本, 应用程序, 电子邮件&#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0709AE31">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1.2若纳税人因存在未开票收入导致销售收入与实际经营不符，根据收入的性质点击【货物及劳务销售额】或【服务、不动产和无形资产销售额】输入框分别进行补录。</w:t>
      </w:r>
    </w:p>
    <w:p w14:paraId="5E3DF4F8">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995810274" name="图片 3"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10274" name="图片 3" descr="图形用户界面, 应用程序, Teams&#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6AD507DA">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点击【货物及劳务销售额】输入框，进入货物及劳务未开票收入补录，纳税人根据实际经营情况编辑完成后点击【确</w:t>
      </w:r>
      <w:r>
        <w:rPr>
          <w:rFonts w:hint="eastAsia" w:ascii="宋体" w:hAnsi="宋体" w:eastAsia="宋体" w:cs="宋体"/>
          <w:bCs/>
          <w:sz w:val="24"/>
          <w:szCs w:val="24"/>
          <w:shd w:val="clear" w:color="auto" w:fill="FFFFFF"/>
          <w:lang w:val="en-US" w:eastAsia="zh-CN"/>
        </w:rPr>
        <w:t>定</w:t>
      </w:r>
      <w:r>
        <w:rPr>
          <w:rFonts w:hint="eastAsia" w:ascii="宋体" w:hAnsi="宋体" w:eastAsia="宋体" w:cs="宋体"/>
          <w:bCs/>
          <w:sz w:val="24"/>
          <w:szCs w:val="24"/>
          <w:shd w:val="clear" w:color="auto" w:fill="FFFFFF"/>
        </w:rPr>
        <w:t>】。</w:t>
      </w:r>
    </w:p>
    <w:p w14:paraId="1BA16113">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2137432160"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32160" name="图片 4" descr="图形用户界面, 应用程序&#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17D1C12D">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点击【服务、不动产和无形资产销售额】输入框，进入服务、不动产和无形资产未开票收入补录，纳税人根据实际经营情况编辑完成后点击【确</w:t>
      </w:r>
      <w:r>
        <w:rPr>
          <w:rFonts w:hint="eastAsia" w:ascii="宋体" w:hAnsi="宋体" w:eastAsia="宋体" w:cs="宋体"/>
          <w:bCs/>
          <w:sz w:val="24"/>
          <w:szCs w:val="24"/>
          <w:shd w:val="clear" w:color="auto" w:fill="FFFFFF"/>
          <w:lang w:val="en-US" w:eastAsia="zh-CN"/>
        </w:rPr>
        <w:t>定</w:t>
      </w:r>
      <w:r>
        <w:rPr>
          <w:rFonts w:hint="eastAsia" w:ascii="宋体" w:hAnsi="宋体" w:eastAsia="宋体" w:cs="宋体"/>
          <w:bCs/>
          <w:sz w:val="24"/>
          <w:szCs w:val="24"/>
          <w:shd w:val="clear" w:color="auto" w:fill="FFFFFF"/>
        </w:rPr>
        <w:t>】。</w:t>
      </w:r>
    </w:p>
    <w:p w14:paraId="345004A9">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171387389"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389" name="图片 5" descr="图形用户界面, 应用程序&#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79838CD5">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1.3如果需要修改其他数据，只能点击【我要填表】切换到填表式申报模式，对数据进行修改。系统会根据纳税人切换填表式的次数，更改推荐的申报模式。</w:t>
      </w:r>
    </w:p>
    <w:p w14:paraId="5E7AAB0F">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1238928092"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28092" name="图片 7" descr="图形用户界面, 应用程序&#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44ACC828">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1.4纳税人对数据进行修改后，可点击【预览报表】对报表数据进行检查。</w:t>
      </w:r>
    </w:p>
    <w:p w14:paraId="6310B4F9">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1678607605"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07605" name="图片 10" descr="图形用户界面, 应用程序&#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35E43836">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599684428" name="图片 11"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84428" name="图片 11" descr="图形用户界面, 应用程序, 电子邮件&#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354FF4D5">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1.5纳税人确认数据无误，点击【提交】后，需要对本次申报的结果进行确认声明，纳税人按提示点击补全声明信息后，点击【确</w:t>
      </w:r>
      <w:r>
        <w:rPr>
          <w:rFonts w:hint="eastAsia" w:ascii="宋体" w:hAnsi="宋体" w:eastAsia="宋体" w:cs="宋体"/>
          <w:bCs/>
          <w:sz w:val="24"/>
          <w:szCs w:val="24"/>
          <w:shd w:val="clear" w:color="auto" w:fill="FFFFFF"/>
          <w:lang w:val="en-US" w:eastAsia="zh-CN"/>
        </w:rPr>
        <w:t>定</w:t>
      </w:r>
      <w:r>
        <w:rPr>
          <w:rFonts w:hint="eastAsia" w:ascii="宋体" w:hAnsi="宋体" w:eastAsia="宋体" w:cs="宋体"/>
          <w:bCs/>
          <w:sz w:val="24"/>
          <w:szCs w:val="24"/>
          <w:shd w:val="clear" w:color="auto" w:fill="FFFFFF"/>
        </w:rPr>
        <w:t>】即可提交申报。</w:t>
      </w:r>
    </w:p>
    <w:p w14:paraId="57BF8CBE">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762036376"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36376" name="图片 12" descr="图形用户界面, 应用程序&#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457EB673">
      <w:pPr>
        <w:pStyle w:val="3"/>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2.填表式申报</w:t>
      </w:r>
    </w:p>
    <w:p w14:paraId="07CF099A">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2.1当纳税人涉及的业务复杂时，系统会直接进入申报表表单填写页面，并根据企业开具的发票信息自动预填数据，若纳税人需要修改数据，可直接对主表数据进行修改。</w:t>
      </w:r>
    </w:p>
    <w:p w14:paraId="29516F7C">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1304413331" name="图片 13"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13331" name="图片 13" descr="图形用户界面, 应用程序, 表格&#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74F0B07F">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2.2在附列资料二“附加税费情况表中”，系统会自动带出对应的“六税两附加”减征比例且无法修改。</w:t>
      </w:r>
    </w:p>
    <w:p w14:paraId="668F1B0B">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209748901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89010" name="图片 1" descr="图形用户界面, 应用程序&#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522EEF6A">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bCs/>
          <w:sz w:val="24"/>
          <w:szCs w:val="24"/>
          <w:shd w:val="clear" w:color="auto" w:fill="FFFFFF"/>
        </w:rPr>
        <w:t>2.3若纳税人还应享受其他减免政策，需手动在附表“增值税减免税申报明细表”中，</w:t>
      </w:r>
      <w:bookmarkStart w:id="1" w:name="_Hlk162509902"/>
      <w:r>
        <w:rPr>
          <w:rFonts w:hint="eastAsia" w:ascii="宋体" w:hAnsi="宋体" w:eastAsia="宋体" w:cs="宋体"/>
          <w:bCs/>
          <w:sz w:val="24"/>
          <w:szCs w:val="24"/>
          <w:shd w:val="clear" w:color="auto" w:fill="FFFFFF"/>
        </w:rPr>
        <w:t>分别按照减税项目、免税项目选择减免性质代码</w:t>
      </w:r>
      <w:r>
        <w:rPr>
          <w:rFonts w:hint="eastAsia" w:ascii="宋体" w:hAnsi="宋体" w:eastAsia="宋体" w:cs="宋体"/>
          <w:sz w:val="24"/>
          <w:szCs w:val="24"/>
        </w:rPr>
        <w:t>及名称（性质代码输入框支持模糊查询）</w:t>
      </w:r>
      <w:bookmarkStart w:id="2" w:name="_Hlk162509875"/>
      <w:r>
        <w:rPr>
          <w:rFonts w:hint="eastAsia" w:ascii="宋体" w:hAnsi="宋体" w:eastAsia="宋体" w:cs="宋体"/>
          <w:sz w:val="24"/>
          <w:szCs w:val="24"/>
        </w:rPr>
        <w:t>，并输入对应的减免税额信息</w:t>
      </w:r>
      <w:bookmarkEnd w:id="2"/>
      <w:r>
        <w:rPr>
          <w:rFonts w:hint="eastAsia" w:ascii="宋体" w:hAnsi="宋体" w:eastAsia="宋体" w:cs="宋体"/>
          <w:sz w:val="24"/>
          <w:szCs w:val="24"/>
        </w:rPr>
        <w:t>。</w:t>
      </w:r>
      <w:bookmarkEnd w:id="1"/>
    </w:p>
    <w:p w14:paraId="7F89D82F">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933065"/>
            <wp:effectExtent l="0" t="0" r="2540" b="635"/>
            <wp:docPr id="586575100" name="图片 3" descr="日程表,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75100" name="图片 3" descr="日程表, 日历&#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44EA744C">
      <w:pPr>
        <w:pStyle w:val="3"/>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3.增值税申报比对</w:t>
      </w:r>
    </w:p>
    <w:p w14:paraId="77762887">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3.1表间比对：若纳税人在填表过程中出现错误或者违反表单内部勾稽关系时，系统将在纳税人点击【提交】按钮时进行提醒。</w:t>
      </w:r>
    </w:p>
    <w:p w14:paraId="12DFE3B7">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若系统出现“是否立即提交申报表”提示纳税人可点击【确认提交】直接进行申报；也可以点击【取消】，根据左下角（橙色）提示对表单内容进行修改。</w:t>
      </w:r>
    </w:p>
    <w:p w14:paraId="5A1BDC8E">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562293990" name="图片 5"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93990" name="图片 5" descr="图形用户界面, 应用程序, 表格&#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764DFBDE">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若系统出现“填写校验不通过”提示，则纳税人必须根据左下角（红色）提示正确修改表单内容后，才能提交。</w:t>
      </w:r>
    </w:p>
    <w:p w14:paraId="0AD7CB5D">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1737822157" name="图片 6"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22157" name="图片 6" descr="日程表&#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3DA061FA">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3.2申报比对：</w:t>
      </w:r>
      <w:bookmarkStart w:id="3" w:name="_Hlk162515301"/>
      <w:r>
        <w:rPr>
          <w:rFonts w:hint="eastAsia" w:ascii="宋体" w:hAnsi="宋体" w:eastAsia="宋体" w:cs="宋体"/>
          <w:bCs/>
          <w:sz w:val="24"/>
          <w:szCs w:val="24"/>
          <w:shd w:val="clear" w:color="auto" w:fill="FFFFFF"/>
        </w:rPr>
        <w:t>申报表提交后，</w:t>
      </w:r>
      <w:bookmarkEnd w:id="3"/>
      <w:bookmarkStart w:id="4" w:name="_Hlk162515308"/>
      <w:r>
        <w:rPr>
          <w:rFonts w:hint="eastAsia" w:ascii="宋体" w:hAnsi="宋体" w:eastAsia="宋体" w:cs="宋体"/>
          <w:bCs/>
          <w:sz w:val="24"/>
          <w:szCs w:val="24"/>
          <w:shd w:val="clear" w:color="auto" w:fill="FFFFFF"/>
        </w:rPr>
        <w:t>系统会将申报数据与后台数据进行比对，判断是否存在比对不通过的情况，若不通过会出现提示。</w:t>
      </w:r>
      <w:bookmarkEnd w:id="4"/>
    </w:p>
    <w:p w14:paraId="2F2F18C2">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若系统出现“提示类申报比对不通过”，纳税人可以根据系统提示点击【修改报表】；也可以点击【强制提交】，比对不通过数据会形成后台记录，纳税人可通过更正申报表，清除比对异常记录。</w:t>
      </w:r>
    </w:p>
    <w:p w14:paraId="0BDBEC7D">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若系统出现“强制类申报比对不通过”，纳税人可以根据系统提示点击【修改报表】；也可以点击【强制提交】，但会产生申报比对异常转办事项，流转至税务人端，纳税人需跟踪比对异常处理情况，否则会影响发票开具等事项办理。</w:t>
      </w:r>
    </w:p>
    <w:p w14:paraId="64FEB32D">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585720"/>
            <wp:effectExtent l="0" t="0" r="2540" b="5080"/>
            <wp:docPr id="1989034012"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34012" name="图片 7" descr="图形用户界面, 应用程序&#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585720"/>
                    </a:xfrm>
                    <a:prstGeom prst="rect">
                      <a:avLst/>
                    </a:prstGeom>
                  </pic:spPr>
                </pic:pic>
              </a:graphicData>
            </a:graphic>
          </wp:inline>
        </w:drawing>
      </w:r>
    </w:p>
    <w:p w14:paraId="37AAE8C8">
      <w:pPr>
        <w:pStyle w:val="3"/>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4. 税（费）款缴纳</w:t>
      </w:r>
    </w:p>
    <w:p w14:paraId="2A9CE5A8">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申报成功后，可以进行立即缴款，查验本期税款显示无误之后，可选择【立即缴款】完成本次申报涉及的税费款缴纳。</w:t>
      </w:r>
    </w:p>
    <w:p w14:paraId="2C24786E">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681072424"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72424" name="图片 8" descr="图形用户界面, 应用程序&#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933065"/>
                    </a:xfrm>
                    <a:prstGeom prst="rect">
                      <a:avLst/>
                    </a:prstGeom>
                    <a:noFill/>
                    <a:ln>
                      <a:noFill/>
                    </a:ln>
                  </pic:spPr>
                </pic:pic>
              </a:graphicData>
            </a:graphic>
          </wp:inline>
        </w:drawing>
      </w:r>
    </w:p>
    <w:p w14:paraId="67DAE9A7">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如纳税人暂时不进行税费款缴纳，也可以在首页中通过【我要办税】-【税费申报及缴纳】-【税费缴纳】进行税费款缴纳，但需要注意缴款期限，若超过缴款期限，系统会自动产生滞纳金。</w:t>
      </w:r>
    </w:p>
    <w:p w14:paraId="6EC0D2BD">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2101567776" name="图片 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67776" name="图片 9" descr="图形用户界面, 文本, 应用程序, 电子邮件&#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59F5A760">
      <w:pPr>
        <w:pageBreakBefore w:val="0"/>
        <w:kinsoku/>
        <w:wordWrap/>
        <w:autoSpaceDE/>
        <w:autoSpaceDN/>
        <w:bidi w:val="0"/>
        <w:adjustRightInd/>
        <w:snapToGrid/>
        <w:spacing w:before="157" w:beforeLines="50" w:after="157" w:afterLines="50" w:line="360" w:lineRule="auto"/>
        <w:jc w:val="center"/>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drawing>
          <wp:inline distT="0" distB="0" distL="0" distR="0">
            <wp:extent cx="5274310" cy="2933065"/>
            <wp:effectExtent l="0" t="0" r="2540" b="635"/>
            <wp:docPr id="1764404247" name="图片 1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04247" name="图片 10" descr="图形用户界面, 文本, 应用程序, 电子邮件&#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33065"/>
                    </a:xfrm>
                    <a:prstGeom prst="rect">
                      <a:avLst/>
                    </a:prstGeom>
                    <a:noFill/>
                    <a:ln>
                      <a:noFill/>
                    </a:ln>
                  </pic:spPr>
                </pic:pic>
              </a:graphicData>
            </a:graphic>
          </wp:inline>
        </w:drawing>
      </w:r>
    </w:p>
    <w:p w14:paraId="5D740F3F">
      <w:pPr>
        <w:pStyle w:val="2"/>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、注意事项</w:t>
      </w:r>
    </w:p>
    <w:p w14:paraId="16241928">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1.属于定期定额户的纳税人，在进入增值税及附加税费申报（小规模纳税人）申报功能菜单后，系统将自动展示定期定额户纳税人适用页面。</w:t>
      </w:r>
    </w:p>
    <w:p w14:paraId="2BBF3A56">
      <w:pPr>
        <w:pageBreakBefore w:val="0"/>
        <w:kinsoku/>
        <w:wordWrap/>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2.在确认式申报界面，纳税人若当期有未开具发票收入，请点击增值税销售收入栏次下的输入框进行填写，若在确认式申报页面发现预填数据不准确，请点击“我要填表”进行修改。</w:t>
      </w:r>
    </w:p>
    <w:p w14:paraId="51995A87">
      <w:pPr>
        <w:pStyle w:val="17"/>
        <w:pageBreakBefore w:val="0"/>
        <w:kinsoku/>
        <w:wordWrap/>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rPr>
        <w:t>3.</w:t>
      </w:r>
      <w:r>
        <w:rPr>
          <w:rFonts w:hint="eastAsia" w:ascii="宋体" w:hAnsi="宋体" w:eastAsia="宋体" w:cs="宋体"/>
          <w:sz w:val="24"/>
          <w:szCs w:val="24"/>
          <w:highlight w:val="none"/>
        </w:rPr>
        <w:t>当企业为应税服务企业或者是混营企业时，在填表式模块里会出现附表一（服务、不动产和无形资产扣除项目明细）的表单。当企业为发供电企业且为分支机构企业时，出现电力企业增值税销项税额和进项税额传递单。</w:t>
      </w:r>
    </w:p>
    <w:p w14:paraId="0CC1E0A8">
      <w:pPr>
        <w:pStyle w:val="17"/>
        <w:pageBreakBefore w:val="0"/>
        <w:kinsoku/>
        <w:wordWrap/>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分支机构申报方式若为“不就地预缴”或“总、分支机构按销售收入比例分配应纳税额”或“总、分支机构按固定比例分配应纳税额”或“总机构先按固定比例分配税额，再与分支机构按销售收入比例分配未分配应纳税额”，则提示“您为分支机构且申报缴纳方式为”不就地预缴”或”分摊缴纳”，无需进行申报”，流程终止。</w:t>
      </w:r>
    </w:p>
    <w:p w14:paraId="50FF6D37">
      <w:pPr>
        <w:pStyle w:val="17"/>
        <w:pageBreakBefore w:val="0"/>
        <w:kinsoku/>
        <w:wordWrap/>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Hans"/>
        </w:rPr>
        <w:t>系统</w:t>
      </w:r>
      <w:r>
        <w:rPr>
          <w:rFonts w:hint="eastAsia" w:ascii="宋体" w:hAnsi="宋体" w:eastAsia="宋体" w:cs="宋体"/>
          <w:sz w:val="24"/>
          <w:szCs w:val="24"/>
        </w:rPr>
        <w:t>根据纳税人的标签，动态处理纳税人本次申报需要申报的税种，实现增值税及附加税费、消费税及附加税费、文化事业建设费一键申报。</w:t>
      </w:r>
    </w:p>
    <w:p w14:paraId="45AAE6BC">
      <w:pPr>
        <w:pStyle w:val="17"/>
        <w:pageBreakBefore w:val="0"/>
        <w:kinsoku/>
        <w:wordWrap/>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(1)确认式申报模式：</w:t>
      </w:r>
    </w:p>
    <w:p w14:paraId="3D888051">
      <w:pPr>
        <w:pStyle w:val="17"/>
        <w:pageBreakBefore w:val="0"/>
        <w:kinsoku/>
        <w:wordWrap/>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当纳税人命中【娱乐业文化事业建设费企业】或【非差额扣除广告业文化事业建设费企业】标签时，需要融合文化事业建设费申报。</w:t>
      </w:r>
    </w:p>
    <w:p w14:paraId="5D1D12A4">
      <w:pPr>
        <w:pStyle w:val="17"/>
        <w:pageBreakBefore w:val="0"/>
        <w:kinsoku/>
        <w:wordWrap/>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当纳税人命中【批发零售金银首饰的消费税企业】标签时，需要融合申报消费税及附加税费申报。</w:t>
      </w:r>
    </w:p>
    <w:p w14:paraId="408F9DB4">
      <w:pPr>
        <w:pStyle w:val="17"/>
        <w:pageBreakBefore w:val="0"/>
        <w:kinsoku/>
        <w:wordWrap/>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(2)填表式申报模式：</w:t>
      </w:r>
    </w:p>
    <w:p w14:paraId="4B2E020A">
      <w:pPr>
        <w:pStyle w:val="17"/>
        <w:pageBreakBefore w:val="0"/>
        <w:kinsoku/>
        <w:wordWrap/>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当纳税人命中【娱乐业文化事业建设费企业】或【非差额扣除广告业文化事业建设费企业】或【差额扣除广告业文化事业建设费企业】标签时，需要融合文化事业建设费申报；</w:t>
      </w:r>
    </w:p>
    <w:p w14:paraId="39B8B623">
      <w:pPr>
        <w:pStyle w:val="17"/>
        <w:pageBreakBefore w:val="0"/>
        <w:kinsoku/>
        <w:wordWrap/>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当纳税人命中【批发零售金银首饰的消费税企业】或【非金银首饰消费税的企业】标签时，需要融合申报消费税及附加税费申报。在填表式申报模式下，根据纳税人的标签数据，展示纳税人需要申报的报表。</w:t>
      </w:r>
    </w:p>
    <w:p w14:paraId="49A15821">
      <w:pPr>
        <w:pStyle w:val="2"/>
        <w:pageBreakBefore w:val="0"/>
        <w:kinsoku/>
        <w:wordWrap/>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六</w:t>
      </w:r>
      <w:r>
        <w:rPr>
          <w:rFonts w:hint="eastAsia" w:ascii="宋体" w:hAnsi="宋体" w:eastAsia="宋体" w:cs="宋体"/>
          <w:b/>
          <w:sz w:val="24"/>
          <w:szCs w:val="24"/>
        </w:rPr>
        <w:t>、常见问题</w:t>
      </w:r>
    </w:p>
    <w:p w14:paraId="089CCDC4">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1.系统如何判断纳税人适用哪种申报模式？</w:t>
      </w:r>
    </w:p>
    <w:p w14:paraId="26251E4B">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答：系统根据纳税人的特征标签和涉税数据，自动适配纳税人的办税模式，系统共有两种模式，一是针对业务简单标签，系统推荐确认式办税，二是针对业务复杂，系统推荐填表式申报。</w:t>
      </w:r>
    </w:p>
    <w:p w14:paraId="654D604F">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2.如果预填的数据与我公司实际数据存在差异，我应当如何修改？</w:t>
      </w:r>
    </w:p>
    <w:p w14:paraId="6FE091A8">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答：系统根据纳税人的涉税数据，按业务规则实现数据预填，纳税人对预填结果与实际经营不符的情况，针对确认式申报模式，可点击“销售收入”模块下的“货物及劳务销售额”、“服务、不动产和无形资产销售额”补录区域，按实际业务数据进行补录，纳税人也可点击“我要填表”切换进入到填表式申报模式，填写完成后，点击【确认】即完成调整。</w:t>
      </w:r>
    </w:p>
    <w:p w14:paraId="2C4D0DE4">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3.为什么补充了3%征收率的未开票收入后，应补退税额没有发生变化？</w:t>
      </w:r>
    </w:p>
    <w:p w14:paraId="5B06DFDB">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答：2022年4月1日至2022年12月31日，增值税小规模纳税人适用3%征收率的应税销售收入，免征增值税；因此调整3%征收率的销售额，仅影响数据复原到制式表单中的栏次，不影响最终的应补退税额。您可以通过界面最下方的“税费计算信息”模块中的免税额来核对免税数据是否正确。</w:t>
      </w:r>
    </w:p>
    <w:p w14:paraId="43922683">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4.我仍想采用传统表单填报的方式申报模式，如何进行传统表单填报的方式申报？</w:t>
      </w:r>
    </w:p>
    <w:p w14:paraId="07E36712">
      <w:pPr>
        <w:pageBreakBefore w:val="0"/>
        <w:kinsoku/>
        <w:wordWrap/>
        <w:autoSpaceDE/>
        <w:autoSpaceDN/>
        <w:bidi w:val="0"/>
        <w:adjustRightInd/>
        <w:snapToGrid/>
        <w:spacing w:before="157" w:beforeLines="50" w:after="157" w:afterLines="50" w:line="360" w:lineRule="auto"/>
        <w:ind w:firstLine="480" w:firstLineChars="200"/>
        <w:jc w:val="left"/>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答：在申报模式页面首行，有“我要填表”的显著字样，纳税人点击“我要填表”，即可进入到传统表单填报的方式申报模式。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ongti SC">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kNzI4ZWE2YWFkODA1YzI5MjcwMzNkMTY5ZGQ3NTcifQ=="/>
  </w:docVars>
  <w:rsids>
    <w:rsidRoot w:val="001B388C"/>
    <w:rsid w:val="00000560"/>
    <w:rsid w:val="00062EE4"/>
    <w:rsid w:val="001060AC"/>
    <w:rsid w:val="001B388C"/>
    <w:rsid w:val="001B7222"/>
    <w:rsid w:val="002551E5"/>
    <w:rsid w:val="002678E6"/>
    <w:rsid w:val="00277263"/>
    <w:rsid w:val="002F6B1B"/>
    <w:rsid w:val="003234A3"/>
    <w:rsid w:val="003242F1"/>
    <w:rsid w:val="003E1AE3"/>
    <w:rsid w:val="004666A8"/>
    <w:rsid w:val="004938F9"/>
    <w:rsid w:val="004F75C6"/>
    <w:rsid w:val="0051687C"/>
    <w:rsid w:val="0053030F"/>
    <w:rsid w:val="00537A59"/>
    <w:rsid w:val="00554556"/>
    <w:rsid w:val="005A3A3D"/>
    <w:rsid w:val="0060612C"/>
    <w:rsid w:val="00654B8C"/>
    <w:rsid w:val="0067048E"/>
    <w:rsid w:val="006926D2"/>
    <w:rsid w:val="006A3ABB"/>
    <w:rsid w:val="006B3E08"/>
    <w:rsid w:val="006C56E8"/>
    <w:rsid w:val="006F76E2"/>
    <w:rsid w:val="007168F4"/>
    <w:rsid w:val="007342DC"/>
    <w:rsid w:val="0074215B"/>
    <w:rsid w:val="00776441"/>
    <w:rsid w:val="00791B06"/>
    <w:rsid w:val="007E239A"/>
    <w:rsid w:val="007E2BBB"/>
    <w:rsid w:val="008561C7"/>
    <w:rsid w:val="0087034F"/>
    <w:rsid w:val="008741E8"/>
    <w:rsid w:val="00875DF0"/>
    <w:rsid w:val="00A05111"/>
    <w:rsid w:val="00A12188"/>
    <w:rsid w:val="00B016BD"/>
    <w:rsid w:val="00B16B9E"/>
    <w:rsid w:val="00B16D8D"/>
    <w:rsid w:val="00B17BEE"/>
    <w:rsid w:val="00B640E7"/>
    <w:rsid w:val="00B83B5B"/>
    <w:rsid w:val="00BB34DA"/>
    <w:rsid w:val="00BE64F4"/>
    <w:rsid w:val="00C6521D"/>
    <w:rsid w:val="00C81488"/>
    <w:rsid w:val="00D1389F"/>
    <w:rsid w:val="00DA0371"/>
    <w:rsid w:val="00DA6B2B"/>
    <w:rsid w:val="00DF3DEE"/>
    <w:rsid w:val="00E32BD0"/>
    <w:rsid w:val="00F62BE2"/>
    <w:rsid w:val="00F7575F"/>
    <w:rsid w:val="00F8136B"/>
    <w:rsid w:val="2B8F3DB9"/>
    <w:rsid w:val="3DEE602F"/>
    <w:rsid w:val="49225DC7"/>
    <w:rsid w:val="557C320D"/>
    <w:rsid w:val="6A9E4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1"/>
    <w:unhideWhenUsed/>
    <w:qFormat/>
    <w:uiPriority w:val="0"/>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6"/>
    <w:qFormat/>
    <w:uiPriority w:val="0"/>
    <w:pPr>
      <w:keepNext/>
      <w:keepLines/>
      <w:spacing w:before="260" w:after="260" w:line="416" w:lineRule="auto"/>
      <w:outlineLvl w:val="2"/>
    </w:pPr>
    <w:rPr>
      <w:rFonts w:ascii="Calibri" w:hAnsi="Calibri" w:eastAsia="宋体" w:cs="Times New Roman"/>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99"/>
    <w:pPr>
      <w:tabs>
        <w:tab w:val="center" w:pos="4153"/>
        <w:tab w:val="right" w:pos="8306"/>
      </w:tabs>
      <w:snapToGrid w:val="0"/>
      <w:jc w:val="center"/>
    </w:pPr>
    <w:rPr>
      <w:sz w:val="18"/>
      <w:szCs w:val="18"/>
    </w:rPr>
  </w:style>
  <w:style w:type="character" w:customStyle="1" w:styleId="9">
    <w:name w:val="页眉 字符"/>
    <w:basedOn w:val="8"/>
    <w:link w:val="6"/>
    <w:qFormat/>
    <w:uiPriority w:val="99"/>
    <w:rPr>
      <w:sz w:val="18"/>
      <w:szCs w:val="18"/>
    </w:rPr>
  </w:style>
  <w:style w:type="character" w:customStyle="1" w:styleId="10">
    <w:name w:val="页脚 字符"/>
    <w:basedOn w:val="8"/>
    <w:link w:val="5"/>
    <w:qFormat/>
    <w:uiPriority w:val="99"/>
    <w:rPr>
      <w:sz w:val="18"/>
      <w:szCs w:val="18"/>
    </w:rPr>
  </w:style>
  <w:style w:type="character" w:customStyle="1" w:styleId="11">
    <w:name w:val="标题 2 字符"/>
    <w:basedOn w:val="8"/>
    <w:link w:val="3"/>
    <w:semiHidden/>
    <w:qFormat/>
    <w:uiPriority w:val="9"/>
    <w:rPr>
      <w:rFonts w:asciiTheme="majorHAnsi" w:hAnsiTheme="majorHAnsi" w:eastAsiaTheme="majorEastAsia" w:cstheme="majorBidi"/>
      <w:color w:val="104862" w:themeColor="accent1" w:themeShade="BF"/>
      <w:sz w:val="40"/>
      <w:szCs w:val="40"/>
    </w:rPr>
  </w:style>
  <w:style w:type="paragraph" w:styleId="12">
    <w:name w:val="List Paragraph"/>
    <w:basedOn w:val="1"/>
    <w:qFormat/>
    <w:uiPriority w:val="34"/>
    <w:pPr>
      <w:ind w:firstLine="420" w:firstLineChars="200"/>
    </w:pPr>
  </w:style>
  <w:style w:type="paragraph" w:customStyle="1" w:styleId="13">
    <w:name w:val="表格文字 左对齐"/>
    <w:basedOn w:val="1"/>
    <w:qFormat/>
    <w:uiPriority w:val="0"/>
    <w:pPr>
      <w:widowControl/>
      <w:jc w:val="left"/>
    </w:pPr>
    <w:rPr>
      <w:rFonts w:ascii="Arial" w:hAnsi="Arial" w:eastAsia="Times New Roman" w:cs="Arial"/>
      <w:kern w:val="0"/>
      <w:sz w:val="18"/>
      <w:szCs w:val="24"/>
    </w:rPr>
  </w:style>
  <w:style w:type="paragraph" w:customStyle="1" w:styleId="14">
    <w:name w:val="表格列标题"/>
    <w:basedOn w:val="1"/>
    <w:qFormat/>
    <w:uiPriority w:val="0"/>
    <w:pPr>
      <w:jc w:val="center"/>
    </w:pPr>
    <w:rPr>
      <w:rFonts w:ascii="Arial" w:hAnsi="Arial" w:eastAsia="宋体" w:cs="Arial"/>
      <w:b/>
      <w:kern w:val="0"/>
      <w:sz w:val="18"/>
      <w:szCs w:val="20"/>
    </w:rPr>
  </w:style>
  <w:style w:type="paragraph" w:customStyle="1" w:styleId="15">
    <w:name w:val="表格文字 居中"/>
    <w:basedOn w:val="1"/>
    <w:qFormat/>
    <w:uiPriority w:val="0"/>
    <w:pPr>
      <w:jc w:val="center"/>
    </w:pPr>
    <w:rPr>
      <w:rFonts w:ascii="Arial" w:hAnsi="Arial" w:eastAsia="宋体" w:cs="Arial"/>
      <w:kern w:val="0"/>
      <w:sz w:val="18"/>
      <w:szCs w:val="20"/>
    </w:rPr>
  </w:style>
  <w:style w:type="character" w:customStyle="1" w:styleId="16">
    <w:name w:val="标题 3 字符"/>
    <w:basedOn w:val="8"/>
    <w:link w:val="4"/>
    <w:qFormat/>
    <w:uiPriority w:val="0"/>
    <w:rPr>
      <w:rFonts w:ascii="Calibri" w:hAnsi="Calibri" w:eastAsia="宋体" w:cs="Times New Roman"/>
      <w:b/>
      <w:bCs/>
      <w:sz w:val="32"/>
      <w:szCs w:val="32"/>
    </w:rPr>
  </w:style>
  <w:style w:type="paragraph" w:customStyle="1" w:styleId="17">
    <w:name w:val="Normal Indent1"/>
    <w:qFormat/>
    <w:uiPriority w:val="0"/>
    <w:pPr>
      <w:spacing w:line="360" w:lineRule="auto"/>
      <w:ind w:firstLine="883" w:firstLineChars="200"/>
    </w:pPr>
    <w:rPr>
      <w:rFonts w:ascii="Songti SC" w:hAnsi="Songti SC" w:eastAsia="宋体" w:cs="Songti SC"/>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2970</Words>
  <Characters>3038</Characters>
  <Lines>26</Lines>
  <Paragraphs>7</Paragraphs>
  <TotalTime>16</TotalTime>
  <ScaleCrop>false</ScaleCrop>
  <LinksUpToDate>false</LinksUpToDate>
  <CharactersWithSpaces>3043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2024-03-26T10:58:00Z</dcterms:created>
  <dc:creator>jian mao</dc:creator>
  <cp:lastModifiedBy>默默</cp:lastModifiedBy>
  <dcterms:modified xsi:type="dcterms:W3CDTF">2025-07-08T06:31:31Z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16B72D54C4A04FE1BA26F262B62D71E3_13</vt:lpwstr>
  </property>
  <property fmtid="{D5CDD505-2E9C-101B-9397-08002B2CF9AE}" pid="4" name="KSOTemplateDocerSaveRecord">
    <vt:lpwstr>eyJoZGlkIjoiYWI0MTczMTlmZGQwMDlkNjE0Y2E2NDViNmNjNWY1ZmYiLCJ1c2VySWQiOiI3MzkzMzY4MTcifQ==</vt:lpwstr>
  </property>
</Properties>
</file>