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F0162">
      <w:pPr>
        <w:pStyle w:val="2"/>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3.2.3  居民企业(查账征收)企业所得税月（季）度申报——1056</w:t>
      </w:r>
    </w:p>
    <w:p w14:paraId="70E8408B">
      <w:pPr>
        <w:pStyle w:val="2"/>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lang w:eastAsia="zh-CN"/>
        </w:rPr>
      </w:pPr>
    </w:p>
    <w:p w14:paraId="20F1404A">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bookmarkStart w:id="0" w:name="_GoBack"/>
      <w:r>
        <w:rPr>
          <w:rFonts w:hint="eastAsia" w:ascii="宋体" w:hAnsi="宋体" w:eastAsia="宋体" w:cs="宋体"/>
          <w:sz w:val="24"/>
          <w:szCs w:val="24"/>
          <w:highlight w:val="none"/>
        </w:rPr>
        <w:t>一、业务概述</w:t>
      </w:r>
    </w:p>
    <w:p w14:paraId="14F18690">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rPr>
        <w:t>实行查账征收方式申报企业所得税的</w:t>
      </w:r>
      <w:r>
        <w:rPr>
          <w:rFonts w:hint="eastAsia" w:ascii="宋体" w:hAnsi="宋体" w:eastAsia="宋体" w:cs="宋体"/>
          <w:kern w:val="0"/>
          <w:sz w:val="24"/>
          <w:szCs w:val="24"/>
          <w:highlight w:val="none"/>
        </w:rPr>
        <w:t>居民企业（包括境外注册中资控股居民企业）</w:t>
      </w:r>
      <w:r>
        <w:rPr>
          <w:rFonts w:hint="eastAsia" w:ascii="宋体" w:hAnsi="宋体" w:eastAsia="宋体" w:cs="宋体"/>
          <w:kern w:val="0"/>
          <w:sz w:val="24"/>
          <w:szCs w:val="24"/>
          <w:highlight w:val="none"/>
        </w:rPr>
        <w:t>应依照税收法律、法规、规章及其他有关规定，在规定的纳税期限内向税务机关提交</w:t>
      </w:r>
      <w:r>
        <w:rPr>
          <w:rFonts w:hint="eastAsia" w:ascii="宋体" w:hAnsi="宋体" w:eastAsia="宋体" w:cs="宋体"/>
          <w:kern w:val="0"/>
          <w:sz w:val="24"/>
          <w:szCs w:val="24"/>
          <w:highlight w:val="none"/>
        </w:rPr>
        <w:t>《A200000中华人民共和国企业所得税月（季）度预缴纳税申报表（A类）》</w:t>
      </w:r>
      <w:r>
        <w:rPr>
          <w:rFonts w:hint="eastAsia" w:ascii="宋体" w:hAnsi="宋体" w:eastAsia="宋体" w:cs="宋体"/>
          <w:kern w:val="0"/>
          <w:sz w:val="24"/>
          <w:szCs w:val="24"/>
          <w:highlight w:val="none"/>
        </w:rPr>
        <w:t>及其他相关资料，进行月（季）度预缴纳</w:t>
      </w:r>
      <w:r>
        <w:rPr>
          <w:rFonts w:hint="eastAsia" w:ascii="宋体" w:hAnsi="宋体" w:eastAsia="宋体" w:cs="宋体"/>
          <w:kern w:val="0"/>
          <w:sz w:val="24"/>
          <w:szCs w:val="24"/>
          <w:highlight w:val="none"/>
          <w:lang w:val="en-US" w:eastAsia="zh-CN"/>
        </w:rPr>
        <w:t xml:space="preserve"> </w:t>
      </w:r>
    </w:p>
    <w:p w14:paraId="4B26AAEE">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二、办理流程</w:t>
      </w:r>
    </w:p>
    <w:p w14:paraId="11A80537">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1、进入居民企业（查账征收）企业所得税月（季）度申报。</w:t>
      </w:r>
    </w:p>
    <w:p w14:paraId="2C669599">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2、填报报表、提交报表。</w:t>
      </w:r>
    </w:p>
    <w:p w14:paraId="31706DBA">
      <w:pPr>
        <w:pStyle w:val="10"/>
        <w:pageBreakBefore w:val="0"/>
        <w:kinsoku/>
        <w:wordWrap/>
        <w:overflowPunct/>
        <w:topLinePunct w:val="0"/>
        <w:autoSpaceDE/>
        <w:autoSpaceDN/>
        <w:bidi w:val="0"/>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3、缴纳税款，办结流程。</w:t>
      </w:r>
    </w:p>
    <w:p w14:paraId="6A6058D7">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三、功能路径</w:t>
      </w:r>
    </w:p>
    <w:p w14:paraId="48763AA5">
      <w:pPr>
        <w:pageBreakBefore w:val="0"/>
        <w:numPr>
          <w:ilvl w:val="0"/>
          <w:numId w:val="0"/>
        </w:numPr>
        <w:kinsoku/>
        <w:wordWrap/>
        <w:overflowPunct/>
        <w:topLinePunct w:val="0"/>
        <w:autoSpaceDE/>
        <w:autoSpaceDN/>
        <w:bidi w:val="0"/>
        <w:snapToGrid/>
        <w:spacing w:before="157" w:beforeLines="50" w:after="157" w:afterLines="50" w:line="360" w:lineRule="auto"/>
        <w:ind w:left="0" w:leftChars="0" w:firstLine="480" w:firstLineChars="200"/>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我要办税</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税费申报及缴纳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企业所得税申报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居民企业（查账征收）企业所得税月（季）度申报</w:t>
      </w:r>
      <w:r>
        <w:rPr>
          <w:rFonts w:hint="eastAsia" w:ascii="宋体" w:hAnsi="宋体" w:eastAsia="宋体" w:cs="宋体"/>
          <w:b w:val="0"/>
          <w:bCs/>
          <w:color w:val="auto"/>
          <w:sz w:val="24"/>
          <w:szCs w:val="24"/>
          <w:highlight w:val="none"/>
          <w:lang w:eastAsia="zh-CN"/>
        </w:rPr>
        <w:t>】；</w:t>
      </w:r>
    </w:p>
    <w:p w14:paraId="0FCDDC7F">
      <w:pPr>
        <w:pageBreakBefore w:val="0"/>
        <w:numPr>
          <w:ilvl w:val="0"/>
          <w:numId w:val="0"/>
        </w:numPr>
        <w:kinsoku/>
        <w:wordWrap/>
        <w:overflowPunct/>
        <w:topLinePunct w:val="0"/>
        <w:autoSpaceDE/>
        <w:autoSpaceDN/>
        <w:bidi w:val="0"/>
        <w:adjustRightInd w:val="0"/>
        <w:snapToGrid/>
        <w:spacing w:before="157" w:beforeLines="50" w:after="157" w:afterLines="50" w:line="360" w:lineRule="auto"/>
        <w:ind w:firstLine="480" w:firstLineChars="200"/>
        <w:textAlignment w:val="auto"/>
        <w:outlineLvl w:val="9"/>
        <w:rPr>
          <w:rFonts w:hint="eastAsia" w:ascii="宋体" w:hAnsi="宋体" w:eastAsia="宋体" w:cs="宋体"/>
          <w:b w:val="0"/>
          <w:bCs/>
          <w:i w:val="0"/>
          <w:iCs w:val="0"/>
          <w:caps w:val="0"/>
          <w:color w:val="auto"/>
          <w:spacing w:val="0"/>
          <w:sz w:val="24"/>
          <w:szCs w:val="24"/>
          <w:highlight w:val="none"/>
          <w:shd w:val="clear" w:color="auto" w:fill="FFFFFF"/>
          <w:lang w:val="en-US"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通过首页搜索栏输入关键字</w:t>
      </w:r>
      <w:r>
        <w:rPr>
          <w:rFonts w:hint="eastAsia" w:ascii="宋体" w:hAnsi="宋体" w:eastAsia="宋体" w:cs="宋体"/>
          <w:bCs/>
          <w:color w:val="auto"/>
          <w:sz w:val="24"/>
          <w:szCs w:val="24"/>
          <w:highlight w:val="none"/>
          <w:lang w:val="en-US" w:eastAsia="zh-CN"/>
        </w:rPr>
        <w:t>查找</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居民企业（查账征收）企业所得税月（季）度申报”进入</w:t>
      </w:r>
      <w:r>
        <w:rPr>
          <w:rFonts w:hint="eastAsia" w:ascii="宋体" w:hAnsi="宋体" w:eastAsia="宋体" w:cs="宋体"/>
          <w:bCs/>
          <w:color w:val="auto"/>
          <w:sz w:val="24"/>
          <w:szCs w:val="24"/>
          <w:highlight w:val="none"/>
        </w:rPr>
        <w:t>。</w:t>
      </w:r>
    </w:p>
    <w:p w14:paraId="2468D988">
      <w:pPr>
        <w:pStyle w:val="2"/>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Hans"/>
        </w:rPr>
        <w:t>通</w:t>
      </w:r>
      <w:r>
        <w:rPr>
          <w:rFonts w:hint="eastAsia" w:ascii="宋体" w:hAnsi="宋体" w:eastAsia="宋体" w:cs="宋体"/>
          <w:bCs/>
          <w:color w:val="auto"/>
          <w:sz w:val="24"/>
          <w:szCs w:val="24"/>
          <w:highlight w:val="none"/>
          <w:lang w:eastAsia="zh-CN"/>
        </w:rPr>
        <w:t>过应申报提示提醒信息申报链接进入</w:t>
      </w:r>
      <w:r>
        <w:rPr>
          <w:rFonts w:hint="eastAsia" w:ascii="宋体" w:hAnsi="宋体" w:eastAsia="宋体" w:cs="宋体"/>
          <w:b w:val="0"/>
          <w:bCs/>
          <w:color w:val="auto"/>
          <w:sz w:val="24"/>
          <w:szCs w:val="24"/>
          <w:highlight w:val="none"/>
          <w:lang w:val="en-US" w:eastAsia="zh-CN"/>
        </w:rPr>
        <w:t>居民企业（查账征收）企业所得税月（季）度申报</w:t>
      </w:r>
      <w:r>
        <w:rPr>
          <w:rFonts w:hint="eastAsia" w:ascii="宋体" w:hAnsi="宋体" w:eastAsia="宋体" w:cs="宋体"/>
          <w:bCs/>
          <w:color w:val="auto"/>
          <w:sz w:val="24"/>
          <w:szCs w:val="24"/>
          <w:highlight w:val="none"/>
          <w:lang w:eastAsia="zh-CN"/>
        </w:rPr>
        <w:t>功能界面。</w:t>
      </w:r>
    </w:p>
    <w:p w14:paraId="6449A72C">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四</w:t>
      </w:r>
      <w:r>
        <w:rPr>
          <w:rFonts w:hint="eastAsia" w:ascii="宋体" w:hAnsi="宋体" w:eastAsia="宋体" w:cs="宋体"/>
          <w:b/>
          <w:sz w:val="24"/>
          <w:szCs w:val="24"/>
          <w:highlight w:val="none"/>
        </w:rPr>
        <w:t>、操作步骤</w:t>
      </w:r>
    </w:p>
    <w:p w14:paraId="4BABCF49">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温馨提示：建议纳税人在申报期内先报送财务报表，再申报同期企业所得税。</w:t>
      </w:r>
    </w:p>
    <w:p w14:paraId="62ABCEDD">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1、纳税人可以通过以下两种方式进入申报界面</w:t>
      </w:r>
    </w:p>
    <w:p w14:paraId="5185D988">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（1）点击【我要办税】—【税费申报及缴纳】，选择【居民企业（查账征收）企业所得税月（季）度申报】进入申报界面。</w:t>
      </w:r>
    </w:p>
    <w:p w14:paraId="5F3C655D">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drawing>
          <wp:inline distT="0" distB="0" distL="114300" distR="114300">
            <wp:extent cx="5266690" cy="2378075"/>
            <wp:effectExtent l="0" t="0" r="10160" b="3175"/>
            <wp:docPr id="2" name="图片 2" descr="171195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958240(1)"/>
                    <pic:cNvPicPr>
                      <a:picLocks noChangeAspect="1"/>
                    </pic:cNvPicPr>
                  </pic:nvPicPr>
                  <pic:blipFill>
                    <a:blip r:embed="rId4" cstate="print"/>
                    <a:stretch>
                      <a:fillRect/>
                    </a:stretch>
                  </pic:blipFill>
                  <pic:spPr>
                    <a:xfrm>
                      <a:off x="0" y="0"/>
                      <a:ext cx="5266690" cy="2378075"/>
                    </a:xfrm>
                    <a:prstGeom prst="rect">
                      <a:avLst/>
                    </a:prstGeom>
                  </pic:spPr>
                </pic:pic>
              </a:graphicData>
            </a:graphic>
          </wp:inline>
        </w:drawing>
      </w:r>
    </w:p>
    <w:p w14:paraId="6864CE5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（2）也可以直接在首页【我的待办】—【本期应申报】找到对应事项，点击【填写申报表】进入申报界面。</w:t>
      </w:r>
    </w:p>
    <w:p w14:paraId="2A68E3ED">
      <w:pPr>
        <w:pStyle w:val="2"/>
        <w:pageBreakBefore w:val="0"/>
        <w:kinsoku/>
        <w:wordWrap/>
        <w:overflowPunct/>
        <w:topLinePunct w:val="0"/>
        <w:autoSpaceDE/>
        <w:autoSpaceDN/>
        <w:bidi w:val="0"/>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4310" cy="1597025"/>
            <wp:effectExtent l="0" t="0" r="2540" b="3175"/>
            <wp:docPr id="3" name="图片 3" descr="1711959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1959140(1)"/>
                    <pic:cNvPicPr>
                      <a:picLocks noChangeAspect="1"/>
                    </pic:cNvPicPr>
                  </pic:nvPicPr>
                  <pic:blipFill>
                    <a:blip r:embed="rId5"/>
                    <a:stretch>
                      <a:fillRect/>
                    </a:stretch>
                  </pic:blipFill>
                  <pic:spPr>
                    <a:xfrm>
                      <a:off x="0" y="0"/>
                      <a:ext cx="5274310" cy="1597025"/>
                    </a:xfrm>
                    <a:prstGeom prst="rect">
                      <a:avLst/>
                    </a:prstGeom>
                  </pic:spPr>
                </pic:pic>
              </a:graphicData>
            </a:graphic>
          </wp:inline>
        </w:drawing>
      </w:r>
    </w:p>
    <w:p w14:paraId="3A435937">
      <w:pPr>
        <w:pStyle w:val="2"/>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56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2、在进入申报界面时，系统对登录账号进行申报前置校验，如果纳税人未报送同期财务报表，提醒企业先报送财务报表，并提供报送链接</w:t>
      </w:r>
      <w:r>
        <w:rPr>
          <w:rFonts w:hint="eastAsia" w:ascii="宋体" w:hAnsi="宋体" w:eastAsia="宋体" w:cs="宋体"/>
          <w:sz w:val="24"/>
          <w:szCs w:val="24"/>
          <w:highlight w:val="none"/>
        </w:rPr>
        <w:t>【去报送】</w:t>
      </w:r>
      <w:r>
        <w:rPr>
          <w:rFonts w:hint="eastAsia" w:ascii="宋体" w:hAnsi="宋体" w:eastAsia="宋体" w:cs="宋体"/>
          <w:kern w:val="2"/>
          <w:sz w:val="24"/>
          <w:szCs w:val="24"/>
          <w:highlight w:val="none"/>
        </w:rPr>
        <w:t>，也可以点击</w:t>
      </w:r>
      <w:r>
        <w:rPr>
          <w:rFonts w:hint="eastAsia" w:ascii="宋体" w:hAnsi="宋体" w:eastAsia="宋体" w:cs="宋体"/>
          <w:sz w:val="24"/>
          <w:szCs w:val="24"/>
          <w:highlight w:val="none"/>
        </w:rPr>
        <w:t>【继续办理】进入申报界面，</w:t>
      </w:r>
      <w:r>
        <w:rPr>
          <w:rFonts w:hint="eastAsia" w:ascii="宋体" w:hAnsi="宋体" w:eastAsia="宋体" w:cs="宋体"/>
          <w:kern w:val="2"/>
          <w:sz w:val="24"/>
          <w:szCs w:val="24"/>
          <w:highlight w:val="none"/>
        </w:rPr>
        <w:t>如下图：</w:t>
      </w:r>
    </w:p>
    <w:p w14:paraId="6EC5F385">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114300" distR="114300">
            <wp:extent cx="5267325" cy="2383790"/>
            <wp:effectExtent l="0" t="0" r="952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cstate="print"/>
                    <a:stretch>
                      <a:fillRect/>
                    </a:stretch>
                  </pic:blipFill>
                  <pic:spPr>
                    <a:xfrm>
                      <a:off x="0" y="0"/>
                      <a:ext cx="5267325" cy="2383790"/>
                    </a:xfrm>
                    <a:prstGeom prst="rect">
                      <a:avLst/>
                    </a:prstGeom>
                    <a:noFill/>
                    <a:ln>
                      <a:noFill/>
                    </a:ln>
                  </pic:spPr>
                </pic:pic>
              </a:graphicData>
            </a:graphic>
          </wp:inline>
        </w:drawing>
      </w:r>
    </w:p>
    <w:p w14:paraId="30FB3EA2">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进入功能后，</w:t>
      </w:r>
      <w:r>
        <w:rPr>
          <w:rFonts w:hint="eastAsia" w:ascii="宋体" w:hAnsi="宋体" w:eastAsia="宋体" w:cs="宋体"/>
          <w:sz w:val="24"/>
          <w:szCs w:val="24"/>
          <w:highlight w:val="none"/>
        </w:rPr>
        <w:t>根据纳税人身份特征和历史涉税行为，系统自动匹配申报模式，分别为确认式申报、补录式申报、填表式申报</w:t>
      </w:r>
      <w:r>
        <w:rPr>
          <w:rFonts w:hint="eastAsia" w:ascii="宋体" w:hAnsi="宋体" w:eastAsia="宋体" w:cs="宋体"/>
          <w:sz w:val="24"/>
          <w:szCs w:val="24"/>
          <w:highlight w:val="none"/>
        </w:rPr>
        <w:t>。</w:t>
      </w:r>
    </w:p>
    <w:p w14:paraId="064DEDA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（1）若纳税人为确认式申报模式</w:t>
      </w:r>
    </w:p>
    <w:p w14:paraId="76AB9C0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确认式申报主体是跨地区经营汇总纳税企业分支机构。</w:t>
      </w:r>
    </w:p>
    <w:p w14:paraId="04E1C40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纳税人只需确认或填报分支机构本期分摊比例和分支机构本期分摊应补（退）所得税额。如下图:</w:t>
      </w:r>
    </w:p>
    <w:p w14:paraId="4E87116C">
      <w:pPr>
        <w:pStyle w:val="2"/>
        <w:pageBreakBefore w:val="0"/>
        <w:kinsoku/>
        <w:wordWrap/>
        <w:overflowPunct/>
        <w:topLinePunct w:val="0"/>
        <w:autoSpaceDE/>
        <w:autoSpaceDN/>
        <w:bidi w:val="0"/>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690" cy="2075815"/>
            <wp:effectExtent l="0" t="0" r="1016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cstate="print"/>
                    <a:stretch>
                      <a:fillRect/>
                    </a:stretch>
                  </pic:blipFill>
                  <pic:spPr>
                    <a:xfrm>
                      <a:off x="0" y="0"/>
                      <a:ext cx="5266690" cy="2075815"/>
                    </a:xfrm>
                    <a:prstGeom prst="rect">
                      <a:avLst/>
                    </a:prstGeom>
                    <a:noFill/>
                    <a:ln>
                      <a:noFill/>
                    </a:ln>
                  </pic:spPr>
                </pic:pic>
              </a:graphicData>
            </a:graphic>
          </wp:inline>
        </w:drawing>
      </w:r>
    </w:p>
    <w:p w14:paraId="700784B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（2）若纳税人为补录式申报模式</w:t>
      </w:r>
    </w:p>
    <w:p w14:paraId="23FA904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补录式申报模式又分为按照税务机关确定的其他方法预缴、一键零申报、简易申报3种模式。</w:t>
      </w:r>
    </w:p>
    <w:p w14:paraId="0FB1C95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①按照税务机关确定的其他方法预缴</w:t>
      </w:r>
    </w:p>
    <w:p w14:paraId="110B074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按照税务机关确定的其他方法预缴，纳税人只需填报“税务机关确定的本期应纳所得税额”、“季末从业人数”、“季末资产总额（万元）”即可,如下图：</w:t>
      </w:r>
    </w:p>
    <w:p w14:paraId="73F33F63">
      <w:pPr>
        <w:pStyle w:val="2"/>
        <w:pageBreakBefore w:val="0"/>
        <w:kinsoku/>
        <w:wordWrap/>
        <w:overflowPunct/>
        <w:topLinePunct w:val="0"/>
        <w:autoSpaceDE/>
        <w:autoSpaceDN/>
        <w:bidi w:val="0"/>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81295" cy="2153920"/>
            <wp:effectExtent l="0" t="0" r="14605" b="17780"/>
            <wp:docPr id="6" name="图片 4" descr="550a59eaa5e9287b4b555e980aab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50a59eaa5e9287b4b555e980aabcad"/>
                    <pic:cNvPicPr>
                      <a:picLocks noChangeAspect="1"/>
                    </pic:cNvPicPr>
                  </pic:nvPicPr>
                  <pic:blipFill>
                    <a:blip r:embed="rId8" cstate="print"/>
                    <a:srcRect l="-313" t="10419"/>
                    <a:stretch>
                      <a:fillRect/>
                    </a:stretch>
                  </pic:blipFill>
                  <pic:spPr>
                    <a:xfrm>
                      <a:off x="0" y="0"/>
                      <a:ext cx="5281295" cy="2153920"/>
                    </a:xfrm>
                    <a:prstGeom prst="rect">
                      <a:avLst/>
                    </a:prstGeom>
                    <a:noFill/>
                    <a:ln>
                      <a:noFill/>
                    </a:ln>
                  </pic:spPr>
                </pic:pic>
              </a:graphicData>
            </a:graphic>
          </wp:inline>
        </w:drawing>
      </w:r>
    </w:p>
    <w:p w14:paraId="31DE0FB7">
      <w:pPr>
        <w:pageBreakBefore w:val="0"/>
        <w:kinsoku/>
        <w:wordWrap/>
        <w:overflowPunct/>
        <w:topLinePunct w:val="0"/>
        <w:autoSpaceDE/>
        <w:autoSpaceDN/>
        <w:bidi w:val="0"/>
        <w:snapToGrid/>
        <w:spacing w:before="157" w:beforeLines="50" w:after="157" w:afterLines="50"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注意：</w:t>
      </w:r>
      <w:r>
        <w:rPr>
          <w:rFonts w:hint="eastAsia" w:ascii="宋体" w:hAnsi="宋体" w:eastAsia="宋体" w:cs="宋体"/>
          <w:sz w:val="24"/>
          <w:szCs w:val="24"/>
          <w:highlight w:val="none"/>
        </w:rPr>
        <w:t>按照税务机关确定的其他方法预缴是指纳税人存在《企业所得税预缴方式（实际利润额以外）核定通知书》，且核定结果为按照税务机关确定的其他方法预缴。</w:t>
      </w:r>
    </w:p>
    <w:p w14:paraId="0CA2256D">
      <w:pPr>
        <w:pageBreakBefore w:val="0"/>
        <w:kinsoku/>
        <w:wordWrap/>
        <w:overflowPunct/>
        <w:topLinePunct w:val="0"/>
        <w:autoSpaceDE/>
        <w:autoSpaceDN/>
        <w:bidi w:val="0"/>
        <w:snapToGrid/>
        <w:spacing w:before="157" w:beforeLines="50" w:after="157" w:afterLines="5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②一键零申报模式</w:t>
      </w:r>
    </w:p>
    <w:p w14:paraId="5402C6EC">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纳税人符合一键零申报条件，系统会自动弹出提示“本申报模式只能申报营业收入、营业成本、利润总额均为0的企业，点击确定，继续本次申报；否则，点击取消。”</w:t>
      </w:r>
    </w:p>
    <w:p w14:paraId="636E83E5">
      <w:pPr>
        <w:pStyle w:val="2"/>
        <w:pageBreakBefore w:val="0"/>
        <w:kinsoku/>
        <w:wordWrap/>
        <w:overflowPunct/>
        <w:topLinePunct w:val="0"/>
        <w:autoSpaceDE/>
        <w:autoSpaceDN/>
        <w:bidi w:val="0"/>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8595" cy="2016125"/>
            <wp:effectExtent l="0" t="0" r="825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cstate="print"/>
                    <a:stretch>
                      <a:fillRect/>
                    </a:stretch>
                  </pic:blipFill>
                  <pic:spPr>
                    <a:xfrm>
                      <a:off x="0" y="0"/>
                      <a:ext cx="5268595" cy="2016125"/>
                    </a:xfrm>
                    <a:prstGeom prst="rect">
                      <a:avLst/>
                    </a:prstGeom>
                    <a:noFill/>
                    <a:ln>
                      <a:noFill/>
                    </a:ln>
                  </pic:spPr>
                </pic:pic>
              </a:graphicData>
            </a:graphic>
          </wp:inline>
        </w:drawing>
      </w:r>
    </w:p>
    <w:p w14:paraId="647F81AA">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当纳税人点击【确定】时，后台自动匹配2张附表信息，纳税人只需填报“季末从业人数”、“季末资产总额（万元）”即可（当年一季度申报时还需填报“季初从业人数”和“季初资产总额”），其他数据项默认为0，不可修改。如下图:</w:t>
      </w:r>
    </w:p>
    <w:p w14:paraId="7413E09A">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7960" cy="244094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cstate="print"/>
                    <a:srcRect t="11652"/>
                    <a:stretch>
                      <a:fillRect/>
                    </a:stretch>
                  </pic:blipFill>
                  <pic:spPr>
                    <a:xfrm>
                      <a:off x="0" y="0"/>
                      <a:ext cx="5267960" cy="2440940"/>
                    </a:xfrm>
                    <a:prstGeom prst="rect">
                      <a:avLst/>
                    </a:prstGeom>
                    <a:noFill/>
                    <a:ln>
                      <a:noFill/>
                    </a:ln>
                  </pic:spPr>
                </pic:pic>
              </a:graphicData>
            </a:graphic>
          </wp:inline>
        </w:drawing>
      </w:r>
    </w:p>
    <w:p w14:paraId="3A3CADB1">
      <w:pPr>
        <w:pStyle w:val="10"/>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当纳税人点击【取消】时，结束本规则，进入填表式申报。</w:t>
      </w:r>
    </w:p>
    <w:p w14:paraId="5BCB29A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③简易申报模式</w:t>
      </w:r>
    </w:p>
    <w:p w14:paraId="785D7F9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若纳税人符合简易申报条件，则系统初始化弹框提示：“您符合简易申报条件，是否确定简易申报？”，如下图：</w:t>
      </w:r>
    </w:p>
    <w:p w14:paraId="59E6F1A4">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690" cy="2193925"/>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cstate="print"/>
                    <a:srcRect t="1819"/>
                    <a:stretch>
                      <a:fillRect/>
                    </a:stretch>
                  </pic:blipFill>
                  <pic:spPr>
                    <a:xfrm>
                      <a:off x="0" y="0"/>
                      <a:ext cx="5266690" cy="2193925"/>
                    </a:xfrm>
                    <a:prstGeom prst="rect">
                      <a:avLst/>
                    </a:prstGeom>
                    <a:noFill/>
                    <a:ln>
                      <a:noFill/>
                    </a:ln>
                  </pic:spPr>
                </pic:pic>
              </a:graphicData>
            </a:graphic>
          </wp:inline>
        </w:drawing>
      </w:r>
    </w:p>
    <w:p w14:paraId="6946D125">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点击【确定】按钮进入简易申报界面，数据由系统进行预填，由纳税人进行确认，可进行修改。如下图:</w:t>
      </w:r>
    </w:p>
    <w:p w14:paraId="7902240D">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7960" cy="2553335"/>
            <wp:effectExtent l="0" t="0" r="8890"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cstate="print"/>
                    <a:srcRect t="8655"/>
                    <a:stretch>
                      <a:fillRect/>
                    </a:stretch>
                  </pic:blipFill>
                  <pic:spPr>
                    <a:xfrm>
                      <a:off x="0" y="0"/>
                      <a:ext cx="5267960" cy="2553335"/>
                    </a:xfrm>
                    <a:prstGeom prst="rect">
                      <a:avLst/>
                    </a:prstGeom>
                    <a:noFill/>
                    <a:ln>
                      <a:noFill/>
                    </a:ln>
                  </pic:spPr>
                </pic:pic>
              </a:graphicData>
            </a:graphic>
          </wp:inline>
        </w:drawing>
      </w:r>
    </w:p>
    <w:p w14:paraId="223BB635">
      <w:pPr>
        <w:pStyle w:val="10"/>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当纳税人点击【取消】时，结束本规则，进入填表式申报。</w:t>
      </w:r>
    </w:p>
    <w:p w14:paraId="486F87F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注意：</w:t>
      </w:r>
      <w:r>
        <w:rPr>
          <w:rFonts w:hint="eastAsia" w:ascii="宋体" w:hAnsi="宋体" w:eastAsia="宋体" w:cs="宋体"/>
          <w:sz w:val="24"/>
          <w:szCs w:val="24"/>
          <w:highlight w:val="none"/>
        </w:rPr>
        <w:t>系统依据纳税人企业类型、企业所得税预缴方式、往期企业所得税预缴申报情况、享受优惠情况、发票开具情况、财务报表数据等判断是否适用一键零申报或简易申报方式。</w:t>
      </w:r>
    </w:p>
    <w:p w14:paraId="342332F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（3）若纳税人为填表式申报</w:t>
      </w:r>
    </w:p>
    <w:p w14:paraId="26E594F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①纳税人按表单样式进行填写。如下图：</w:t>
      </w:r>
    </w:p>
    <w:p w14:paraId="0DBBEEE5">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397760"/>
            <wp:effectExtent l="0" t="0" r="4445" b="25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cstate="print"/>
                    <a:stretch>
                      <a:fillRect/>
                    </a:stretch>
                  </pic:blipFill>
                  <pic:spPr>
                    <a:xfrm>
                      <a:off x="0" y="0"/>
                      <a:ext cx="5272405" cy="2397760"/>
                    </a:xfrm>
                    <a:prstGeom prst="rect">
                      <a:avLst/>
                    </a:prstGeom>
                    <a:noFill/>
                    <a:ln>
                      <a:noFill/>
                    </a:ln>
                  </pic:spPr>
                </pic:pic>
              </a:graphicData>
            </a:graphic>
          </wp:inline>
        </w:drawing>
      </w:r>
    </w:p>
    <w:p w14:paraId="77C0DCBA">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②若纳税人需填报其他表单，如《资产加速折旧、摊销（扣除）优惠明细表》，则点击左侧报表列表进行切换。如下图：</w:t>
      </w:r>
    </w:p>
    <w:p w14:paraId="1E3CA432">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2390140"/>
            <wp:effectExtent l="0" t="0" r="3175" b="1016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cstate="print"/>
                    <a:stretch>
                      <a:fillRect/>
                    </a:stretch>
                  </pic:blipFill>
                  <pic:spPr>
                    <a:xfrm>
                      <a:off x="0" y="0"/>
                      <a:ext cx="5273675" cy="2390140"/>
                    </a:xfrm>
                    <a:prstGeom prst="rect">
                      <a:avLst/>
                    </a:prstGeom>
                    <a:noFill/>
                    <a:ln>
                      <a:noFill/>
                    </a:ln>
                  </pic:spPr>
                </pic:pic>
              </a:graphicData>
            </a:graphic>
          </wp:inline>
        </w:drawing>
      </w:r>
    </w:p>
    <w:p w14:paraId="59AE76E2">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③若纳税人存在免税收入、减计收入、加计扣除、所得减免或减免所得税额情形，可点击主表第7、8、13栏的“填写优惠事项”按钮，弹出对应界面进行勾选和填写。如下图：</w:t>
      </w:r>
    </w:p>
    <w:p w14:paraId="0114F56E">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9865" cy="2386330"/>
            <wp:effectExtent l="0" t="0" r="6985" b="139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cstate="print"/>
                    <a:stretch>
                      <a:fillRect/>
                    </a:stretch>
                  </pic:blipFill>
                  <pic:spPr>
                    <a:xfrm>
                      <a:off x="0" y="0"/>
                      <a:ext cx="5269865" cy="2386330"/>
                    </a:xfrm>
                    <a:prstGeom prst="rect">
                      <a:avLst/>
                    </a:prstGeom>
                    <a:noFill/>
                    <a:ln>
                      <a:noFill/>
                    </a:ln>
                  </pic:spPr>
                </pic:pic>
              </a:graphicData>
            </a:graphic>
          </wp:inline>
        </w:drawing>
      </w:r>
    </w:p>
    <w:p w14:paraId="15237A02">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2390140"/>
            <wp:effectExtent l="0" t="0" r="10795"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cstate="print"/>
                    <a:stretch>
                      <a:fillRect/>
                    </a:stretch>
                  </pic:blipFill>
                  <pic:spPr>
                    <a:xfrm>
                      <a:off x="0" y="0"/>
                      <a:ext cx="5266055" cy="2390140"/>
                    </a:xfrm>
                    <a:prstGeom prst="rect">
                      <a:avLst/>
                    </a:prstGeom>
                    <a:noFill/>
                    <a:ln>
                      <a:noFill/>
                    </a:ln>
                  </pic:spPr>
                </pic:pic>
              </a:graphicData>
            </a:graphic>
          </wp:inline>
        </w:drawing>
      </w:r>
    </w:p>
    <w:p w14:paraId="2572756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4、提交申报</w:t>
      </w:r>
    </w:p>
    <w:p w14:paraId="3765809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填报完成后，点击【提交申报】，系统提示是否需要进行风险扫描，纳税人可点击【风险提示服务】进行风险扫描，也可点击【提交申报】提交申报表。如下图：</w:t>
      </w:r>
    </w:p>
    <w:p w14:paraId="40DF048E">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114300" distR="114300">
            <wp:extent cx="5269865" cy="2385695"/>
            <wp:effectExtent l="0" t="0" r="6985" b="146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5269865" cy="2385695"/>
                    </a:xfrm>
                    <a:prstGeom prst="rect">
                      <a:avLst/>
                    </a:prstGeom>
                    <a:noFill/>
                    <a:ln>
                      <a:noFill/>
                    </a:ln>
                  </pic:spPr>
                </pic:pic>
              </a:graphicData>
            </a:graphic>
          </wp:inline>
        </w:drawing>
      </w:r>
    </w:p>
    <w:p w14:paraId="7C313A27">
      <w:pPr>
        <w:pStyle w:val="10"/>
        <w:pageBreakBefore w:val="0"/>
        <w:kinsoku/>
        <w:wordWrap/>
        <w:overflowPunct/>
        <w:topLinePunct w:val="0"/>
        <w:autoSpaceDE/>
        <w:autoSpaceDN/>
        <w:bidi w:val="0"/>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若纳税人选择【风险提示服务】，则会将申报数据传递后台进行数据风险比对，扫描比对未通过的，系统会将风险事项进行提示，纳税人可返回修改表单，也可点击【继续申报】；</w:t>
      </w:r>
    </w:p>
    <w:p w14:paraId="20A8E93C">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114300" distR="114300">
            <wp:extent cx="5273675" cy="2378075"/>
            <wp:effectExtent l="0" t="0" r="3175" b="31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cstate="print"/>
                    <a:stretch>
                      <a:fillRect/>
                    </a:stretch>
                  </pic:blipFill>
                  <pic:spPr>
                    <a:xfrm>
                      <a:off x="0" y="0"/>
                      <a:ext cx="5273675" cy="2378075"/>
                    </a:xfrm>
                    <a:prstGeom prst="rect">
                      <a:avLst/>
                    </a:prstGeom>
                    <a:noFill/>
                    <a:ln>
                      <a:noFill/>
                    </a:ln>
                  </pic:spPr>
                </pic:pic>
              </a:graphicData>
            </a:graphic>
          </wp:inline>
        </w:drawing>
      </w:r>
    </w:p>
    <w:p w14:paraId="0BDD0C52">
      <w:pPr>
        <w:pStyle w:val="6"/>
        <w:pageBreakBefore w:val="0"/>
        <w:kinsoku/>
        <w:wordWrap/>
        <w:overflowPunct/>
        <w:topLinePunct w:val="0"/>
        <w:autoSpaceDE/>
        <w:autoSpaceDN/>
        <w:bidi w:val="0"/>
        <w:snapToGrid/>
        <w:spacing w:before="157" w:beforeLines="50" w:after="157" w:afterLines="50"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纳税人确认申报信息后，在输入框依次输入“真”、“实”、“责”、“任”4个字，点击【确定】提交申报；也可点击“取消”再次确认申报信息。</w:t>
      </w:r>
    </w:p>
    <w:p w14:paraId="16A22DB6">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2382520"/>
            <wp:effectExtent l="0" t="0" r="10795" b="1778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cstate="print"/>
                    <a:stretch>
                      <a:fillRect/>
                    </a:stretch>
                  </pic:blipFill>
                  <pic:spPr>
                    <a:xfrm>
                      <a:off x="0" y="0"/>
                      <a:ext cx="5266055" cy="2382520"/>
                    </a:xfrm>
                    <a:prstGeom prst="rect">
                      <a:avLst/>
                    </a:prstGeom>
                    <a:noFill/>
                    <a:ln>
                      <a:noFill/>
                    </a:ln>
                  </pic:spPr>
                </pic:pic>
              </a:graphicData>
            </a:graphic>
          </wp:inline>
        </w:drawing>
      </w:r>
    </w:p>
    <w:p w14:paraId="461FCD6D">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5、缴款</w:t>
      </w:r>
    </w:p>
    <w:p w14:paraId="011A92DC">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纳税人申报成功后，可以通过点击【立即缴款】立即进行税款缴纳，完成本次申报涉及的税费款缴纳。</w:t>
      </w:r>
    </w:p>
    <w:p w14:paraId="0A938A05">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p>
    <w:p w14:paraId="4C561A38">
      <w:pPr>
        <w:pStyle w:val="2"/>
        <w:pageBreakBefore w:val="0"/>
        <w:kinsoku/>
        <w:wordWrap/>
        <w:overflowPunct/>
        <w:topLinePunct w:val="0"/>
        <w:autoSpaceDE/>
        <w:autoSpaceDN/>
        <w:bidi w:val="0"/>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1610" cy="2285365"/>
            <wp:effectExtent l="0" t="0" r="15240" b="63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0" cstate="print"/>
                    <a:stretch>
                      <a:fillRect/>
                    </a:stretch>
                  </pic:blipFill>
                  <pic:spPr>
                    <a:xfrm>
                      <a:off x="0" y="0"/>
                      <a:ext cx="5261610" cy="2285365"/>
                    </a:xfrm>
                    <a:prstGeom prst="rect">
                      <a:avLst/>
                    </a:prstGeom>
                    <a:noFill/>
                    <a:ln>
                      <a:noFill/>
                    </a:ln>
                  </pic:spPr>
                </pic:pic>
              </a:graphicData>
            </a:graphic>
          </wp:inline>
        </w:drawing>
      </w:r>
    </w:p>
    <w:p w14:paraId="6BD55465">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6、其他申报辅助功能</w:t>
      </w:r>
    </w:p>
    <w:p w14:paraId="5D5D0B18">
      <w:pPr>
        <w:pStyle w:val="2"/>
        <w:pageBreakBefore w:val="0"/>
        <w:kinsoku/>
        <w:wordWrap/>
        <w:overflowPunct/>
        <w:topLinePunct w:val="0"/>
        <w:autoSpaceDE/>
        <w:autoSpaceDN/>
        <w:bidi w:val="0"/>
        <w:snapToGrid/>
        <w:spacing w:before="157" w:beforeLines="50" w:after="157" w:afterLines="50" w:line="360" w:lineRule="auto"/>
        <w:ind w:firstLine="560"/>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rPr>
        <w:t>申报界面提供了【异</w:t>
      </w:r>
      <w:r>
        <w:rPr>
          <w:rFonts w:hint="eastAsia" w:ascii="宋体" w:hAnsi="宋体" w:eastAsia="宋体" w:cs="宋体"/>
          <w:kern w:val="2"/>
          <w:sz w:val="24"/>
          <w:szCs w:val="24"/>
          <w:highlight w:val="none"/>
          <w:lang w:val="en-US" w:eastAsia="zh-CN"/>
        </w:rPr>
        <w:t>地</w:t>
      </w:r>
      <w:r>
        <w:rPr>
          <w:rFonts w:hint="eastAsia" w:ascii="宋体" w:hAnsi="宋体" w:eastAsia="宋体" w:cs="宋体"/>
          <w:kern w:val="2"/>
          <w:sz w:val="24"/>
          <w:szCs w:val="24"/>
          <w:highlight w:val="none"/>
        </w:rPr>
        <w:t>预缴税款查询】等申报辅助功能，便于纳税人操作。</w:t>
      </w:r>
      <w:r>
        <w:rPr>
          <w:rFonts w:hint="eastAsia" w:ascii="宋体" w:hAnsi="宋体" w:eastAsia="宋体" w:cs="宋体"/>
          <w:sz w:val="24"/>
          <w:szCs w:val="24"/>
          <w:highlight w:val="none"/>
        </w:rPr>
        <w:drawing>
          <wp:inline distT="0" distB="0" distL="114300" distR="114300">
            <wp:extent cx="5272405" cy="2376170"/>
            <wp:effectExtent l="0" t="0" r="4445" b="508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272405" cy="2376170"/>
                    </a:xfrm>
                    <a:prstGeom prst="rect">
                      <a:avLst/>
                    </a:prstGeom>
                    <a:noFill/>
                    <a:ln>
                      <a:noFill/>
                    </a:ln>
                  </pic:spPr>
                </pic:pic>
              </a:graphicData>
            </a:graphic>
          </wp:inline>
        </w:drawing>
      </w:r>
    </w:p>
    <w:p w14:paraId="53720A55">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t>【异</w:t>
      </w:r>
      <w:r>
        <w:rPr>
          <w:rFonts w:hint="eastAsia" w:ascii="宋体" w:hAnsi="宋体" w:eastAsia="宋体" w:cs="宋体"/>
          <w:sz w:val="24"/>
          <w:szCs w:val="24"/>
          <w:highlight w:val="none"/>
          <w:lang w:val="en-US" w:eastAsia="zh-CN"/>
        </w:rPr>
        <w:t>地</w:t>
      </w:r>
      <w:r>
        <w:rPr>
          <w:rFonts w:hint="eastAsia" w:ascii="宋体" w:hAnsi="宋体" w:eastAsia="宋体" w:cs="宋体"/>
          <w:sz w:val="24"/>
          <w:szCs w:val="24"/>
          <w:highlight w:val="none"/>
        </w:rPr>
        <w:t>预缴税款查询】：建筑业纳税人点击以后，可以查看在项目部所在地预缴企业所得税情况。</w:t>
      </w:r>
    </w:p>
    <w:p w14:paraId="3DA14304">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2880" cy="2387600"/>
            <wp:effectExtent l="0" t="0" r="13970" b="1270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2"/>
                    <a:stretch>
                      <a:fillRect/>
                    </a:stretch>
                  </pic:blipFill>
                  <pic:spPr>
                    <a:xfrm>
                      <a:off x="0" y="0"/>
                      <a:ext cx="5262880" cy="2387600"/>
                    </a:xfrm>
                    <a:prstGeom prst="rect">
                      <a:avLst/>
                    </a:prstGeom>
                    <a:noFill/>
                    <a:ln>
                      <a:noFill/>
                    </a:ln>
                  </pic:spPr>
                </pic:pic>
              </a:graphicData>
            </a:graphic>
          </wp:inline>
        </w:drawing>
      </w:r>
    </w:p>
    <w:p w14:paraId="32993B6A">
      <w:pPr>
        <w:pStyle w:val="2"/>
        <w:pageBreakBefore w:val="0"/>
        <w:kinsoku/>
        <w:wordWrap/>
        <w:overflowPunct/>
        <w:topLinePunct w:val="0"/>
        <w:autoSpaceDE/>
        <w:autoSpaceDN/>
        <w:bidi w:val="0"/>
        <w:snapToGrid/>
        <w:spacing w:before="157" w:beforeLines="50" w:after="157" w:afterLines="50" w:line="360" w:lineRule="auto"/>
        <w:ind w:firstLine="56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【上传附送资料】：纳税人点击以后，可以根据资料报送要求上传各类附列资料。</w:t>
      </w:r>
    </w:p>
    <w:p w14:paraId="737BA8CB">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114300" distR="114300">
            <wp:extent cx="5268595" cy="2384425"/>
            <wp:effectExtent l="0" t="0" r="8255" b="1587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cstate="print"/>
                    <a:stretch>
                      <a:fillRect/>
                    </a:stretch>
                  </pic:blipFill>
                  <pic:spPr>
                    <a:xfrm>
                      <a:off x="0" y="0"/>
                      <a:ext cx="5268595" cy="2384425"/>
                    </a:xfrm>
                    <a:prstGeom prst="rect">
                      <a:avLst/>
                    </a:prstGeom>
                    <a:noFill/>
                    <a:ln>
                      <a:noFill/>
                    </a:ln>
                  </pic:spPr>
                </pic:pic>
              </a:graphicData>
            </a:graphic>
          </wp:inline>
        </w:drawing>
      </w:r>
    </w:p>
    <w:p w14:paraId="11D51AF3">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t>【导出】：点击以后，可以导出当前申报表。</w:t>
      </w:r>
    </w:p>
    <w:p w14:paraId="4D00CD8E">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t>【重置】：点击以后，会清空所有申报表的已填数据，并重新初始化申报表。</w:t>
      </w:r>
    </w:p>
    <w:p w14:paraId="5EA5D7E3">
      <w:pPr>
        <w:pageBreakBefore w:val="0"/>
        <w:kinsoku/>
        <w:wordWrap/>
        <w:overflowPunct/>
        <w:topLinePunct w:val="0"/>
        <w:autoSpaceDE/>
        <w:autoSpaceDN/>
        <w:bidi w:val="0"/>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【暂存】：点击以后，可以保存当前表单所填数据。</w:t>
      </w:r>
    </w:p>
    <w:p w14:paraId="1769288F">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五、报送资料</w:t>
      </w:r>
    </w:p>
    <w:p w14:paraId="6C938D2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firstLine="480" w:firstLineChars="200"/>
        <w:jc w:val="left"/>
        <w:textAlignment w:val="auto"/>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1.居民企业（查账征收）企业所得税月（季）度申报报送资料清单</w:t>
      </w:r>
    </w:p>
    <w:tbl>
      <w:tblPr>
        <w:tblStyle w:val="8"/>
        <w:tblW w:w="512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650"/>
        <w:gridCol w:w="728"/>
        <w:gridCol w:w="730"/>
        <w:gridCol w:w="728"/>
        <w:gridCol w:w="732"/>
        <w:gridCol w:w="739"/>
        <w:gridCol w:w="709"/>
      </w:tblGrid>
      <w:tr w14:paraId="2394F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shd w:val="clear" w:color="auto" w:fill="D7D7D7"/>
            <w:noWrap w:val="0"/>
            <w:vAlign w:val="center"/>
          </w:tcPr>
          <w:p w14:paraId="4B7A7BEB">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090" w:type="pct"/>
            <w:tcBorders>
              <w:tl2br w:val="nil"/>
              <w:tr2bl w:val="nil"/>
            </w:tcBorders>
            <w:shd w:val="clear" w:color="auto" w:fill="D7D7D7"/>
            <w:noWrap w:val="0"/>
            <w:vAlign w:val="center"/>
          </w:tcPr>
          <w:p w14:paraId="7A772561">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资料名称</w:t>
            </w:r>
          </w:p>
        </w:tc>
        <w:tc>
          <w:tcPr>
            <w:tcW w:w="417" w:type="pct"/>
            <w:tcBorders>
              <w:tl2br w:val="nil"/>
              <w:tr2bl w:val="nil"/>
            </w:tcBorders>
            <w:shd w:val="clear" w:color="auto" w:fill="D7D7D7"/>
            <w:noWrap w:val="0"/>
            <w:vAlign w:val="center"/>
          </w:tcPr>
          <w:p w14:paraId="78B64B46">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必报</w:t>
            </w:r>
          </w:p>
        </w:tc>
        <w:tc>
          <w:tcPr>
            <w:tcW w:w="418" w:type="pct"/>
            <w:tcBorders>
              <w:tl2br w:val="nil"/>
              <w:tr2bl w:val="nil"/>
            </w:tcBorders>
            <w:shd w:val="clear" w:color="auto" w:fill="D7D7D7"/>
            <w:noWrap w:val="0"/>
            <w:vAlign w:val="center"/>
          </w:tcPr>
          <w:p w14:paraId="6F25C4B9">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条件报送</w:t>
            </w:r>
          </w:p>
        </w:tc>
        <w:tc>
          <w:tcPr>
            <w:tcW w:w="417" w:type="pct"/>
            <w:tcBorders>
              <w:tl2br w:val="nil"/>
              <w:tr2bl w:val="nil"/>
            </w:tcBorders>
            <w:shd w:val="clear" w:color="auto" w:fill="D7D7D7"/>
            <w:noWrap w:val="0"/>
            <w:vAlign w:val="center"/>
          </w:tcPr>
          <w:p w14:paraId="075B7185">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归档</w:t>
            </w:r>
          </w:p>
        </w:tc>
        <w:tc>
          <w:tcPr>
            <w:tcW w:w="419" w:type="pct"/>
            <w:tcBorders>
              <w:tl2br w:val="nil"/>
              <w:tr2bl w:val="nil"/>
            </w:tcBorders>
            <w:shd w:val="clear" w:color="auto" w:fill="D7D7D7"/>
            <w:noWrap w:val="0"/>
            <w:vAlign w:val="center"/>
          </w:tcPr>
          <w:p w14:paraId="0D9C2EAD">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查验</w:t>
            </w:r>
          </w:p>
        </w:tc>
        <w:tc>
          <w:tcPr>
            <w:tcW w:w="423" w:type="pct"/>
            <w:tcBorders>
              <w:tl2br w:val="nil"/>
              <w:tr2bl w:val="nil"/>
            </w:tcBorders>
            <w:shd w:val="clear" w:color="auto" w:fill="D7D7D7"/>
            <w:noWrap w:val="0"/>
            <w:vAlign w:val="center"/>
          </w:tcPr>
          <w:p w14:paraId="0E4718AA">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容缺报送</w:t>
            </w:r>
          </w:p>
        </w:tc>
        <w:tc>
          <w:tcPr>
            <w:tcW w:w="406" w:type="pct"/>
            <w:tcBorders>
              <w:tl2br w:val="nil"/>
              <w:tr2bl w:val="nil"/>
            </w:tcBorders>
            <w:shd w:val="clear" w:color="auto" w:fill="D7D7D7"/>
            <w:noWrap w:val="0"/>
            <w:vAlign w:val="center"/>
          </w:tcPr>
          <w:p w14:paraId="20D0E7C2">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留存备查</w:t>
            </w:r>
          </w:p>
        </w:tc>
      </w:tr>
      <w:tr w14:paraId="0DB27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58273C5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090" w:type="pct"/>
            <w:tcBorders>
              <w:tl2br w:val="nil"/>
              <w:tr2bl w:val="nil"/>
            </w:tcBorders>
            <w:noWrap w:val="0"/>
            <w:vAlign w:val="top"/>
          </w:tcPr>
          <w:p w14:paraId="44FFD34C">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《A200000   中华人民共和国企业所得税月（季）度预缴纳税申报表（A类）》</w:t>
            </w:r>
          </w:p>
        </w:tc>
        <w:tc>
          <w:tcPr>
            <w:tcW w:w="417" w:type="pct"/>
            <w:tcBorders>
              <w:tl2br w:val="nil"/>
              <w:tr2bl w:val="nil"/>
            </w:tcBorders>
            <w:noWrap w:val="0"/>
            <w:vAlign w:val="top"/>
          </w:tcPr>
          <w:p w14:paraId="5DE2DBA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8" w:type="pct"/>
            <w:tcBorders>
              <w:tl2br w:val="nil"/>
              <w:tr2bl w:val="nil"/>
            </w:tcBorders>
            <w:noWrap w:val="0"/>
            <w:vAlign w:val="top"/>
          </w:tcPr>
          <w:p w14:paraId="77FDBF6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7" w:type="pct"/>
            <w:tcBorders>
              <w:tl2br w:val="nil"/>
              <w:tr2bl w:val="nil"/>
            </w:tcBorders>
            <w:noWrap w:val="0"/>
            <w:vAlign w:val="top"/>
          </w:tcPr>
          <w:p w14:paraId="6B7F426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4D6CFF24">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4F813B57">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06" w:type="pct"/>
            <w:tcBorders>
              <w:tl2br w:val="nil"/>
              <w:tr2bl w:val="nil"/>
            </w:tcBorders>
            <w:noWrap w:val="0"/>
            <w:vAlign w:val="top"/>
          </w:tcPr>
          <w:p w14:paraId="6C79A01A">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r w14:paraId="18C79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38E52116">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090" w:type="pct"/>
            <w:tcBorders>
              <w:tl2br w:val="nil"/>
              <w:tr2bl w:val="nil"/>
            </w:tcBorders>
            <w:noWrap w:val="0"/>
            <w:vAlign w:val="top"/>
          </w:tcPr>
          <w:p w14:paraId="5F082BD0">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《A201020固定资产加速折旧（扣除）优惠明细表》</w:t>
            </w:r>
          </w:p>
        </w:tc>
        <w:tc>
          <w:tcPr>
            <w:tcW w:w="417" w:type="pct"/>
            <w:tcBorders>
              <w:tl2br w:val="nil"/>
              <w:tr2bl w:val="nil"/>
            </w:tcBorders>
            <w:noWrap w:val="0"/>
            <w:vAlign w:val="top"/>
          </w:tcPr>
          <w:p w14:paraId="43465398">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5EA6EAA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2CE28A19">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1A885DB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5460DE0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06" w:type="pct"/>
            <w:tcBorders>
              <w:tl2br w:val="nil"/>
              <w:tr2bl w:val="nil"/>
            </w:tcBorders>
            <w:noWrap w:val="0"/>
            <w:vAlign w:val="top"/>
          </w:tcPr>
          <w:p w14:paraId="3524AE4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r w14:paraId="6731C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02FF3780">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090" w:type="pct"/>
            <w:tcBorders>
              <w:tl2br w:val="nil"/>
              <w:tr2bl w:val="nil"/>
            </w:tcBorders>
            <w:noWrap w:val="0"/>
            <w:vAlign w:val="top"/>
          </w:tcPr>
          <w:p w14:paraId="786DE143">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《A202000企业所得税汇总纳税分支机构所得税分配表》</w:t>
            </w:r>
          </w:p>
        </w:tc>
        <w:tc>
          <w:tcPr>
            <w:tcW w:w="417" w:type="pct"/>
            <w:tcBorders>
              <w:tl2br w:val="nil"/>
              <w:tr2bl w:val="nil"/>
            </w:tcBorders>
            <w:noWrap w:val="0"/>
            <w:vAlign w:val="top"/>
          </w:tcPr>
          <w:p w14:paraId="107CFB3E">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3F6D491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4CFF154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2D664E7C">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3764C645">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06" w:type="pct"/>
            <w:tcBorders>
              <w:tl2br w:val="nil"/>
              <w:tr2bl w:val="nil"/>
            </w:tcBorders>
            <w:noWrap w:val="0"/>
            <w:vAlign w:val="top"/>
          </w:tcPr>
          <w:p w14:paraId="49BFC51A">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r w14:paraId="2E28D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40933D6B">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090" w:type="pct"/>
            <w:tcBorders>
              <w:tl2br w:val="nil"/>
              <w:tr2bl w:val="nil"/>
            </w:tcBorders>
            <w:noWrap w:val="0"/>
            <w:vAlign w:val="top"/>
          </w:tcPr>
          <w:p w14:paraId="766545BD">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《居民企业参股外国企业信息报告表》</w:t>
            </w:r>
          </w:p>
        </w:tc>
        <w:tc>
          <w:tcPr>
            <w:tcW w:w="417" w:type="pct"/>
            <w:tcBorders>
              <w:tl2br w:val="nil"/>
              <w:tr2bl w:val="nil"/>
            </w:tcBorders>
            <w:noWrap w:val="0"/>
            <w:vAlign w:val="top"/>
          </w:tcPr>
          <w:p w14:paraId="0E230D4E">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2D6AE0C6">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261E38B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6BBDB4B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1F8A0C8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06" w:type="pct"/>
            <w:tcBorders>
              <w:tl2br w:val="nil"/>
              <w:tr2bl w:val="nil"/>
            </w:tcBorders>
            <w:noWrap w:val="0"/>
            <w:vAlign w:val="top"/>
          </w:tcPr>
          <w:p w14:paraId="33FC2E6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r w14:paraId="237DC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34D23DEC">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2090" w:type="pct"/>
            <w:tcBorders>
              <w:tl2br w:val="nil"/>
              <w:tr2bl w:val="nil"/>
            </w:tcBorders>
            <w:noWrap w:val="0"/>
            <w:vAlign w:val="top"/>
          </w:tcPr>
          <w:p w14:paraId="67AE69A3">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《技术成果投资入股企业所得税递延纳税备案表》</w:t>
            </w:r>
          </w:p>
        </w:tc>
        <w:tc>
          <w:tcPr>
            <w:tcW w:w="417" w:type="pct"/>
            <w:tcBorders>
              <w:tl2br w:val="nil"/>
              <w:tr2bl w:val="nil"/>
            </w:tcBorders>
            <w:noWrap w:val="0"/>
            <w:vAlign w:val="top"/>
          </w:tcPr>
          <w:p w14:paraId="0CD7D4EE">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753DB860">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2B208984">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1156FFA0">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5D9A194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06" w:type="pct"/>
            <w:tcBorders>
              <w:tl2br w:val="nil"/>
              <w:tr2bl w:val="nil"/>
            </w:tcBorders>
            <w:noWrap w:val="0"/>
            <w:vAlign w:val="top"/>
          </w:tcPr>
          <w:p w14:paraId="77D906E0">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r w14:paraId="20088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7D39C072">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2090" w:type="pct"/>
            <w:tcBorders>
              <w:tl2br w:val="nil"/>
              <w:tr2bl w:val="nil"/>
            </w:tcBorders>
            <w:noWrap w:val="0"/>
            <w:vAlign w:val="top"/>
          </w:tcPr>
          <w:p w14:paraId="7D0A1AA5">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建筑企业总机构直接管理的跨地区经营项目部就地预缴税款的完税证明</w:t>
            </w:r>
          </w:p>
        </w:tc>
        <w:tc>
          <w:tcPr>
            <w:tcW w:w="417" w:type="pct"/>
            <w:tcBorders>
              <w:tl2br w:val="nil"/>
              <w:tr2bl w:val="nil"/>
            </w:tcBorders>
            <w:noWrap w:val="0"/>
            <w:vAlign w:val="top"/>
          </w:tcPr>
          <w:p w14:paraId="46CF610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0070DEC8">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2782C234">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78FDD659">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1300E9EE">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06" w:type="pct"/>
            <w:tcBorders>
              <w:tl2br w:val="nil"/>
              <w:tr2bl w:val="nil"/>
            </w:tcBorders>
            <w:noWrap w:val="0"/>
            <w:vAlign w:val="top"/>
          </w:tcPr>
          <w:p w14:paraId="091647DD">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r w14:paraId="718AC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noWrap w:val="0"/>
            <w:vAlign w:val="top"/>
          </w:tcPr>
          <w:p w14:paraId="3F11FC34">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2090" w:type="pct"/>
            <w:tcBorders>
              <w:tl2br w:val="nil"/>
              <w:tr2bl w:val="nil"/>
            </w:tcBorders>
            <w:noWrap w:val="0"/>
            <w:vAlign w:val="top"/>
          </w:tcPr>
          <w:p w14:paraId="13FA637F">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在同一省、自治区、直辖市和计划单列市内跨地、市（区、县）设立的，实行汇总纳税办法的居民企业，总分机构应报送省税务机关规定的相关资料</w:t>
            </w:r>
          </w:p>
        </w:tc>
        <w:tc>
          <w:tcPr>
            <w:tcW w:w="417" w:type="pct"/>
            <w:tcBorders>
              <w:tl2br w:val="nil"/>
              <w:tr2bl w:val="nil"/>
            </w:tcBorders>
            <w:noWrap w:val="0"/>
            <w:vAlign w:val="top"/>
          </w:tcPr>
          <w:p w14:paraId="04417F0D">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18" w:type="pct"/>
            <w:tcBorders>
              <w:tl2br w:val="nil"/>
              <w:tr2bl w:val="nil"/>
            </w:tcBorders>
            <w:noWrap w:val="0"/>
            <w:vAlign w:val="top"/>
          </w:tcPr>
          <w:p w14:paraId="2993FE56">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7" w:type="pct"/>
            <w:tcBorders>
              <w:tl2br w:val="nil"/>
              <w:tr2bl w:val="nil"/>
            </w:tcBorders>
            <w:noWrap w:val="0"/>
            <w:vAlign w:val="top"/>
          </w:tcPr>
          <w:p w14:paraId="43592D45">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19" w:type="pct"/>
            <w:tcBorders>
              <w:tl2br w:val="nil"/>
              <w:tr2bl w:val="nil"/>
            </w:tcBorders>
            <w:noWrap w:val="0"/>
            <w:vAlign w:val="top"/>
          </w:tcPr>
          <w:p w14:paraId="3717CE71">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c>
          <w:tcPr>
            <w:tcW w:w="423" w:type="pct"/>
            <w:tcBorders>
              <w:tl2br w:val="nil"/>
              <w:tr2bl w:val="nil"/>
            </w:tcBorders>
            <w:noWrap w:val="0"/>
            <w:vAlign w:val="top"/>
          </w:tcPr>
          <w:p w14:paraId="2DE7E033">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406" w:type="pct"/>
            <w:tcBorders>
              <w:tl2br w:val="nil"/>
              <w:tr2bl w:val="nil"/>
            </w:tcBorders>
            <w:noWrap w:val="0"/>
            <w:vAlign w:val="top"/>
          </w:tcPr>
          <w:p w14:paraId="1AF1A2D7">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sz w:val="24"/>
                <w:szCs w:val="24"/>
                <w:highlight w:val="none"/>
              </w:rPr>
            </w:pPr>
          </w:p>
        </w:tc>
      </w:tr>
    </w:tbl>
    <w:p w14:paraId="6B879963">
      <w:pPr>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sz w:val="24"/>
          <w:szCs w:val="24"/>
          <w:highlight w:val="none"/>
        </w:rPr>
      </w:pPr>
    </w:p>
    <w:p w14:paraId="69BE54D2">
      <w:pPr>
        <w:pageBreakBefore w:val="0"/>
        <w:numPr>
          <w:ilvl w:val="0"/>
          <w:numId w:val="0"/>
        </w:numPr>
        <w:kinsoku/>
        <w:wordWrap/>
        <w:overflowPunct/>
        <w:topLinePunct w:val="0"/>
        <w:autoSpaceDE/>
        <w:autoSpaceDN/>
        <w:bidi w:val="0"/>
        <w:snapToGrid/>
        <w:spacing w:before="157" w:beforeLines="50" w:after="157" w:afterLines="5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列资料“《居民企业参股外国企业信息报告表》、《技术成果投资入股企业所得税递延纳税备案表》、建筑企业总机构直接管理的跨地区经营项目部就地预缴税款的完税证明、在同一省、自治区、直辖市和计划单列市内跨地、市（区、县）设立的，实行汇总纳税办法的居民企业，总分机构应报送省税务机关规定的相关资料”针对高、中信用积分的纳税人，可进行容缺差异化报送。</w:t>
      </w:r>
    </w:p>
    <w:p w14:paraId="60B535F5">
      <w:pPr>
        <w:pStyle w:val="17"/>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jc w:val="left"/>
        <w:textAlignment w:val="auto"/>
        <w:outlineLvl w:val="1"/>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2.居民企业（查账征收）企业所得税月（季）度申报提交电子资料清单</w:t>
      </w:r>
    </w:p>
    <w:tbl>
      <w:tblPr>
        <w:tblStyle w:val="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4"/>
        <w:gridCol w:w="3179"/>
        <w:gridCol w:w="708"/>
        <w:gridCol w:w="709"/>
        <w:gridCol w:w="956"/>
        <w:gridCol w:w="1170"/>
        <w:gridCol w:w="920"/>
      </w:tblGrid>
      <w:tr w14:paraId="74E70B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5" w:hRule="atLeast"/>
          <w:tblHeader/>
          <w:jc w:val="center"/>
        </w:trPr>
        <w:tc>
          <w:tcPr>
            <w:tcW w:w="634" w:type="dxa"/>
            <w:tcBorders>
              <w:top w:val="single" w:color="000000" w:sz="12" w:space="0"/>
              <w:bottom w:val="single" w:color="000000" w:sz="6" w:space="0"/>
            </w:tcBorders>
            <w:shd w:val="clear" w:color="auto" w:fill="D7D7D7"/>
            <w:noWrap w:val="0"/>
            <w:vAlign w:val="center"/>
          </w:tcPr>
          <w:p w14:paraId="1A5414CF">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3179" w:type="dxa"/>
            <w:tcBorders>
              <w:top w:val="single" w:color="000000" w:sz="12" w:space="0"/>
              <w:bottom w:val="single" w:color="000000" w:sz="6" w:space="0"/>
            </w:tcBorders>
            <w:shd w:val="clear" w:color="auto" w:fill="D7D7D7"/>
            <w:noWrap w:val="0"/>
            <w:vAlign w:val="center"/>
          </w:tcPr>
          <w:p w14:paraId="1FB92C1E">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报送资料名称</w:t>
            </w:r>
          </w:p>
        </w:tc>
        <w:tc>
          <w:tcPr>
            <w:tcW w:w="708" w:type="dxa"/>
            <w:tcBorders>
              <w:top w:val="single" w:color="000000" w:sz="12" w:space="0"/>
              <w:bottom w:val="single" w:color="000000" w:sz="6" w:space="0"/>
            </w:tcBorders>
            <w:shd w:val="clear" w:color="auto" w:fill="D7D7D7"/>
            <w:noWrap w:val="0"/>
            <w:vAlign w:val="center"/>
          </w:tcPr>
          <w:p w14:paraId="7F9A879E">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必报</w:t>
            </w:r>
          </w:p>
        </w:tc>
        <w:tc>
          <w:tcPr>
            <w:tcW w:w="709" w:type="dxa"/>
            <w:tcBorders>
              <w:top w:val="single" w:color="000000" w:sz="12" w:space="0"/>
              <w:bottom w:val="single" w:color="000000" w:sz="6" w:space="0"/>
            </w:tcBorders>
            <w:shd w:val="clear" w:color="auto" w:fill="D7D7D7"/>
            <w:noWrap w:val="0"/>
            <w:vAlign w:val="center"/>
          </w:tcPr>
          <w:p w14:paraId="4BC1803B">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条件报送</w:t>
            </w:r>
          </w:p>
        </w:tc>
        <w:tc>
          <w:tcPr>
            <w:tcW w:w="956" w:type="dxa"/>
            <w:tcBorders>
              <w:top w:val="single" w:color="000000" w:sz="12" w:space="0"/>
              <w:bottom w:val="single" w:color="000000" w:sz="6" w:space="0"/>
            </w:tcBorders>
            <w:shd w:val="clear" w:color="auto" w:fill="D7D7D7"/>
            <w:noWrap w:val="0"/>
            <w:vAlign w:val="center"/>
          </w:tcPr>
          <w:p w14:paraId="22A4F6DE">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报送</w:t>
            </w:r>
          </w:p>
          <w:p w14:paraId="1E70EFB0">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要求</w:t>
            </w:r>
          </w:p>
        </w:tc>
        <w:tc>
          <w:tcPr>
            <w:tcW w:w="1170" w:type="dxa"/>
            <w:tcBorders>
              <w:top w:val="single" w:color="000000" w:sz="12" w:space="0"/>
              <w:bottom w:val="single" w:color="000000" w:sz="6" w:space="0"/>
            </w:tcBorders>
            <w:shd w:val="clear" w:color="auto" w:fill="D7D7D7"/>
            <w:noWrap w:val="0"/>
            <w:vAlign w:val="center"/>
          </w:tcPr>
          <w:p w14:paraId="6A856353">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资料</w:t>
            </w:r>
          </w:p>
          <w:p w14:paraId="23EC3EFB">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类型</w:t>
            </w:r>
          </w:p>
        </w:tc>
        <w:tc>
          <w:tcPr>
            <w:tcW w:w="920" w:type="dxa"/>
            <w:tcBorders>
              <w:top w:val="single" w:color="000000" w:sz="12" w:space="0"/>
              <w:bottom w:val="single" w:color="000000" w:sz="6" w:space="0"/>
            </w:tcBorders>
            <w:shd w:val="clear" w:color="auto" w:fill="D7D7D7"/>
            <w:noWrap w:val="0"/>
            <w:vAlign w:val="center"/>
          </w:tcPr>
          <w:p w14:paraId="313B3123">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纳税人电子签名/印章</w:t>
            </w:r>
          </w:p>
        </w:tc>
      </w:tr>
      <w:tr w14:paraId="2953F7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34" w:type="dxa"/>
            <w:noWrap w:val="0"/>
            <w:vAlign w:val="center"/>
          </w:tcPr>
          <w:p w14:paraId="37FD1769">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179" w:type="dxa"/>
            <w:noWrap w:val="0"/>
            <w:vAlign w:val="center"/>
          </w:tcPr>
          <w:p w14:paraId="02299517">
            <w:pPr>
              <w:pageBreakBefore w:val="0"/>
              <w:kinsoku/>
              <w:wordWrap/>
              <w:overflowPunct/>
              <w:topLinePunct w:val="0"/>
              <w:autoSpaceDE/>
              <w:autoSpaceDN/>
              <w:bidi w:val="0"/>
              <w:snapToGrid/>
              <w:spacing w:before="157" w:beforeLines="50" w:after="157" w:afterLines="50" w:line="360" w:lineRule="auto"/>
              <w:jc w:val="left"/>
              <w:textAlignment w:val="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在同一省、自治区、直辖市和计划单列市内跨地、市（区、县）设立的，实行汇总纳税办法的居民企业，总分机构应报送省税务机关规定的相关资料</w:t>
            </w:r>
          </w:p>
        </w:tc>
        <w:tc>
          <w:tcPr>
            <w:tcW w:w="708" w:type="dxa"/>
            <w:noWrap w:val="0"/>
            <w:vAlign w:val="center"/>
          </w:tcPr>
          <w:p w14:paraId="6727564C">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709" w:type="dxa"/>
            <w:noWrap w:val="0"/>
            <w:vAlign w:val="center"/>
          </w:tcPr>
          <w:p w14:paraId="26F4570C">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956" w:type="dxa"/>
            <w:noWrap w:val="0"/>
            <w:vAlign w:val="center"/>
          </w:tcPr>
          <w:p w14:paraId="2BE461E7">
            <w:pPr>
              <w:pageBreakBefore w:val="0"/>
              <w:kinsoku/>
              <w:wordWrap/>
              <w:overflowPunct/>
              <w:topLinePunct w:val="0"/>
              <w:autoSpaceDE/>
              <w:autoSpaceDN/>
              <w:bidi w:val="0"/>
              <w:snapToGrid/>
              <w:spacing w:before="157" w:beforeLines="50" w:after="157" w:afterLines="50" w:line="360" w:lineRule="auto"/>
              <w:ind w:left="210" w:hanging="240" w:hangingChars="10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纳税人提交</w:t>
            </w:r>
          </w:p>
        </w:tc>
        <w:tc>
          <w:tcPr>
            <w:tcW w:w="1170" w:type="dxa"/>
            <w:noWrap w:val="0"/>
            <w:vAlign w:val="center"/>
          </w:tcPr>
          <w:p w14:paraId="145D1F70">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电子文档、图像文件、扫描文件</w:t>
            </w:r>
          </w:p>
        </w:tc>
        <w:tc>
          <w:tcPr>
            <w:tcW w:w="920" w:type="dxa"/>
            <w:noWrap w:val="0"/>
            <w:vAlign w:val="center"/>
          </w:tcPr>
          <w:p w14:paraId="2F71DB71">
            <w:pPr>
              <w:pageBreakBefore w:val="0"/>
              <w:kinsoku/>
              <w:wordWrap/>
              <w:overflowPunct/>
              <w:topLinePunct w:val="0"/>
              <w:autoSpaceDE/>
              <w:autoSpaceDN/>
              <w:bidi w:val="0"/>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bl>
    <w:p w14:paraId="7D6ED526">
      <w:pPr>
        <w:pageBreakBefore w:val="0"/>
        <w:kinsoku/>
        <w:wordWrap/>
        <w:overflowPunct/>
        <w:topLinePunct w:val="0"/>
        <w:autoSpaceDE/>
        <w:autoSpaceDN/>
        <w:bidi w:val="0"/>
        <w:snapToGrid/>
        <w:spacing w:before="157" w:beforeLines="50" w:after="157" w:afterLines="50"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p w14:paraId="114DFD4D">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lang w:val="en-US" w:eastAsia="zh-Hans"/>
        </w:rPr>
      </w:pPr>
      <w:r>
        <w:rPr>
          <w:rFonts w:hint="eastAsia" w:ascii="宋体" w:hAnsi="宋体" w:eastAsia="宋体" w:cs="宋体"/>
          <w:b/>
          <w:sz w:val="24"/>
          <w:szCs w:val="24"/>
          <w:highlight w:val="none"/>
          <w:lang w:val="en-US" w:eastAsia="zh-CN"/>
        </w:rPr>
        <w:t>六、</w:t>
      </w:r>
      <w:r>
        <w:rPr>
          <w:rFonts w:hint="eastAsia" w:ascii="宋体" w:hAnsi="宋体" w:eastAsia="宋体" w:cs="宋体"/>
          <w:b/>
          <w:sz w:val="24"/>
          <w:szCs w:val="24"/>
          <w:highlight w:val="none"/>
          <w:lang w:val="en-US" w:eastAsia="zh-Hans"/>
        </w:rPr>
        <w:t>注意事项</w:t>
      </w:r>
    </w:p>
    <w:p w14:paraId="4D706592">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纳税人需要完成上年度汇算清缴申报后，预缴申报时才可以弥补以前年度亏损，且系统将自动计算和填写第9行"减：弥补以前年度亏损"栏次信息。</w:t>
      </w:r>
    </w:p>
    <w:p w14:paraId="18D1357F">
      <w:pPr>
        <w:pStyle w:val="3"/>
        <w:pageBreakBefore w:val="0"/>
        <w:kinsoku/>
        <w:wordWrap/>
        <w:overflowPunct/>
        <w:topLinePunct w:val="0"/>
        <w:autoSpaceDE/>
        <w:autoSpaceDN/>
        <w:bidi w:val="0"/>
        <w:snapToGrid/>
        <w:spacing w:before="157" w:beforeLines="50" w:after="157" w:afterLines="50"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七</w:t>
      </w:r>
      <w:r>
        <w:rPr>
          <w:rFonts w:hint="eastAsia" w:ascii="宋体" w:hAnsi="宋体" w:eastAsia="宋体" w:cs="宋体"/>
          <w:b/>
          <w:sz w:val="24"/>
          <w:szCs w:val="24"/>
          <w:highlight w:val="none"/>
        </w:rPr>
        <w:t>、常见问题</w:t>
      </w:r>
    </w:p>
    <w:p w14:paraId="31F49444">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问：居民企业（查账征收）企业所得税月（季）度申报有哪几种模式？系统如何判断我适用哪种申报模式？</w:t>
      </w:r>
    </w:p>
    <w:p w14:paraId="2CD9E99D">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答：根据您的身份特征和历史涉税行为，系统自动匹配企业所得税申报模式，分别为</w:t>
      </w:r>
      <w:r>
        <w:rPr>
          <w:rFonts w:hint="eastAsia" w:ascii="宋体" w:hAnsi="宋体" w:eastAsia="宋体" w:cs="宋体"/>
          <w:b/>
          <w:sz w:val="24"/>
          <w:szCs w:val="24"/>
          <w:highlight w:val="none"/>
        </w:rPr>
        <w:t>确认式申报、补录式申报、填表式申报</w:t>
      </w:r>
      <w:r>
        <w:rPr>
          <w:rFonts w:hint="eastAsia" w:ascii="宋体" w:hAnsi="宋体" w:eastAsia="宋体" w:cs="宋体"/>
          <w:sz w:val="24"/>
          <w:szCs w:val="24"/>
          <w:highlight w:val="none"/>
        </w:rPr>
        <w:t>。</w:t>
      </w:r>
      <w:r>
        <w:rPr>
          <w:rFonts w:hint="eastAsia" w:ascii="宋体" w:hAnsi="宋体" w:eastAsia="宋体" w:cs="宋体"/>
          <w:sz w:val="24"/>
          <w:szCs w:val="24"/>
          <w:highlight w:val="none"/>
        </w:rPr>
        <w:t>三种模式适用条件如下：</w:t>
      </w:r>
    </w:p>
    <w:p w14:paraId="1EEF25C1">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（1）确认式申报：企业类型为跨地区经营汇总纳税企业分支机构；预缴方式为按照实际利润额预缴/按照上一纳税年度应纳税所得额平均额预缴。</w:t>
      </w:r>
    </w:p>
    <w:p w14:paraId="1E715776">
      <w:pPr>
        <w:pageBreakBefore w:val="0"/>
        <w:kinsoku/>
        <w:wordWrap/>
        <w:overflowPunct/>
        <w:topLinePunct w:val="0"/>
        <w:autoSpaceDE/>
        <w:autoSpaceDN/>
        <w:bidi w:val="0"/>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（2）补录式申报又分为一键零申报、简易申报、</w:t>
      </w:r>
      <w:r>
        <w:rPr>
          <w:rFonts w:hint="eastAsia" w:ascii="宋体" w:hAnsi="宋体" w:eastAsia="宋体" w:cs="宋体"/>
          <w:color w:val="auto"/>
          <w:kern w:val="2"/>
          <w:sz w:val="24"/>
          <w:szCs w:val="24"/>
          <w:highlight w:val="none"/>
          <w:lang w:val="en-US" w:eastAsia="zh-CN" w:bidi="ar-SA"/>
        </w:rPr>
        <w:t>按照税务机关确定的其他方法预缴</w:t>
      </w:r>
      <w:r>
        <w:rPr>
          <w:rFonts w:hint="eastAsia" w:ascii="宋体" w:hAnsi="宋体" w:eastAsia="宋体" w:cs="宋体"/>
          <w:sz w:val="24"/>
          <w:szCs w:val="24"/>
          <w:highlight w:val="none"/>
        </w:rPr>
        <w:t>三种。系统依据纳税人企业类型、企业所得税预缴方式、往期企业所得税预缴申报情况、享受优惠情况、发票开具情况、财务报表数据等判断适用模式。</w:t>
      </w:r>
    </w:p>
    <w:p w14:paraId="31070FF3">
      <w:pPr>
        <w:pStyle w:val="10"/>
        <w:pageBreakBefore w:val="0"/>
        <w:kinsoku/>
        <w:wordWrap/>
        <w:overflowPunct/>
        <w:topLinePunct w:val="0"/>
        <w:autoSpaceDE/>
        <w:autoSpaceDN/>
        <w:bidi w:val="0"/>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（3）填表式申报针对业务复杂的纳税人。</w:t>
      </w:r>
    </w:p>
    <w:p w14:paraId="1A750659">
      <w:pPr>
        <w:pStyle w:val="2"/>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2.跨地区经营汇总纳税企业上一季度不符合小型微利企业条件，已由分支机构就地预缴分摊税款，本季度按现有规定符合小型微利企业条件，上季度已就地分摊预缴的企业所得税如何处理？</w:t>
      </w:r>
    </w:p>
    <w:p w14:paraId="57B2E384">
      <w:pPr>
        <w:pStyle w:val="2"/>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汇总纳税企业如果上季度不符合小型微利企业条件，本季度符合条件，其总机构和二级分支机构多预缴的税款，根据《国家税务总局关于落实小型微利企业所得税优惠政策征管问题的公告》（国家税务总局公告2023年第6号）规定，可在以后季度应预缴的企业所得税税款中抵减。</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68F584"/>
    <w:multiLevelType w:val="singleLevel"/>
    <w:tmpl w:val="E668F58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kNzI4ZWE2YWFkODA1YzI5MjcwMzNkMTY5ZGQ3NTcifQ=="/>
  </w:docVars>
  <w:rsids>
    <w:rsidRoot w:val="00EF26D1"/>
    <w:rsid w:val="00B9207D"/>
    <w:rsid w:val="00EF26D1"/>
    <w:rsid w:val="02161B84"/>
    <w:rsid w:val="036C300F"/>
    <w:rsid w:val="0FE051C1"/>
    <w:rsid w:val="16757D69"/>
    <w:rsid w:val="193E7F56"/>
    <w:rsid w:val="2ACF1785"/>
    <w:rsid w:val="2EC03AE5"/>
    <w:rsid w:val="36180E34"/>
    <w:rsid w:val="37D654F4"/>
    <w:rsid w:val="3BB45096"/>
    <w:rsid w:val="44BC063B"/>
    <w:rsid w:val="46C457C5"/>
    <w:rsid w:val="4757276C"/>
    <w:rsid w:val="5A9D4959"/>
    <w:rsid w:val="5D8C444E"/>
    <w:rsid w:val="60503796"/>
    <w:rsid w:val="7C1D2D19"/>
    <w:rsid w:val="7D493A8C"/>
    <w:rsid w:val="7FD32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outlineLvl w:val="1"/>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styleId="5">
    <w:name w:val="annotation text"/>
    <w:basedOn w:val="1"/>
    <w:qFormat/>
    <w:uiPriority w:val="0"/>
    <w:pPr>
      <w:jc w:val="left"/>
    </w:pPr>
  </w:style>
  <w:style w:type="paragraph" w:styleId="6">
    <w:name w:val="Body Text"/>
    <w:basedOn w:val="1"/>
    <w:next w:val="1"/>
    <w:qFormat/>
    <w:uiPriority w:val="0"/>
    <w:pPr>
      <w:spacing w:after="120"/>
    </w:pPr>
    <w:rPr>
      <w:rFonts w:ascii="Times New Roman" w:hAnsi="Times New Roman" w:cs="Calibri"/>
      <w:szCs w:val="21"/>
    </w:rPr>
  </w:style>
  <w:style w:type="paragraph" w:styleId="7">
    <w:name w:val="Balloon Text"/>
    <w:basedOn w:val="1"/>
    <w:link w:val="11"/>
    <w:qFormat/>
    <w:uiPriority w:val="0"/>
    <w:rPr>
      <w:sz w:val="18"/>
      <w:szCs w:val="18"/>
    </w:rPr>
  </w:style>
  <w:style w:type="paragraph" w:customStyle="1" w:styleId="10">
    <w:name w:val="TableOfAuthoring"/>
    <w:basedOn w:val="1"/>
    <w:next w:val="1"/>
    <w:qFormat/>
    <w:uiPriority w:val="0"/>
    <w:pPr>
      <w:ind w:left="420" w:leftChars="200"/>
    </w:pPr>
    <w:rPr>
      <w:rFonts w:ascii="Calibri" w:hAnsi="Calibri" w:cs="Times New Roman"/>
    </w:rPr>
  </w:style>
  <w:style w:type="character" w:customStyle="1" w:styleId="11">
    <w:name w:val="批注框文本 Char"/>
    <w:basedOn w:val="9"/>
    <w:link w:val="7"/>
    <w:qFormat/>
    <w:uiPriority w:val="0"/>
    <w:rPr>
      <w:kern w:val="2"/>
      <w:sz w:val="18"/>
      <w:szCs w:val="18"/>
    </w:rPr>
  </w:style>
  <w:style w:type="paragraph" w:customStyle="1" w:styleId="12">
    <w:name w:val="表格列标题"/>
    <w:basedOn w:val="13"/>
    <w:qFormat/>
    <w:uiPriority w:val="0"/>
    <w:pPr>
      <w:jc w:val="center"/>
    </w:pPr>
    <w:rPr>
      <w:rFonts w:ascii="Arial" w:hAnsi="Arial" w:cs="Arial"/>
      <w:b/>
      <w:sz w:val="18"/>
    </w:rPr>
  </w:style>
  <w:style w:type="paragraph" w:customStyle="1" w:styleId="13">
    <w:name w:val="正文_1"/>
    <w:qFormat/>
    <w:uiPriority w:val="0"/>
    <w:rPr>
      <w:rFonts w:ascii="Times New Roman" w:hAnsi="Times New Roman" w:eastAsia="Times New Roman" w:cs="Times New Roman"/>
      <w:sz w:val="24"/>
      <w:szCs w:val="24"/>
      <w:lang w:val="en-US" w:eastAsia="zh-CN" w:bidi="ar-SA"/>
    </w:rPr>
  </w:style>
  <w:style w:type="paragraph" w:customStyle="1" w:styleId="14">
    <w:name w:val="表格文字 居中"/>
    <w:basedOn w:val="15"/>
    <w:qFormat/>
    <w:uiPriority w:val="0"/>
    <w:pPr>
      <w:jc w:val="center"/>
    </w:pPr>
    <w:rPr>
      <w:rFonts w:ascii="Arial" w:hAnsi="Arial" w:cs="Arial"/>
      <w:sz w:val="18"/>
    </w:rPr>
  </w:style>
  <w:style w:type="paragraph" w:customStyle="1" w:styleId="15">
    <w:name w:val="正文1"/>
    <w:qFormat/>
    <w:uiPriority w:val="0"/>
    <w:pPr>
      <w:widowControl w:val="0"/>
      <w:jc w:val="both"/>
    </w:pPr>
    <w:rPr>
      <w:rFonts w:ascii="Calibri" w:hAnsi="Calibri" w:eastAsia="宋体" w:cs="Times New Roman"/>
      <w:lang w:val="en-US" w:eastAsia="zh-CN" w:bidi="ar-SA"/>
    </w:rPr>
  </w:style>
  <w:style w:type="paragraph" w:customStyle="1" w:styleId="16">
    <w:name w:val="表格文字 左对齐"/>
    <w:basedOn w:val="13"/>
    <w:qFormat/>
    <w:uiPriority w:val="0"/>
    <w:rPr>
      <w:rFonts w:ascii="Arial" w:hAnsi="Arial" w:cs="Arial"/>
      <w:sz w:val="18"/>
    </w:rPr>
  </w:style>
  <w:style w:type="paragraph" w:customStyle="1" w:styleId="17">
    <w:name w:val="征管规范图例表头"/>
    <w:basedOn w:val="1"/>
    <w:qFormat/>
    <w:uiPriority w:val="0"/>
    <w:pPr>
      <w:widowControl w:val="0"/>
      <w:spacing w:line="240" w:lineRule="auto"/>
      <w:jc w:val="center"/>
    </w:pPr>
    <w:rPr>
      <w:b/>
      <w:color w:val="auto"/>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3211</Words>
  <Characters>3259</Characters>
  <Lines>14</Lines>
  <Paragraphs>4</Paragraphs>
  <TotalTime>139</TotalTime>
  <ScaleCrop>false</ScaleCrop>
  <LinksUpToDate>false</LinksUpToDate>
  <CharactersWithSpaces>3265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2024-04-01T06:42:00Z</dcterms:created>
  <dc:creator>zjb</dc:creator>
  <cp:lastModifiedBy>默默</cp:lastModifiedBy>
  <dcterms:modified xsi:type="dcterms:W3CDTF">2025-07-08T06:58:31Z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9BB234CD1D28447FB8B13AA74F0E81F8_13</vt:lpwstr>
  </property>
  <property fmtid="{D5CDD505-2E9C-101B-9397-08002B2CF9AE}" pid="4" name="KSOTemplateDocerSaveRecord">
    <vt:lpwstr>eyJoZGlkIjoiYWI0MTczMTlmZGQwMDlkNjE0Y2E2NDViNmNjNWY1ZmYiLCJ1c2VySWQiOiI3MzkzMzY4MTcifQ==</vt:lpwstr>
  </property>
</Properties>
</file>