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7960D">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3.6.1  代收代缴车船税申报——1210</w:t>
      </w:r>
    </w:p>
    <w:p w14:paraId="07685531">
      <w:pPr>
        <w:pStyle w:val="2"/>
        <w:rPr>
          <w:rFonts w:hint="eastAsia"/>
        </w:rPr>
      </w:pPr>
    </w:p>
    <w:p w14:paraId="358AB70B">
      <w:pPr>
        <w:pStyle w:val="4"/>
        <w:pageBreakBefore w:val="0"/>
        <w:kinsoku/>
        <w:wordWrap/>
        <w:bidi w:val="0"/>
        <w:snapToGrid/>
        <w:spacing w:before="157" w:beforeLines="50" w:after="157" w:afterLines="50" w:line="360" w:lineRule="auto"/>
        <w:rPr>
          <w:rFonts w:hint="eastAsia" w:ascii="宋体" w:hAnsi="宋体" w:eastAsia="宋体" w:cs="宋体"/>
          <w:sz w:val="24"/>
          <w:szCs w:val="24"/>
        </w:rPr>
      </w:pPr>
      <w:bookmarkStart w:id="0" w:name="_GoBack"/>
      <w:r>
        <w:rPr>
          <w:rFonts w:hint="eastAsia" w:ascii="宋体" w:hAnsi="宋体" w:eastAsia="宋体" w:cs="宋体"/>
          <w:sz w:val="24"/>
          <w:szCs w:val="24"/>
        </w:rPr>
        <w:t>【事项概述】</w:t>
      </w:r>
    </w:p>
    <w:p w14:paraId="23E3966C">
      <w:pPr>
        <w:keepNext/>
        <w:keepLines/>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扣缴义务人应依照税收法律、法规、规章及其他有关规定，在规定的纳税期限内，履行代收代缴车船税义务，填报《车船税代收代缴报告表》及其他相关资料向税务机关进行纳税申报。</w:t>
      </w:r>
    </w:p>
    <w:p w14:paraId="1C180EF5">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【办理类别】</w:t>
      </w:r>
    </w:p>
    <w:p w14:paraId="63FA6EA7">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办理方式：线上（全程在线自主办结）/线下</w:t>
      </w:r>
    </w:p>
    <w:p w14:paraId="6F1EAD1E">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办理时限：即时办结</w:t>
      </w:r>
    </w:p>
    <w:p w14:paraId="4DCDA362">
      <w:pPr>
        <w:pageBreakBefore w:val="0"/>
        <w:widowControl/>
        <w:numPr>
          <w:ilvl w:val="0"/>
          <w:numId w:val="1"/>
        </w:numPr>
        <w:kinsoku/>
        <w:wordWrap/>
        <w:overflow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rPr>
      </w:pPr>
      <w:r>
        <w:rPr>
          <w:rFonts w:hint="eastAsia" w:ascii="宋体" w:hAnsi="宋体" w:eastAsia="宋体" w:cs="宋体"/>
          <w:bCs/>
          <w:sz w:val="24"/>
          <w:szCs w:val="24"/>
        </w:rPr>
        <w:t>办理层级：区县级</w:t>
      </w:r>
    </w:p>
    <w:p w14:paraId="3833F132">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【办理流程】</w:t>
      </w:r>
    </w:p>
    <w:p w14:paraId="3CC96B22">
      <w:pPr>
        <w:pStyle w:val="5"/>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1.线上流程：申报</w:t>
      </w:r>
    </w:p>
    <w:p w14:paraId="1B441F2F">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扣缴义务人</w:t>
      </w:r>
      <w:r>
        <w:rPr>
          <w:rFonts w:hint="eastAsia" w:ascii="宋体" w:hAnsi="宋体" w:eastAsia="宋体" w:cs="宋体"/>
          <w:bCs/>
          <w:sz w:val="24"/>
          <w:szCs w:val="24"/>
        </w:rPr>
        <w:t>通过全国统一规范电子税务局“代收代缴车船税申报”功能，自主办结本业务。</w:t>
      </w:r>
    </w:p>
    <w:p w14:paraId="2E248E01">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--办理机构：不涉及</w:t>
      </w:r>
    </w:p>
    <w:p w14:paraId="0889AE8A">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--办理岗位：不涉及</w:t>
      </w:r>
    </w:p>
    <w:p w14:paraId="243CE41C">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pacing w:val="2"/>
          <w:kern w:val="2"/>
          <w:sz w:val="24"/>
          <w:szCs w:val="24"/>
        </w:rPr>
      </w:pPr>
      <w:r>
        <w:rPr>
          <w:rFonts w:hint="eastAsia" w:ascii="宋体" w:hAnsi="宋体" w:eastAsia="宋体" w:cs="宋体"/>
          <w:sz w:val="24"/>
          <w:szCs w:val="24"/>
        </w:rPr>
        <w:t>--信息系统：</w:t>
      </w:r>
      <w:r>
        <w:rPr>
          <w:rFonts w:hint="eastAsia" w:ascii="宋体" w:hAnsi="宋体" w:eastAsia="宋体" w:cs="宋体"/>
          <w:bCs/>
          <w:sz w:val="24"/>
          <w:szCs w:val="24"/>
        </w:rPr>
        <w:t>全国统一规范电子税务局“代收代缴车船税申报”</w:t>
      </w:r>
      <w:r>
        <w:rPr>
          <w:rFonts w:hint="eastAsia" w:ascii="宋体" w:hAnsi="宋体" w:eastAsia="宋体" w:cs="宋体"/>
          <w:spacing w:val="2"/>
          <w:kern w:val="2"/>
          <w:sz w:val="24"/>
          <w:szCs w:val="24"/>
        </w:rPr>
        <w:t>（地方特色）</w:t>
      </w:r>
    </w:p>
    <w:p w14:paraId="63572A71">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--表证单书：不涉及</w:t>
      </w:r>
    </w:p>
    <w:p w14:paraId="5A76ADD8">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--岗位职责：不涉及</w:t>
      </w:r>
    </w:p>
    <w:p w14:paraId="250202CA">
      <w:pPr>
        <w:pStyle w:val="5"/>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2.线下流程：申报—受理—出件</w:t>
      </w:r>
    </w:p>
    <w:p w14:paraId="782409F6">
      <w:pPr>
        <w:pStyle w:val="6"/>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（1）申报</w:t>
      </w:r>
    </w:p>
    <w:p w14:paraId="5DDA5757">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扣缴义务人</w:t>
      </w:r>
      <w:r>
        <w:rPr>
          <w:rFonts w:hint="eastAsia" w:ascii="宋体" w:hAnsi="宋体" w:eastAsia="宋体" w:cs="宋体"/>
          <w:bCs/>
          <w:sz w:val="24"/>
          <w:szCs w:val="24"/>
        </w:rPr>
        <w:t>在办税服务厅提交相应材料，提出申报申请。</w:t>
      </w:r>
    </w:p>
    <w:p w14:paraId="6DFAFA93">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--办理机构：不涉及</w:t>
      </w:r>
    </w:p>
    <w:p w14:paraId="61F8A0F9">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--办理岗位：不涉及</w:t>
      </w:r>
    </w:p>
    <w:p w14:paraId="4192A34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--信息系统：</w:t>
      </w:r>
      <w:r>
        <w:rPr>
          <w:rFonts w:hint="eastAsia" w:ascii="宋体" w:hAnsi="宋体" w:eastAsia="宋体" w:cs="宋体"/>
          <w:bCs/>
          <w:sz w:val="24"/>
          <w:szCs w:val="24"/>
        </w:rPr>
        <w:t>不涉及</w:t>
      </w:r>
    </w:p>
    <w:p w14:paraId="4726F527">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--表证单书：见资料处理部分</w:t>
      </w:r>
    </w:p>
    <w:p w14:paraId="5F5C8AAE">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--岗位职责：不涉及</w:t>
      </w:r>
    </w:p>
    <w:p w14:paraId="02972A93">
      <w:pPr>
        <w:pStyle w:val="6"/>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（2）受理</w:t>
      </w:r>
    </w:p>
    <w:p w14:paraId="563D0F77">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办税受理岗接收扣缴义务人提交的资料，进行完整性、合规性审核。</w:t>
      </w:r>
    </w:p>
    <w:p w14:paraId="328A7F70">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--办理机构：</w:t>
      </w:r>
      <w:r>
        <w:rPr>
          <w:rFonts w:hint="eastAsia" w:ascii="宋体" w:hAnsi="宋体" w:eastAsia="宋体" w:cs="宋体"/>
          <w:bCs/>
          <w:sz w:val="24"/>
          <w:szCs w:val="24"/>
        </w:rPr>
        <w:t>纳税服务机构</w:t>
      </w:r>
    </w:p>
    <w:p w14:paraId="1C616828">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--办理岗位：办税受理岗</w:t>
      </w:r>
    </w:p>
    <w:p w14:paraId="17F46C4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--信息系统：</w:t>
      </w:r>
      <w:r>
        <w:rPr>
          <w:rFonts w:hint="eastAsia" w:ascii="宋体" w:hAnsi="宋体" w:eastAsia="宋体" w:cs="宋体"/>
          <w:bCs/>
          <w:sz w:val="24"/>
          <w:szCs w:val="24"/>
        </w:rPr>
        <w:t>金税系统“代收代缴车船税申报”</w:t>
      </w:r>
    </w:p>
    <w:p w14:paraId="7525FBA1">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--表证单书：见资料处理部分</w:t>
      </w:r>
    </w:p>
    <w:p w14:paraId="199B23A4">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--岗位职责：</w:t>
      </w:r>
      <w:r>
        <w:rPr>
          <w:rFonts w:hint="eastAsia" w:ascii="宋体" w:hAnsi="宋体" w:eastAsia="宋体" w:cs="宋体"/>
          <w:bCs/>
          <w:sz w:val="24"/>
          <w:szCs w:val="24"/>
        </w:rPr>
        <w:t>办税受理岗核对报送资料是否齐全，是否符合法定形式、申请填写内容是否完整。符合的，受理并即时办理。资料不齐全、不符合法定形式、填写内容不完整的，制作《税务事项通知书》（补正通知），一次性告知需补正的内容。依法不属于本机关职权或本业务受理范围的，制作《税务事项通知书》（不予受理通知），告知不予受理的原因。</w:t>
      </w:r>
    </w:p>
    <w:p w14:paraId="6A5BEDE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办税受理岗进行系统信息录入、维护，录入信息必须规范、完整，并与扣缴单位提供的资料信息一致。</w:t>
      </w:r>
    </w:p>
    <w:p w14:paraId="65D132F0">
      <w:pPr>
        <w:pStyle w:val="6"/>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（3）出件</w:t>
      </w:r>
    </w:p>
    <w:p w14:paraId="7153341D">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--办理机构：</w:t>
      </w:r>
      <w:r>
        <w:rPr>
          <w:rFonts w:hint="eastAsia" w:ascii="宋体" w:hAnsi="宋体" w:eastAsia="宋体" w:cs="宋体"/>
          <w:bCs/>
          <w:sz w:val="24"/>
          <w:szCs w:val="24"/>
        </w:rPr>
        <w:t>纳税服务机构</w:t>
      </w:r>
    </w:p>
    <w:p w14:paraId="15C87C2D">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--办理岗位：办税受理岗</w:t>
      </w:r>
    </w:p>
    <w:p w14:paraId="602775E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--信息系统：</w:t>
      </w:r>
      <w:r>
        <w:rPr>
          <w:rFonts w:hint="eastAsia" w:ascii="宋体" w:hAnsi="宋体" w:eastAsia="宋体" w:cs="宋体"/>
          <w:bCs/>
          <w:sz w:val="24"/>
          <w:szCs w:val="24"/>
        </w:rPr>
        <w:t>金税系统“代收代缴车船税申报”</w:t>
      </w:r>
    </w:p>
    <w:p w14:paraId="16C5DF3A">
      <w:pPr>
        <w:pStyle w:val="9"/>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--表证单书：见资料处理部分</w:t>
      </w:r>
    </w:p>
    <w:p w14:paraId="0F785BC5">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--岗位职责：</w:t>
      </w:r>
      <w:r>
        <w:rPr>
          <w:rFonts w:hint="eastAsia" w:ascii="宋体" w:hAnsi="宋体" w:eastAsia="宋体" w:cs="宋体"/>
          <w:bCs/>
          <w:sz w:val="24"/>
          <w:szCs w:val="24"/>
        </w:rPr>
        <w:t>办税受理岗在《车船税代收代缴报告表》上签名并加盖业务专用章，一份返还扣缴单位，一份作为资料归档。</w:t>
      </w:r>
    </w:p>
    <w:p w14:paraId="04E0EE2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涉及税款的，办税受理岗可开具税收缴款书或税收完税凭证。</w:t>
      </w:r>
    </w:p>
    <w:p w14:paraId="7CC3CE4D">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【资料处理】</w:t>
      </w:r>
    </w:p>
    <w:p w14:paraId="4A274020">
      <w:pPr>
        <w:pageBreakBefore w:val="0"/>
        <w:kinsoku/>
        <w:wordWrap/>
        <w:bidi w:val="0"/>
        <w:snapToGrid/>
        <w:spacing w:before="157" w:beforeLines="50" w:after="157"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代收代缴车船税申报报送资料清单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5F6C8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shd w:val="clear" w:color="auto" w:fill="E0E0E0"/>
            <w:noWrap w:val="0"/>
            <w:vAlign w:val="center"/>
          </w:tcPr>
          <w:p w14:paraId="2D3B305A">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4139" w:type="dxa"/>
            <w:shd w:val="clear" w:color="auto" w:fill="E0E0E0"/>
            <w:noWrap w:val="0"/>
            <w:vAlign w:val="center"/>
          </w:tcPr>
          <w:p w14:paraId="3015EA73">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报送资料名称</w:t>
            </w:r>
          </w:p>
        </w:tc>
        <w:tc>
          <w:tcPr>
            <w:tcW w:w="624" w:type="dxa"/>
            <w:shd w:val="clear" w:color="auto" w:fill="E0E0E0"/>
            <w:noWrap w:val="0"/>
            <w:vAlign w:val="center"/>
          </w:tcPr>
          <w:p w14:paraId="7C280B81">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必报</w:t>
            </w:r>
          </w:p>
        </w:tc>
        <w:tc>
          <w:tcPr>
            <w:tcW w:w="624" w:type="dxa"/>
            <w:shd w:val="clear" w:color="auto" w:fill="E0E0E0"/>
            <w:noWrap w:val="0"/>
            <w:vAlign w:val="center"/>
          </w:tcPr>
          <w:p w14:paraId="260E4DA3">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条件报送</w:t>
            </w:r>
          </w:p>
        </w:tc>
        <w:tc>
          <w:tcPr>
            <w:tcW w:w="624" w:type="dxa"/>
            <w:shd w:val="clear" w:color="auto" w:fill="E0E0E0"/>
            <w:noWrap w:val="0"/>
            <w:vAlign w:val="center"/>
          </w:tcPr>
          <w:p w14:paraId="5F5A5263">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归档</w:t>
            </w:r>
          </w:p>
        </w:tc>
        <w:tc>
          <w:tcPr>
            <w:tcW w:w="624" w:type="dxa"/>
            <w:shd w:val="clear" w:color="auto" w:fill="E0E0E0"/>
            <w:noWrap w:val="0"/>
            <w:vAlign w:val="center"/>
          </w:tcPr>
          <w:p w14:paraId="02D2C127">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查验</w:t>
            </w:r>
          </w:p>
        </w:tc>
        <w:tc>
          <w:tcPr>
            <w:tcW w:w="624" w:type="dxa"/>
            <w:shd w:val="clear" w:color="auto" w:fill="E0E0E0"/>
            <w:noWrap w:val="0"/>
            <w:vAlign w:val="center"/>
          </w:tcPr>
          <w:p w14:paraId="40C8E8B6">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代保管</w:t>
            </w:r>
          </w:p>
        </w:tc>
        <w:tc>
          <w:tcPr>
            <w:tcW w:w="624" w:type="dxa"/>
            <w:shd w:val="clear" w:color="auto" w:fill="E0E0E0"/>
            <w:noWrap w:val="0"/>
            <w:vAlign w:val="center"/>
          </w:tcPr>
          <w:p w14:paraId="65695431">
            <w:pPr>
              <w:pStyle w:val="11"/>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核销</w:t>
            </w:r>
          </w:p>
        </w:tc>
      </w:tr>
      <w:tr w14:paraId="525B5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center"/>
          </w:tcPr>
          <w:p w14:paraId="2E5B709B">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4139" w:type="dxa"/>
            <w:noWrap w:val="0"/>
            <w:vAlign w:val="center"/>
          </w:tcPr>
          <w:p w14:paraId="31B9CD15">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sz w:val="24"/>
                <w:szCs w:val="24"/>
              </w:rPr>
              <w:t>《车船税代收代缴报告表》</w:t>
            </w:r>
          </w:p>
        </w:tc>
        <w:tc>
          <w:tcPr>
            <w:tcW w:w="624" w:type="dxa"/>
            <w:noWrap w:val="0"/>
            <w:vAlign w:val="center"/>
          </w:tcPr>
          <w:p w14:paraId="5E98AFD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2598281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14:paraId="7FBCE03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587D242F">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14:paraId="6EFF2E17">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p>
        </w:tc>
        <w:tc>
          <w:tcPr>
            <w:tcW w:w="624" w:type="dxa"/>
            <w:noWrap w:val="0"/>
            <w:vAlign w:val="center"/>
          </w:tcPr>
          <w:p w14:paraId="14895547">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p>
        </w:tc>
      </w:tr>
      <w:tr w14:paraId="622BC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center"/>
          </w:tcPr>
          <w:p w14:paraId="714D159A">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4139" w:type="dxa"/>
            <w:noWrap w:val="0"/>
            <w:vAlign w:val="center"/>
          </w:tcPr>
          <w:p w14:paraId="0D3D4762">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kern w:val="0"/>
                <w:sz w:val="24"/>
                <w:szCs w:val="24"/>
                <w:lang w:bidi="ar"/>
              </w:rPr>
              <w:t>《中华人民共和国税收缴款书（代扣</w:t>
            </w:r>
          </w:p>
          <w:p w14:paraId="3E21920A">
            <w:pPr>
              <w:pageBreakBefore w:val="0"/>
              <w:widowControl/>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kern w:val="0"/>
                <w:sz w:val="24"/>
                <w:szCs w:val="24"/>
                <w:lang w:bidi="ar"/>
              </w:rPr>
              <w:t>代收专用）》第二联</w:t>
            </w:r>
          </w:p>
        </w:tc>
        <w:tc>
          <w:tcPr>
            <w:tcW w:w="624" w:type="dxa"/>
            <w:noWrap w:val="0"/>
            <w:vAlign w:val="center"/>
          </w:tcPr>
          <w:p w14:paraId="2B16110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14:paraId="25C2D99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64D93448">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1111CFBB">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14:paraId="0AD4D066">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p>
        </w:tc>
        <w:tc>
          <w:tcPr>
            <w:tcW w:w="624" w:type="dxa"/>
            <w:noWrap w:val="0"/>
            <w:vAlign w:val="center"/>
          </w:tcPr>
          <w:p w14:paraId="34BFBD8B">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p>
        </w:tc>
      </w:tr>
      <w:tr w14:paraId="144C1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center"/>
          </w:tcPr>
          <w:p w14:paraId="0AE71F72">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4139" w:type="dxa"/>
            <w:noWrap w:val="0"/>
            <w:vAlign w:val="center"/>
          </w:tcPr>
          <w:p w14:paraId="4EB5EFFF">
            <w:pPr>
              <w:pageBreakBefore w:val="0"/>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kern w:val="0"/>
                <w:sz w:val="24"/>
                <w:szCs w:val="24"/>
                <w:lang w:bidi="ar"/>
              </w:rPr>
              <w:t>《中华人民共和国税收缴款书（银行</w:t>
            </w:r>
          </w:p>
          <w:p w14:paraId="584CFDD0">
            <w:pPr>
              <w:pageBreakBefore w:val="0"/>
              <w:widowControl/>
              <w:kinsoku/>
              <w:wordWrap/>
              <w:bidi w:val="0"/>
              <w:snapToGrid/>
              <w:spacing w:before="157" w:beforeLines="50" w:after="157" w:afterLines="50" w:line="360" w:lineRule="auto"/>
              <w:rPr>
                <w:rFonts w:hint="eastAsia" w:ascii="宋体" w:hAnsi="宋体" w:eastAsia="宋体" w:cs="宋体"/>
                <w:sz w:val="24"/>
                <w:szCs w:val="24"/>
              </w:rPr>
            </w:pPr>
            <w:r>
              <w:rPr>
                <w:rFonts w:hint="eastAsia" w:ascii="宋体" w:hAnsi="宋体" w:eastAsia="宋体" w:cs="宋体"/>
                <w:kern w:val="0"/>
                <w:sz w:val="24"/>
                <w:szCs w:val="24"/>
                <w:lang w:bidi="ar"/>
              </w:rPr>
              <w:t>经收专用）》第一联</w:t>
            </w:r>
          </w:p>
        </w:tc>
        <w:tc>
          <w:tcPr>
            <w:tcW w:w="624" w:type="dxa"/>
            <w:noWrap w:val="0"/>
            <w:vAlign w:val="center"/>
          </w:tcPr>
          <w:p w14:paraId="08F215B7">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14:paraId="06844E83">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1C932B3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624" w:type="dxa"/>
            <w:noWrap w:val="0"/>
            <w:vAlign w:val="center"/>
          </w:tcPr>
          <w:p w14:paraId="44232556">
            <w:pPr>
              <w:pageBreakBefore w:val="0"/>
              <w:kinsoku/>
              <w:wordWrap/>
              <w:bidi w:val="0"/>
              <w:snapToGrid/>
              <w:spacing w:before="157" w:beforeLines="50" w:after="157" w:afterLines="50" w:line="360" w:lineRule="auto"/>
              <w:jc w:val="center"/>
              <w:rPr>
                <w:rFonts w:hint="eastAsia" w:ascii="宋体" w:hAnsi="宋体" w:eastAsia="宋体" w:cs="宋体"/>
                <w:sz w:val="24"/>
                <w:szCs w:val="24"/>
              </w:rPr>
            </w:pPr>
          </w:p>
        </w:tc>
        <w:tc>
          <w:tcPr>
            <w:tcW w:w="624" w:type="dxa"/>
            <w:noWrap w:val="0"/>
            <w:vAlign w:val="center"/>
          </w:tcPr>
          <w:p w14:paraId="0F120120">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p>
        </w:tc>
        <w:tc>
          <w:tcPr>
            <w:tcW w:w="624" w:type="dxa"/>
            <w:noWrap w:val="0"/>
            <w:vAlign w:val="center"/>
          </w:tcPr>
          <w:p w14:paraId="4886628C">
            <w:pPr>
              <w:pStyle w:val="12"/>
              <w:pageBreakBefore w:val="0"/>
              <w:kinsoku/>
              <w:wordWrap/>
              <w:bidi w:val="0"/>
              <w:snapToGrid/>
              <w:spacing w:before="157" w:beforeLines="50" w:after="157" w:afterLines="50" w:line="360" w:lineRule="auto"/>
              <w:rPr>
                <w:rFonts w:hint="eastAsia" w:ascii="宋体" w:hAnsi="宋体" w:eastAsia="宋体" w:cs="宋体"/>
                <w:kern w:val="2"/>
                <w:sz w:val="24"/>
                <w:szCs w:val="24"/>
              </w:rPr>
            </w:pPr>
          </w:p>
        </w:tc>
      </w:tr>
    </w:tbl>
    <w:p w14:paraId="7CE37958">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上述条件报送资料的报送条件为： </w:t>
      </w:r>
    </w:p>
    <w:p w14:paraId="1E4F390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1.《中华人民共和国税收缴款书（代扣代收专用）》第二联的报送条件为扣缴义务人在扣缴税款时已向被扣缴义务人开具税票的情形。 </w:t>
      </w:r>
    </w:p>
    <w:p w14:paraId="3504F0D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2.《中华人民共和国税收缴款书（银行经收专用）》第一联的报送条件为扣缴义务人汇总缴库开具税票的情形。</w:t>
      </w:r>
    </w:p>
    <w:p w14:paraId="574DEEA0">
      <w:pPr>
        <w:pStyle w:val="4"/>
        <w:pageBreakBefore w:val="0"/>
        <w:kinsoku/>
        <w:wordWrap/>
        <w:bidi w:val="0"/>
        <w:snapToGrid/>
        <w:spacing w:before="157" w:beforeLines="50" w:after="157" w:afterLines="50" w:line="360" w:lineRule="auto"/>
        <w:rPr>
          <w:rFonts w:hint="eastAsia" w:ascii="宋体" w:hAnsi="宋体" w:eastAsia="宋体" w:cs="宋体"/>
          <w:b/>
          <w:sz w:val="24"/>
          <w:szCs w:val="24"/>
        </w:rPr>
      </w:pPr>
      <w:r>
        <w:rPr>
          <w:rFonts w:hint="eastAsia" w:ascii="宋体" w:hAnsi="宋体" w:eastAsia="宋体" w:cs="宋体"/>
          <w:b/>
          <w:sz w:val="24"/>
          <w:szCs w:val="24"/>
        </w:rPr>
        <w:t>【政策依据】</w:t>
      </w:r>
    </w:p>
    <w:p w14:paraId="57B47354">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1.《中华人民共和国税收征收管理法》（中华人民共和国主席令〔2001〕第四十九号）第四条、第六条、第二十五条</w:t>
      </w:r>
    </w:p>
    <w:p w14:paraId="296937F9">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2.《中华人民共和国车船税法》（主席令第四十三号）第六条</w:t>
      </w:r>
    </w:p>
    <w:p w14:paraId="73918218">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3.《中华人民共和国税收征收管理法实施细则》（中华人民共和国国务院令第362号）第三十三条、第三十五条</w:t>
      </w:r>
    </w:p>
    <w:p w14:paraId="1E691232">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4.《中华人民共和国车船税法实施条例》（国务院令第611号）</w:t>
      </w:r>
    </w:p>
    <w:p w14:paraId="3D6CF63F">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5.《国家税务总局关于发布〈车船税管理规程（试行）〉的公告》（国家税务总局公告2015年第83号）</w:t>
      </w:r>
    </w:p>
    <w:p w14:paraId="397E5697">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6.《国家税务总局关于保险机构代收车船税开具增值税发票问题的公告》（国家税务总局公告2016年第51号）</w:t>
      </w:r>
    </w:p>
    <w:p w14:paraId="3CAC475C">
      <w:pPr>
        <w:pageBreakBefore w:val="0"/>
        <w:kinsoku/>
        <w:wordWrap/>
        <w:bidi w:val="0"/>
        <w:snapToGrid/>
        <w:spacing w:before="157" w:beforeLines="50" w:after="157" w:afterLines="50" w:line="360" w:lineRule="auto"/>
        <w:rPr>
          <w:rFonts w:hint="eastAsia" w:ascii="宋体" w:hAnsi="宋体" w:eastAsia="宋体" w:cs="宋体"/>
          <w:sz w:val="24"/>
          <w:szCs w:val="24"/>
        </w:rPr>
      </w:pPr>
    </w:p>
    <w:bookmarkEnd w:id="0"/>
    <w:p w14:paraId="34311E14">
      <w:pPr>
        <w:pageBreakBefore w:val="0"/>
        <w:kinsoku/>
        <w:wordWrap/>
        <w:bidi w:val="0"/>
        <w:snapToGrid/>
        <w:spacing w:before="157" w:beforeLines="50" w:after="157" w:afterLines="50" w:line="360" w:lineRule="auto"/>
        <w:rPr>
          <w:rFonts w:hint="eastAsia" w:ascii="宋体" w:hAnsi="宋体" w:eastAsia="宋体" w:cs="宋体"/>
          <w:sz w:val="24"/>
          <w:szCs w:val="24"/>
        </w:rPr>
      </w:pPr>
    </w:p>
    <w:p w14:paraId="5EAD7A90">
      <w:pPr>
        <w:pageBreakBefore w:val="0"/>
        <w:kinsoku/>
        <w:wordWrap/>
        <w:bidi w:val="0"/>
        <w:snapToGrid/>
        <w:spacing w:before="157" w:beforeLines="50" w:after="157" w:afterLines="50"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B7BA2"/>
    <w:rsid w:val="5BFD0161"/>
    <w:rsid w:val="6A970676"/>
    <w:rsid w:val="703C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需求正文_0"/>
    <w:basedOn w:val="10"/>
    <w:qFormat/>
    <w:uiPriority w:val="0"/>
    <w:pPr>
      <w:topLinePunct/>
      <w:ind w:firstLine="200"/>
    </w:pPr>
    <w:rPr>
      <w:kern w:val="20"/>
      <w:sz w:val="20"/>
      <w:szCs w:val="20"/>
    </w:rPr>
  </w:style>
  <w:style w:type="paragraph" w:customStyle="1" w:styleId="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表格列标题_0"/>
    <w:basedOn w:val="1"/>
    <w:qFormat/>
    <w:uiPriority w:val="0"/>
    <w:pPr>
      <w:jc w:val="center"/>
    </w:pPr>
    <w:rPr>
      <w:rFonts w:ascii="Arial" w:hAnsi="Arial" w:eastAsia="宋体"/>
      <w:b/>
      <w:kern w:val="0"/>
      <w:sz w:val="18"/>
      <w:szCs w:val="24"/>
    </w:rPr>
  </w:style>
  <w:style w:type="paragraph" w:customStyle="1" w:styleId="12">
    <w:name w:val="表格文字 居中_0"/>
    <w:basedOn w:val="1"/>
    <w:qFormat/>
    <w:uiPriority w:val="0"/>
    <w:pPr>
      <w:jc w:val="center"/>
    </w:pPr>
    <w:rPr>
      <w:rFonts w:ascii="Arial" w:hAnsi="Arial" w:eastAsia="宋体"/>
      <w:kern w:val="0"/>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1284</Words>
  <Characters>1340</Characters>
  <Lines>0</Lines>
  <Paragraphs>0</Paragraphs>
  <TotalTime>3</TotalTime>
  <ScaleCrop>false</ScaleCrop>
  <LinksUpToDate>false</LinksUpToDate>
  <CharactersWithSpaces>1344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2025-02-28T08:36:00Z</dcterms:created>
  <dc:creator>tsuser</dc:creator>
  <cp:lastModifiedBy>默默</cp:lastModifiedBy>
  <dcterms:modified xsi:type="dcterms:W3CDTF">2025-07-08T07:45:49Z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BE2276899CD14D7498095C7EC2BB39C3_12</vt:lpwstr>
  </property>
</Properties>
</file>