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3EEC">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3.8.1  定期定额户申请核定及调整定额——1290</w:t>
      </w:r>
    </w:p>
    <w:p w14:paraId="2340E357">
      <w:pPr>
        <w:pStyle w:val="2"/>
        <w:rPr>
          <w:rFonts w:hint="eastAsia"/>
          <w:highlight w:val="none"/>
        </w:rPr>
      </w:pPr>
    </w:p>
    <w:p w14:paraId="2CAEC5D2">
      <w:pPr>
        <w:pStyle w:val="3"/>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rPr>
        <w:t>【事项概述】</w:t>
      </w:r>
    </w:p>
    <w:p w14:paraId="32B2603F">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定期定额户申请核定定额是指纳税人提出定额核定申请，税务机关根据《个体工商户税收定期定额征收管理办法》和其他税收法律、行政法规的规定，根据影响纳税人经营的一些经营</w:t>
      </w:r>
      <w:r>
        <w:rPr>
          <w:rFonts w:hint="eastAsia" w:ascii="宋体" w:hAnsi="宋体" w:eastAsia="宋体" w:cs="宋体"/>
          <w:bCs/>
          <w:sz w:val="24"/>
          <w:szCs w:val="24"/>
          <w:highlight w:val="none"/>
          <w:lang w:bidi="ar"/>
        </w:rPr>
        <w:t>指标如经营面积、年房屋租金、从业人数、月用电量（度）、主要设备名称及台（套）数等</w:t>
      </w:r>
      <w:r>
        <w:rPr>
          <w:rFonts w:hint="eastAsia" w:ascii="宋体" w:hAnsi="宋体" w:eastAsia="宋体" w:cs="宋体"/>
          <w:bCs/>
          <w:sz w:val="24"/>
          <w:szCs w:val="24"/>
          <w:highlight w:val="none"/>
          <w:lang w:bidi="ar"/>
        </w:rPr>
        <w:t>，对个体工商户在一定经营地点、一定经营时期、一定经营范围内的应纳税经营额（包括经营数量）进行核定，并以此为计税依据，确定其应纳税额；或者根据纳税人执行期</w:t>
      </w:r>
      <w:r>
        <w:rPr>
          <w:rFonts w:hint="eastAsia" w:ascii="宋体" w:hAnsi="宋体" w:eastAsia="宋体" w:cs="宋体"/>
          <w:bCs/>
          <w:sz w:val="24"/>
          <w:szCs w:val="24"/>
          <w:highlight w:val="none"/>
          <w:lang w:bidi="ar"/>
        </w:rPr>
        <w:t>月均成本费用支出总额，依据典型调查确定的每一行业所得率（不同于应税所得率，类似于企业的经营毛利率）标准</w:t>
      </w:r>
      <w:r>
        <w:rPr>
          <w:rFonts w:hint="eastAsia" w:ascii="宋体" w:hAnsi="宋体" w:eastAsia="宋体" w:cs="宋体"/>
          <w:bCs/>
          <w:sz w:val="24"/>
          <w:szCs w:val="24"/>
          <w:highlight w:val="none"/>
          <w:lang w:bidi="ar"/>
        </w:rPr>
        <w:t>，或系统定额相关信息采集预估经营额，确定其定额。定期定额户如未能全面提供或提供的主要成本费用支出明显偏低，又无正当理由的，主管税务机关可参照同类行业或类似行业中同规模、同地域纳税人的最低成本费用标准进行核定。</w:t>
      </w:r>
    </w:p>
    <w:p w14:paraId="739E6ACA">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个体工商户税收定期定额征收</w:t>
      </w:r>
      <w:r>
        <w:rPr>
          <w:rFonts w:hint="eastAsia" w:ascii="宋体" w:hAnsi="宋体" w:eastAsia="宋体" w:cs="宋体"/>
          <w:bCs/>
          <w:sz w:val="24"/>
          <w:szCs w:val="24"/>
          <w:highlight w:val="none"/>
          <w:lang w:bidi="ar"/>
        </w:rPr>
        <w:t>适用于经主管税务机关认定和县以上税务机关（含县级）批准的生产、经营规模小，达不到《个体工商户建账管理暂行办法》规定设置账簿标准的个体工商户和个人独资企业的税收征收管理。</w:t>
      </w:r>
    </w:p>
    <w:p w14:paraId="46E5F32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《国家税务总局关于个体工商户定期定额征收管理有关问题的通知》（国税发〔2006〕183号）第六条第三款也规定，</w:t>
      </w:r>
      <w:r>
        <w:rPr>
          <w:rFonts w:hint="eastAsia" w:ascii="宋体" w:hAnsi="宋体" w:eastAsia="宋体" w:cs="宋体"/>
          <w:sz w:val="24"/>
          <w:szCs w:val="24"/>
          <w:highlight w:val="none"/>
          <w:lang w:bidi="ar"/>
        </w:rPr>
        <w:t>未达到起征点的定期定额户</w:t>
      </w:r>
      <w:r>
        <w:rPr>
          <w:rFonts w:hint="eastAsia" w:ascii="宋体" w:hAnsi="宋体" w:eastAsia="宋体" w:cs="宋体"/>
          <w:b/>
          <w:bCs/>
          <w:color w:val="FF0000"/>
          <w:sz w:val="24"/>
          <w:szCs w:val="24"/>
          <w:highlight w:val="none"/>
          <w:lang w:bidi="ar"/>
        </w:rPr>
        <w:t>连续三个月达到起征点</w:t>
      </w:r>
      <w:r>
        <w:rPr>
          <w:rFonts w:hint="eastAsia" w:ascii="宋体" w:hAnsi="宋体" w:eastAsia="宋体" w:cs="宋体"/>
          <w:sz w:val="24"/>
          <w:szCs w:val="24"/>
          <w:highlight w:val="none"/>
          <w:lang w:bidi="ar"/>
        </w:rPr>
        <w:t>，应当向税务机关申报，提请重新核定定额。</w:t>
      </w:r>
      <w:r>
        <w:rPr>
          <w:rFonts w:hint="eastAsia" w:ascii="宋体" w:hAnsi="宋体" w:eastAsia="宋体" w:cs="宋体"/>
          <w:sz w:val="24"/>
          <w:szCs w:val="24"/>
          <w:highlight w:val="none"/>
          <w:lang w:bidi="ar"/>
        </w:rPr>
        <w:t>税务机关应当按照《个体工商户税收定期定额征收管理办法》有关规定重新核定定额，并下达《核定定额通知书》。</w:t>
      </w:r>
    </w:p>
    <w:p w14:paraId="1800286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定期定额户对税务机关已经核定的定额需要调整的，可向主管税务机关提出重新核定定额申请。</w:t>
      </w:r>
    </w:p>
    <w:p w14:paraId="54FEFC03">
      <w:pPr>
        <w:pStyle w:val="3"/>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【办理类别】</w:t>
      </w:r>
    </w:p>
    <w:p w14:paraId="3616B6FF">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办理方式：线上（全程在线审核办结）/线下</w:t>
      </w:r>
    </w:p>
    <w:p w14:paraId="4D87A920">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办理时限：限时办结</w:t>
      </w:r>
    </w:p>
    <w:p w14:paraId="4A7E44C1">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办理层级：区县级</w:t>
      </w:r>
    </w:p>
    <w:p w14:paraId="7455B503">
      <w:pPr>
        <w:pStyle w:val="3"/>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【办理流程】</w:t>
      </w:r>
    </w:p>
    <w:p w14:paraId="5EE2672C">
      <w:pPr>
        <w:keepNext/>
        <w:keepLines/>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1.线上流程：申请—受理—核定—公示—核准—出件—公布</w:t>
      </w:r>
    </w:p>
    <w:p w14:paraId="4CCD7DD9">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（1）申请</w:t>
      </w:r>
    </w:p>
    <w:p w14:paraId="45F92FC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纳税人通过全国统一规范电子税务局“定期定额户申请核定及调整定额”功能填报相关信息，提交申请。</w:t>
      </w:r>
    </w:p>
    <w:p w14:paraId="73C4BE72">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（2）受理</w:t>
      </w:r>
    </w:p>
    <w:p w14:paraId="2E4AA278">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（3）核定</w:t>
      </w:r>
    </w:p>
    <w:p w14:paraId="7AC0E107">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（4）公示</w:t>
      </w:r>
    </w:p>
    <w:p w14:paraId="570420E5">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①综合管理岗审核定额核定是否合理，对定额核定符合规定的完成定额核定。</w:t>
      </w:r>
    </w:p>
    <w:p w14:paraId="0A611837">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②制作《个体工商户定期定额公示》通知书，</w:t>
      </w:r>
      <w:r>
        <w:rPr>
          <w:rFonts w:hint="eastAsia" w:ascii="宋体" w:hAnsi="宋体" w:eastAsia="宋体" w:cs="宋体"/>
          <w:bCs/>
          <w:sz w:val="24"/>
          <w:szCs w:val="24"/>
          <w:highlight w:val="none"/>
          <w:lang w:bidi="ar"/>
        </w:rPr>
        <w:t>将核定定额的初步结果进行公示，公示期限为5个工作日</w:t>
      </w:r>
      <w:r>
        <w:rPr>
          <w:rFonts w:hint="eastAsia" w:ascii="宋体" w:hAnsi="宋体" w:eastAsia="宋体" w:cs="宋体"/>
          <w:bCs/>
          <w:sz w:val="24"/>
          <w:szCs w:val="24"/>
          <w:highlight w:val="none"/>
          <w:lang w:bidi="ar"/>
        </w:rPr>
        <w:t>。公示地点、范围、形式应当按照便于定期定额户及社会各界了解、监督的原则，由主管税务机关确定。</w:t>
      </w:r>
    </w:p>
    <w:p w14:paraId="71043BF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③公示期间纳税人提出异议的，退回人工调整环节进行重新核定。</w:t>
      </w:r>
    </w:p>
    <w:p w14:paraId="7C87FBCE">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（5）核准</w:t>
      </w:r>
    </w:p>
    <w:p w14:paraId="511B45DB">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（6）出件</w:t>
      </w:r>
    </w:p>
    <w:p w14:paraId="5BE50A36">
      <w:pPr>
        <w:pStyle w:val="6"/>
        <w:pageBreakBefore w:val="0"/>
        <w:widowControl w:val="0"/>
        <w:kinsoku/>
        <w:wordWrap/>
        <w:topLinePunct w:val="0"/>
        <w:bidi w:val="0"/>
        <w:snapToGrid/>
        <w:spacing w:before="157" w:beforeLines="50" w:beforeAutospacing="0" w:after="157" w:afterLines="50" w:afterAutospacing="0" w:line="360" w:lineRule="auto"/>
        <w:ind w:firstLine="480" w:firstLineChars="200"/>
        <w:jc w:val="both"/>
        <w:rPr>
          <w:rFonts w:hint="eastAsia" w:ascii="宋体" w:hAnsi="宋体" w:eastAsia="宋体" w:cs="宋体"/>
          <w:bCs/>
          <w:sz w:val="24"/>
          <w:szCs w:val="24"/>
          <w:highlight w:val="none"/>
        </w:rPr>
      </w:pPr>
      <w:r>
        <w:rPr>
          <w:rFonts w:hint="eastAsia" w:ascii="宋体" w:hAnsi="宋体" w:eastAsia="宋体" w:cs="宋体"/>
          <w:bCs/>
          <w:kern w:val="2"/>
          <w:sz w:val="24"/>
          <w:szCs w:val="24"/>
          <w:highlight w:val="none"/>
          <w:lang w:bidi="ar"/>
        </w:rPr>
        <w:t>办税受理岗根据审批结果，制作《核定定额通知书》，送达纳税人执行。办税受理岗</w:t>
      </w:r>
      <w:r>
        <w:rPr>
          <w:rFonts w:hint="eastAsia" w:ascii="宋体" w:hAnsi="宋体" w:eastAsia="宋体" w:cs="宋体"/>
          <w:bCs/>
          <w:kern w:val="2"/>
          <w:sz w:val="24"/>
          <w:szCs w:val="24"/>
          <w:highlight w:val="none"/>
          <w:lang w:bidi="ar"/>
        </w:rPr>
        <w:t>制作《核定定额通知书》或《未达起征点通知书》电子送达纳税人</w:t>
      </w:r>
      <w:r>
        <w:rPr>
          <w:rFonts w:hint="eastAsia" w:ascii="宋体" w:hAnsi="宋体" w:eastAsia="宋体" w:cs="宋体"/>
          <w:bCs/>
          <w:kern w:val="2"/>
          <w:sz w:val="24"/>
          <w:szCs w:val="24"/>
          <w:highlight w:val="none"/>
          <w:lang w:bidi="ar"/>
        </w:rPr>
        <w:t>。</w:t>
      </w:r>
    </w:p>
    <w:p w14:paraId="02A9E085">
      <w:pPr>
        <w:pageBreakBefore w:val="0"/>
        <w:kinsoku/>
        <w:wordWrap/>
        <w:topLinePunct w:val="0"/>
        <w:bidi w:val="0"/>
        <w:snapToGrid/>
        <w:spacing w:before="157" w:beforeLines="50" w:after="157" w:afterLines="50"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（7）公布</w:t>
      </w:r>
    </w:p>
    <w:p w14:paraId="0BC6EFA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p>
    <w:p w14:paraId="4D32E098">
      <w:pPr>
        <w:pStyle w:val="3"/>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【资料处理】</w:t>
      </w:r>
    </w:p>
    <w:p w14:paraId="775150A9">
      <w:pPr>
        <w:pStyle w:val="6"/>
        <w:keepNext/>
        <w:pageBreakBefore w:val="0"/>
        <w:widowControl w:val="0"/>
        <w:tabs>
          <w:tab w:val="center" w:pos="4200"/>
        </w:tabs>
        <w:kinsoku/>
        <w:wordWrap/>
        <w:topLinePunct w:val="0"/>
        <w:bidi w:val="0"/>
        <w:snapToGrid/>
        <w:spacing w:before="157" w:beforeLines="50" w:beforeAutospacing="0" w:after="157" w:afterLines="50" w:afterAutospacing="0" w:line="360" w:lineRule="auto"/>
        <w:ind w:firstLine="100"/>
        <w:jc w:val="center"/>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个体工商户定期定额初次核定报送资料清单</w:t>
      </w:r>
    </w:p>
    <w:tbl>
      <w:tblPr>
        <w:tblStyle w:val="7"/>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1"/>
        <w:gridCol w:w="4319"/>
        <w:gridCol w:w="457"/>
        <w:gridCol w:w="624"/>
        <w:gridCol w:w="624"/>
        <w:gridCol w:w="624"/>
        <w:gridCol w:w="624"/>
        <w:gridCol w:w="624"/>
      </w:tblGrid>
      <w:tr w14:paraId="1B882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365" w:type="pct"/>
            <w:tcBorders>
              <w:top w:val="single" w:color="auto" w:sz="12" w:space="0"/>
              <w:left w:val="single" w:color="auto" w:sz="12" w:space="0"/>
              <w:bottom w:val="single" w:color="auto" w:sz="6" w:space="0"/>
              <w:right w:val="single" w:color="auto" w:sz="6" w:space="0"/>
            </w:tcBorders>
            <w:shd w:val="clear" w:color="auto" w:fill="E0E0E0"/>
            <w:noWrap w:val="0"/>
            <w:vAlign w:val="center"/>
          </w:tcPr>
          <w:p w14:paraId="09411B0C">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序号</w:t>
            </w:r>
          </w:p>
        </w:tc>
        <w:tc>
          <w:tcPr>
            <w:tcW w:w="2534"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65515460">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报送资料名称</w:t>
            </w:r>
          </w:p>
        </w:tc>
        <w:tc>
          <w:tcPr>
            <w:tcW w:w="268"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1827A09E">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必报</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26B619A3">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条件报送</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3533073B">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归档</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5AB9A011">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查验</w:t>
            </w:r>
          </w:p>
        </w:tc>
        <w:tc>
          <w:tcPr>
            <w:tcW w:w="366" w:type="pct"/>
            <w:tcBorders>
              <w:top w:val="single" w:color="auto" w:sz="12" w:space="0"/>
              <w:left w:val="single" w:color="auto" w:sz="6" w:space="0"/>
              <w:bottom w:val="single" w:color="auto" w:sz="6" w:space="0"/>
              <w:right w:val="single" w:color="auto" w:sz="6" w:space="0"/>
            </w:tcBorders>
            <w:shd w:val="clear" w:color="auto" w:fill="E0E0E0"/>
            <w:noWrap w:val="0"/>
            <w:vAlign w:val="center"/>
          </w:tcPr>
          <w:p w14:paraId="428EBB7D">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代保管</w:t>
            </w:r>
          </w:p>
        </w:tc>
        <w:tc>
          <w:tcPr>
            <w:tcW w:w="366" w:type="pct"/>
            <w:tcBorders>
              <w:top w:val="single" w:color="auto" w:sz="12" w:space="0"/>
              <w:left w:val="single" w:color="auto" w:sz="6" w:space="0"/>
              <w:bottom w:val="single" w:color="auto" w:sz="6" w:space="0"/>
              <w:right w:val="single" w:color="auto" w:sz="12" w:space="0"/>
            </w:tcBorders>
            <w:shd w:val="clear" w:color="auto" w:fill="E0E0E0"/>
            <w:noWrap w:val="0"/>
            <w:vAlign w:val="center"/>
          </w:tcPr>
          <w:p w14:paraId="6D041147">
            <w:pPr>
              <w:pStyle w:val="6"/>
              <w:pageBreakBefore w:val="0"/>
              <w:widowControl w:val="0"/>
              <w:kinsoku/>
              <w:wordWrap/>
              <w:topLinePunct w:val="0"/>
              <w:bidi w:val="0"/>
              <w:snapToGrid/>
              <w:spacing w:before="157" w:beforeLines="50" w:beforeAutospacing="0" w:after="157" w:afterLines="50" w:afterAutospacing="0" w:line="360" w:lineRule="auto"/>
              <w:jc w:val="both"/>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bidi="ar"/>
              </w:rPr>
              <w:t>核销</w:t>
            </w:r>
          </w:p>
        </w:tc>
      </w:tr>
      <w:tr w14:paraId="169DC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5" w:type="pct"/>
            <w:tcBorders>
              <w:top w:val="single" w:color="auto" w:sz="6" w:space="0"/>
              <w:left w:val="single" w:color="auto" w:sz="12" w:space="0"/>
              <w:bottom w:val="single" w:color="auto" w:sz="6" w:space="0"/>
              <w:right w:val="single" w:color="auto" w:sz="6" w:space="0"/>
            </w:tcBorders>
            <w:noWrap w:val="0"/>
            <w:vAlign w:val="top"/>
          </w:tcPr>
          <w:p w14:paraId="6653383F">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1</w:t>
            </w:r>
          </w:p>
        </w:tc>
        <w:tc>
          <w:tcPr>
            <w:tcW w:w="2534" w:type="pct"/>
            <w:tcBorders>
              <w:top w:val="single" w:color="auto" w:sz="6" w:space="0"/>
              <w:left w:val="single" w:color="auto" w:sz="6" w:space="0"/>
              <w:bottom w:val="single" w:color="auto" w:sz="6" w:space="0"/>
              <w:right w:val="single" w:color="auto" w:sz="6" w:space="0"/>
            </w:tcBorders>
            <w:noWrap w:val="0"/>
            <w:vAlign w:val="top"/>
          </w:tcPr>
          <w:p w14:paraId="497B5659">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《个体工商户定额核定表》</w:t>
            </w:r>
          </w:p>
        </w:tc>
        <w:tc>
          <w:tcPr>
            <w:tcW w:w="268" w:type="pct"/>
            <w:tcBorders>
              <w:top w:val="single" w:color="auto" w:sz="6" w:space="0"/>
              <w:left w:val="single" w:color="auto" w:sz="6" w:space="0"/>
              <w:bottom w:val="single" w:color="auto" w:sz="6" w:space="0"/>
              <w:right w:val="single" w:color="auto" w:sz="6" w:space="0"/>
            </w:tcBorders>
            <w:noWrap w:val="0"/>
            <w:vAlign w:val="top"/>
          </w:tcPr>
          <w:p w14:paraId="34BC1972">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ABE27CA">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5CD896EA">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6" w:space="0"/>
              <w:right w:val="single" w:color="auto" w:sz="6" w:space="0"/>
            </w:tcBorders>
            <w:noWrap w:val="0"/>
            <w:vAlign w:val="top"/>
          </w:tcPr>
          <w:p w14:paraId="2701EC4C">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6" w:space="0"/>
              <w:right w:val="single" w:color="auto" w:sz="6" w:space="0"/>
            </w:tcBorders>
            <w:noWrap w:val="0"/>
            <w:vAlign w:val="top"/>
          </w:tcPr>
          <w:p w14:paraId="5F7701EC">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6" w:space="0"/>
              <w:right w:val="single" w:color="auto" w:sz="12" w:space="0"/>
            </w:tcBorders>
            <w:noWrap w:val="0"/>
            <w:vAlign w:val="top"/>
          </w:tcPr>
          <w:p w14:paraId="27905A2E">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r w14:paraId="6EF50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5" w:type="pct"/>
            <w:tcBorders>
              <w:top w:val="single" w:color="auto" w:sz="6" w:space="0"/>
              <w:left w:val="single" w:color="auto" w:sz="12" w:space="0"/>
              <w:bottom w:val="single" w:color="auto" w:sz="12" w:space="0"/>
              <w:right w:val="single" w:color="auto" w:sz="6" w:space="0"/>
            </w:tcBorders>
            <w:noWrap w:val="0"/>
            <w:vAlign w:val="top"/>
          </w:tcPr>
          <w:p w14:paraId="71A043C0">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2</w:t>
            </w:r>
          </w:p>
        </w:tc>
        <w:tc>
          <w:tcPr>
            <w:tcW w:w="2534" w:type="pct"/>
            <w:tcBorders>
              <w:top w:val="single" w:color="auto" w:sz="6" w:space="0"/>
              <w:left w:val="single" w:color="auto" w:sz="6" w:space="0"/>
              <w:bottom w:val="single" w:color="auto" w:sz="12" w:space="0"/>
              <w:right w:val="single" w:color="auto" w:sz="6" w:space="0"/>
            </w:tcBorders>
            <w:noWrap w:val="0"/>
            <w:vAlign w:val="top"/>
          </w:tcPr>
          <w:p w14:paraId="73C1F7CB">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《个体工商户定额信息采集表》</w:t>
            </w:r>
          </w:p>
        </w:tc>
        <w:tc>
          <w:tcPr>
            <w:tcW w:w="268" w:type="pct"/>
            <w:tcBorders>
              <w:top w:val="single" w:color="auto" w:sz="6" w:space="0"/>
              <w:left w:val="single" w:color="auto" w:sz="6" w:space="0"/>
              <w:bottom w:val="single" w:color="auto" w:sz="12" w:space="0"/>
              <w:right w:val="single" w:color="auto" w:sz="6" w:space="0"/>
            </w:tcBorders>
            <w:noWrap w:val="0"/>
            <w:vAlign w:val="top"/>
          </w:tcPr>
          <w:p w14:paraId="71B394AF">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2A67E804">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795636F0">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bidi="ar"/>
              </w:rPr>
              <w:t>√</w:t>
            </w:r>
          </w:p>
        </w:tc>
        <w:tc>
          <w:tcPr>
            <w:tcW w:w="366" w:type="pct"/>
            <w:tcBorders>
              <w:top w:val="single" w:color="auto" w:sz="6" w:space="0"/>
              <w:left w:val="single" w:color="auto" w:sz="6" w:space="0"/>
              <w:bottom w:val="single" w:color="auto" w:sz="12" w:space="0"/>
              <w:right w:val="single" w:color="auto" w:sz="6" w:space="0"/>
            </w:tcBorders>
            <w:noWrap w:val="0"/>
            <w:vAlign w:val="top"/>
          </w:tcPr>
          <w:p w14:paraId="7E4A368A">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6" w:space="0"/>
            </w:tcBorders>
            <w:noWrap w:val="0"/>
            <w:vAlign w:val="top"/>
          </w:tcPr>
          <w:p w14:paraId="1353CB63">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c>
          <w:tcPr>
            <w:tcW w:w="366" w:type="pct"/>
            <w:tcBorders>
              <w:top w:val="single" w:color="auto" w:sz="6" w:space="0"/>
              <w:left w:val="single" w:color="auto" w:sz="6" w:space="0"/>
              <w:bottom w:val="single" w:color="auto" w:sz="12" w:space="0"/>
              <w:right w:val="single" w:color="auto" w:sz="12" w:space="0"/>
            </w:tcBorders>
            <w:noWrap w:val="0"/>
            <w:vAlign w:val="top"/>
          </w:tcPr>
          <w:p w14:paraId="63369B32">
            <w:pPr>
              <w:pStyle w:val="6"/>
              <w:pageBreakBefore w:val="0"/>
              <w:widowControl w:val="0"/>
              <w:kinsoku/>
              <w:wordWrap/>
              <w:topLinePunct w:val="0"/>
              <w:bidi w:val="0"/>
              <w:snapToGrid/>
              <w:spacing w:before="157" w:beforeLines="50" w:beforeAutospacing="0" w:after="157" w:afterLines="50" w:afterAutospacing="0" w:line="360" w:lineRule="auto"/>
              <w:jc w:val="center"/>
              <w:rPr>
                <w:rFonts w:hint="eastAsia" w:ascii="宋体" w:hAnsi="宋体" w:eastAsia="宋体" w:cs="宋体"/>
                <w:kern w:val="2"/>
                <w:sz w:val="24"/>
                <w:szCs w:val="24"/>
                <w:highlight w:val="none"/>
              </w:rPr>
            </w:pPr>
          </w:p>
        </w:tc>
      </w:tr>
    </w:tbl>
    <w:p w14:paraId="7C8B4C4E">
      <w:pPr>
        <w:keepNext/>
        <w:keepLines/>
        <w:pageBreakBefore w:val="0"/>
        <w:kinsoku/>
        <w:wordWrap/>
        <w:topLinePunct w:val="0"/>
        <w:bidi w:val="0"/>
        <w:snapToGrid/>
        <w:spacing w:before="157" w:beforeLines="50" w:after="157" w:afterLines="50" w:line="360" w:lineRule="auto"/>
        <w:ind w:firstLine="280" w:firstLineChars="200"/>
        <w:rPr>
          <w:rFonts w:hint="eastAsia" w:ascii="宋体" w:hAnsi="宋体" w:eastAsia="宋体" w:cs="宋体"/>
          <w:b/>
          <w:sz w:val="24"/>
          <w:szCs w:val="24"/>
          <w:highlight w:val="none"/>
          <w:lang w:bidi="ar"/>
        </w:rPr>
      </w:pPr>
      <w:r>
        <w:rPr>
          <w:rFonts w:hint="eastAsia" w:ascii="宋体" w:hAnsi="宋体" w:eastAsia="宋体" w:cs="宋体"/>
          <w:i w:val="0"/>
          <w:iCs w:val="0"/>
          <w:caps w:val="0"/>
          <w:color w:val="0066CC"/>
          <w:spacing w:val="0"/>
          <w:sz w:val="14"/>
          <w:szCs w:val="14"/>
          <w:highlight w:val="none"/>
          <w:u w:val="single"/>
          <w:shd w:val="clear" w:fill="FFFFFF"/>
        </w:rPr>
        <w:fldChar w:fldCharType="begin"/>
      </w:r>
      <w:r>
        <w:rPr>
          <w:rFonts w:hint="eastAsia" w:ascii="宋体" w:hAnsi="宋体" w:eastAsia="宋体" w:cs="宋体"/>
          <w:i w:val="0"/>
          <w:iCs w:val="0"/>
          <w:caps w:val="0"/>
          <w:color w:val="0066CC"/>
          <w:spacing w:val="0"/>
          <w:sz w:val="14"/>
          <w:szCs w:val="14"/>
          <w:highlight w:val="none"/>
          <w:u w:val="single"/>
          <w:shd w:val="clear" w:fill="FFFFFF"/>
        </w:rPr>
        <w:instrText xml:space="preserve"> HYPERLINK "https://ssfb86.com/uploadfile/file/20200527/1590588001269813.doc" \o "个体工商户定额信息采集表.doc" </w:instrText>
      </w:r>
      <w:r>
        <w:rPr>
          <w:rFonts w:hint="eastAsia" w:ascii="宋体" w:hAnsi="宋体" w:eastAsia="宋体" w:cs="宋体"/>
          <w:i w:val="0"/>
          <w:iCs w:val="0"/>
          <w:caps w:val="0"/>
          <w:color w:val="0066CC"/>
          <w:spacing w:val="0"/>
          <w:sz w:val="14"/>
          <w:szCs w:val="14"/>
          <w:highlight w:val="none"/>
          <w:u w:val="single"/>
          <w:shd w:val="clear" w:fill="FFFFFF"/>
        </w:rPr>
        <w:fldChar w:fldCharType="separate"/>
      </w:r>
      <w:r>
        <w:rPr>
          <w:rStyle w:val="9"/>
          <w:rFonts w:hint="eastAsia" w:ascii="宋体" w:hAnsi="宋体" w:eastAsia="宋体" w:cs="宋体"/>
          <w:i w:val="0"/>
          <w:iCs w:val="0"/>
          <w:caps w:val="0"/>
          <w:color w:val="0066CC"/>
          <w:spacing w:val="0"/>
          <w:sz w:val="14"/>
          <w:szCs w:val="14"/>
          <w:highlight w:val="none"/>
          <w:u w:val="single"/>
          <w:shd w:val="clear" w:fill="FFFFFF"/>
        </w:rPr>
        <w:t>个体工商户定额信息采集表.doc</w:t>
      </w:r>
      <w:r>
        <w:rPr>
          <w:rFonts w:hint="eastAsia" w:ascii="宋体" w:hAnsi="宋体" w:eastAsia="宋体" w:cs="宋体"/>
          <w:i w:val="0"/>
          <w:iCs w:val="0"/>
          <w:caps w:val="0"/>
          <w:color w:val="0066CC"/>
          <w:spacing w:val="0"/>
          <w:sz w:val="14"/>
          <w:szCs w:val="14"/>
          <w:highlight w:val="none"/>
          <w:u w:val="single"/>
          <w:shd w:val="clear" w:fill="FFFFFF"/>
        </w:rPr>
        <w:fldChar w:fldCharType="end"/>
      </w:r>
    </w:p>
    <w:p w14:paraId="49FD9436">
      <w:pPr>
        <w:pStyle w:val="3"/>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【政策依据】</w:t>
      </w:r>
    </w:p>
    <w:p w14:paraId="37471EE8">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1.《中华人民共和国税收征收管理法》（中华人民共和国主席令〔2001〕第四十九号）第三十五条</w:t>
      </w:r>
    </w:p>
    <w:p w14:paraId="2371E81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2.《中华人民共和国税收征收管理法实施细则》（中华人民共和国国务院令第362号）第四十七条</w:t>
      </w:r>
    </w:p>
    <w:p w14:paraId="59D7B86B">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3.《个体工商户税收定期定额征收管理办法》（国家税务总局令第16号）</w:t>
      </w:r>
    </w:p>
    <w:p w14:paraId="52F5999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4.《国家税务总局关于个体工商户、个人独资企业和合伙企业个人所得税问题的公告》（国家税务总局公告2014年第25号）</w:t>
      </w:r>
    </w:p>
    <w:p w14:paraId="2E6BE216">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5.《</w:t>
      </w:r>
      <w:r>
        <w:rPr>
          <w:rFonts w:hint="eastAsia" w:ascii="宋体" w:hAnsi="宋体" w:eastAsia="宋体" w:cs="宋体"/>
          <w:sz w:val="24"/>
          <w:szCs w:val="24"/>
          <w:highlight w:val="none"/>
          <w:lang w:bidi="ar"/>
        </w:rPr>
        <w:fldChar w:fldCharType="begin"/>
      </w:r>
      <w:r>
        <w:rPr>
          <w:rFonts w:hint="eastAsia" w:ascii="宋体" w:hAnsi="宋体" w:eastAsia="宋体" w:cs="宋体"/>
          <w:sz w:val="24"/>
          <w:szCs w:val="24"/>
          <w:highlight w:val="none"/>
          <w:lang w:bidi="ar"/>
        </w:rPr>
        <w:instrText xml:space="preserve"> HYPERLINK "http://www.shui5.cn/article/03/107065.html" </w:instrText>
      </w:r>
      <w:r>
        <w:rPr>
          <w:rFonts w:hint="eastAsia" w:ascii="宋体" w:hAnsi="宋体" w:eastAsia="宋体" w:cs="宋体"/>
          <w:sz w:val="24"/>
          <w:szCs w:val="24"/>
          <w:highlight w:val="none"/>
          <w:lang w:bidi="ar"/>
        </w:rPr>
        <w:fldChar w:fldCharType="separate"/>
      </w:r>
      <w:r>
        <w:rPr>
          <w:rStyle w:val="10"/>
          <w:rFonts w:hint="eastAsia" w:ascii="宋体" w:hAnsi="宋体" w:eastAsia="宋体" w:cs="宋体"/>
          <w:bCs/>
          <w:color w:val="auto"/>
          <w:sz w:val="24"/>
          <w:szCs w:val="24"/>
          <w:highlight w:val="none"/>
          <w:u w:val="none"/>
        </w:rPr>
        <w:t>国家税务总局关于修订个体工商户税收定期定额征收管理文书的公告</w:t>
      </w:r>
      <w:r>
        <w:rPr>
          <w:rFonts w:hint="eastAsia" w:ascii="宋体" w:hAnsi="宋体" w:eastAsia="宋体" w:cs="宋体"/>
          <w:sz w:val="24"/>
          <w:szCs w:val="24"/>
          <w:highlight w:val="none"/>
          <w:lang w:bidi="ar"/>
        </w:rPr>
        <w:fldChar w:fldCharType="end"/>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lang w:bidi="ar"/>
        </w:rPr>
        <w:fldChar w:fldCharType="begin"/>
      </w:r>
      <w:r>
        <w:rPr>
          <w:rFonts w:hint="eastAsia" w:ascii="宋体" w:hAnsi="宋体" w:eastAsia="宋体" w:cs="宋体"/>
          <w:bCs/>
          <w:sz w:val="24"/>
          <w:szCs w:val="24"/>
          <w:highlight w:val="none"/>
          <w:lang w:bidi="ar"/>
        </w:rPr>
        <w:instrText xml:space="preserve"> HYPERLINK "https://ssfb86.com/index/News/detail/newsid/688.html" </w:instrText>
      </w:r>
      <w:r>
        <w:rPr>
          <w:rFonts w:hint="eastAsia" w:ascii="宋体" w:hAnsi="宋体" w:eastAsia="宋体" w:cs="宋体"/>
          <w:bCs/>
          <w:sz w:val="24"/>
          <w:szCs w:val="24"/>
          <w:highlight w:val="none"/>
          <w:lang w:bidi="ar"/>
        </w:rPr>
        <w:fldChar w:fldCharType="separate"/>
      </w:r>
      <w:r>
        <w:rPr>
          <w:rStyle w:val="9"/>
          <w:rFonts w:hint="eastAsia" w:ascii="宋体" w:hAnsi="宋体" w:eastAsia="宋体" w:cs="宋体"/>
          <w:bCs/>
          <w:sz w:val="24"/>
          <w:szCs w:val="24"/>
          <w:highlight w:val="none"/>
          <w:lang w:bidi="ar"/>
        </w:rPr>
        <w:t>国家税务总局公告2016年第56号</w:t>
      </w:r>
      <w:r>
        <w:rPr>
          <w:rFonts w:hint="eastAsia" w:ascii="宋体" w:hAnsi="宋体" w:eastAsia="宋体" w:cs="宋体"/>
          <w:bCs/>
          <w:sz w:val="24"/>
          <w:szCs w:val="24"/>
          <w:highlight w:val="none"/>
          <w:lang w:bidi="ar"/>
        </w:rPr>
        <w:fldChar w:fldCharType="end"/>
      </w:r>
      <w:r>
        <w:rPr>
          <w:rFonts w:hint="eastAsia" w:ascii="宋体" w:hAnsi="宋体" w:eastAsia="宋体" w:cs="宋体"/>
          <w:bCs/>
          <w:sz w:val="24"/>
          <w:szCs w:val="24"/>
          <w:highlight w:val="none"/>
          <w:lang w:bidi="ar"/>
        </w:rPr>
        <w:t>）</w:t>
      </w:r>
    </w:p>
    <w:p w14:paraId="5339D723">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lang w:bidi="ar"/>
        </w:rPr>
        <w:t>6.《国家税务总局关于全面实行税务行政许可事项清单管理的公告》（国家税务总局公告2022年第19号）</w:t>
      </w:r>
    </w:p>
    <w:p w14:paraId="5B7499DD">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7.《国家税务总局关于优化纳税人延期缴纳税款等税务事项管理方式的公告》（国家税务总局公告2022年第20号）</w:t>
      </w:r>
    </w:p>
    <w:bookmarkEnd w:id="0"/>
    <w:p w14:paraId="76D12EAD">
      <w:pPr>
        <w:rPr>
          <w:highlight w:val="none"/>
        </w:rPr>
      </w:pPr>
    </w:p>
    <w:p w14:paraId="077636A5">
      <w:pPr>
        <w:rPr>
          <w:highlight w:val="none"/>
        </w:rPr>
      </w:pPr>
    </w:p>
    <w:p w14:paraId="19A0F74B">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B4045"/>
    <w:multiLevelType w:val="multilevel"/>
    <w:tmpl w:val="BD9B4045"/>
    <w:lvl w:ilvl="0" w:tentative="0">
      <w:start w:val="1"/>
      <w:numFmt w:val="bullet"/>
      <w:lvlText w:val=""/>
      <w:lvlJc w:val="left"/>
      <w:pPr>
        <w:ind w:left="562"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A15FC"/>
    <w:rsid w:val="1F6732A9"/>
    <w:rsid w:val="44DE1D04"/>
    <w:rsid w:val="6EC6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styleId="4">
    <w:name w:val="Body Text"/>
    <w:basedOn w:val="5"/>
    <w:qFormat/>
    <w:uiPriority w:val="0"/>
    <w:pPr>
      <w:spacing w:after="120"/>
    </w:pPr>
    <w:rPr>
      <w:rFonts w:ascii="Times New Roman" w:hAnsi="Times New Roman" w:cs="Calibri"/>
      <w:szCs w:val="21"/>
    </w:rPr>
  </w:style>
  <w:style w:type="paragraph" w:customStyle="1" w:styleId="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unhideWhenUsed/>
    <w:qFormat/>
    <w:uiPriority w:val="0"/>
    <w:pPr>
      <w:widowControl/>
      <w:spacing w:before="100" w:beforeAutospacing="1" w:after="100" w:afterAutospacing="1"/>
      <w:jc w:val="left"/>
    </w:pPr>
    <w:rPr>
      <w:rFonts w:ascii="Times New Roman" w:hAnsi="Times New Roman" w:eastAsia="宋体"/>
      <w:kern w:val="0"/>
    </w:rPr>
  </w:style>
  <w:style w:type="character" w:styleId="9">
    <w:name w:val="FollowedHyperlink"/>
    <w:basedOn w:val="8"/>
    <w:qFormat/>
    <w:uiPriority w:val="0"/>
    <w:rPr>
      <w:color w:val="800080"/>
      <w:u w:val="single"/>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3735</Words>
  <Characters>3853</Characters>
  <Lines>0</Lines>
  <Paragraphs>0</Paragraphs>
  <TotalTime>38</TotalTime>
  <ScaleCrop>false</ScaleCrop>
  <LinksUpToDate>false</LinksUpToDate>
  <CharactersWithSpaces>3855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2025-03-01T13:10:00Z</dcterms:created>
  <dc:creator>fzr</dc:creator>
  <cp:lastModifiedBy>默默</cp:lastModifiedBy>
  <dcterms:modified xsi:type="dcterms:W3CDTF">2025-07-08T08:06:56Z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0EB9F445A8014CB48F618A433332D4F2_12</vt:lpwstr>
  </property>
</Properties>
</file>