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CFD5C5">
      <w:pPr>
        <w:pStyle w:val="2"/>
        <w:pageBreakBefore w:val="0"/>
        <w:kinsoku/>
        <w:wordWrap/>
        <w:overflowPunct/>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3.12.13  重点税源补充信息采集——1463</w:t>
      </w:r>
    </w:p>
    <w:p w14:paraId="723944EE">
      <w:pPr>
        <w:pStyle w:val="2"/>
        <w:pageBreakBefore w:val="0"/>
        <w:kinsoku/>
        <w:wordWrap/>
        <w:overflowPunct/>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lang w:val="en-US" w:eastAsia="zh-CN"/>
        </w:rPr>
      </w:pPr>
    </w:p>
    <w:p w14:paraId="229BBFA2">
      <w:pPr>
        <w:pStyle w:val="3"/>
        <w:pageBreakBefore w:val="0"/>
        <w:kinsoku/>
        <w:wordWrap/>
        <w:overflowPunct/>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bookmarkStart w:id="0" w:name="_GoBack"/>
      <w:r>
        <w:rPr>
          <w:rFonts w:hint="eastAsia" w:ascii="宋体" w:hAnsi="宋体" w:eastAsia="宋体" w:cs="宋体"/>
          <w:b/>
          <w:bCs/>
          <w:sz w:val="24"/>
          <w:szCs w:val="24"/>
          <w:highlight w:val="none"/>
        </w:rPr>
        <w:t>一、业务概述</w:t>
      </w:r>
      <w:r>
        <w:rPr>
          <w:rFonts w:hint="eastAsia" w:ascii="宋体" w:hAnsi="宋体" w:eastAsia="宋体" w:cs="宋体"/>
          <w:sz w:val="24"/>
          <w:szCs w:val="24"/>
          <w:highlight w:val="none"/>
        </w:rPr>
        <w:t xml:space="preserve"> </w:t>
      </w:r>
    </w:p>
    <w:p w14:paraId="0ECC27F7">
      <w:pPr>
        <w:pageBreakBefore w:val="0"/>
        <w:widowControl w:val="0"/>
        <w:kinsoku/>
        <w:wordWrap/>
        <w:overflowPunct/>
        <w:topLinePunct/>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重点税源监测是指税务机关按月采集重点税源监测企业的纳税人办理纳税申报业务后报送的涉税资料，以便强化重点税源监测和分析，服务组织收入中心工作的过程</w:t>
      </w:r>
      <w:r>
        <w:rPr>
          <w:rFonts w:hint="eastAsia" w:ascii="宋体" w:hAnsi="宋体" w:eastAsia="宋体" w:cs="宋体"/>
          <w:sz w:val="24"/>
          <w:szCs w:val="24"/>
          <w:highlight w:val="none"/>
        </w:rPr>
        <w:t>。</w:t>
      </w:r>
    </w:p>
    <w:p w14:paraId="18127FB3">
      <w:pPr>
        <w:pageBreakBefore w:val="0"/>
        <w:widowControl w:val="0"/>
        <w:kinsoku/>
        <w:wordWrap/>
        <w:overflowPunct/>
        <w:topLinePunct/>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重点税源补充信息采集主要是指税务机关依据重点税源报表制度，采集已标识为重点税源监测企业的纳税人涉税资料，形成《</w:t>
      </w:r>
      <w:r>
        <w:rPr>
          <w:rFonts w:hint="eastAsia" w:ascii="宋体" w:hAnsi="宋体" w:eastAsia="宋体" w:cs="宋体"/>
          <w:sz w:val="24"/>
          <w:szCs w:val="24"/>
          <w:highlight w:val="none"/>
        </w:rPr>
        <w:t>重点税源企业基本信息表》、《重点税源企业税收信息补充采集表》、《重点税源企业主要产品与税收信息（月报）表》、《重点税源企业财务信息补充采集表》和《重点税源企业景气调查问卷补充采集表》等五种报表信</w:t>
      </w:r>
      <w:r>
        <w:rPr>
          <w:rFonts w:hint="eastAsia" w:ascii="宋体" w:hAnsi="宋体" w:eastAsia="宋体" w:cs="宋体"/>
          <w:sz w:val="24"/>
          <w:szCs w:val="24"/>
          <w:highlight w:val="none"/>
        </w:rPr>
        <w:t>息。涉税资料主要包括税务登记信息、申报征收信息、财务报表以及税务机关根据实际需要要求纳税人报送的其他涉税资料。</w:t>
      </w:r>
    </w:p>
    <w:p w14:paraId="7A4BFECB">
      <w:pPr>
        <w:pStyle w:val="3"/>
        <w:pageBreakBefore w:val="0"/>
        <w:kinsoku/>
        <w:wordWrap/>
        <w:overflowPunct/>
        <w:autoSpaceDE/>
        <w:autoSpaceDN/>
        <w:bidi w:val="0"/>
        <w:adjustRightInd/>
        <w:snapToGrid/>
        <w:spacing w:before="157" w:beforeLines="50" w:after="157" w:afterLines="50" w:line="360" w:lineRule="auto"/>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二、功能路径</w:t>
      </w:r>
    </w:p>
    <w:p w14:paraId="37BE9B67">
      <w:pPr>
        <w:pageBreakBefore w:val="0"/>
        <w:widowControl w:val="0"/>
        <w:kinsoku/>
        <w:wordWrap/>
        <w:overflowPunct/>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1.【我要办税】-【税费申报及缴纳】-【申报辅助信息报告】-【重点税源补充信息采集】。</w:t>
      </w:r>
    </w:p>
    <w:p w14:paraId="43D14DD8">
      <w:pPr>
        <w:pageBreakBefore w:val="0"/>
        <w:widowControl w:val="0"/>
        <w:kinsoku/>
        <w:wordWrap/>
        <w:overflowPunct/>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shd w:val="clear" w:color="auto" w:fill="FFFFFF"/>
        </w:rPr>
      </w:pPr>
      <w:r>
        <w:rPr>
          <w:rFonts w:hint="eastAsia" w:ascii="宋体" w:hAnsi="宋体" w:eastAsia="宋体" w:cs="宋体"/>
          <w:bCs/>
          <w:sz w:val="24"/>
          <w:szCs w:val="24"/>
          <w:highlight w:val="none"/>
        </w:rPr>
        <w:t>2.</w:t>
      </w:r>
      <w:r>
        <w:rPr>
          <w:rFonts w:hint="eastAsia" w:ascii="宋体" w:hAnsi="宋体" w:eastAsia="宋体" w:cs="宋体"/>
          <w:bCs/>
          <w:sz w:val="24"/>
          <w:szCs w:val="24"/>
          <w:highlight w:val="none"/>
          <w:shd w:val="clear" w:color="auto" w:fill="FFFFFF"/>
        </w:rPr>
        <w:t>本期应申报提醒进入办税功能。</w:t>
      </w:r>
    </w:p>
    <w:p w14:paraId="074520BF">
      <w:pPr>
        <w:pageBreakBefore w:val="0"/>
        <w:widowControl w:val="0"/>
        <w:kinsoku/>
        <w:wordWrap/>
        <w:overflowPunct/>
        <w:topLinePunct/>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3.通过首页搜索栏输入关键字查找出的“</w:t>
      </w:r>
      <w:r>
        <w:rPr>
          <w:rFonts w:hint="eastAsia" w:ascii="宋体" w:hAnsi="宋体" w:eastAsia="宋体" w:cs="宋体"/>
          <w:bCs/>
          <w:sz w:val="24"/>
          <w:szCs w:val="24"/>
          <w:highlight w:val="none"/>
          <w:shd w:val="clear" w:color="auto" w:fill="FFFFFF"/>
        </w:rPr>
        <w:t>重点税源补充信息采集</w:t>
      </w:r>
      <w:r>
        <w:rPr>
          <w:rFonts w:hint="eastAsia" w:ascii="宋体" w:hAnsi="宋体" w:eastAsia="宋体" w:cs="宋体"/>
          <w:bCs/>
          <w:sz w:val="24"/>
          <w:szCs w:val="24"/>
          <w:highlight w:val="none"/>
        </w:rPr>
        <w:t>”进入办税功能。</w:t>
      </w:r>
    </w:p>
    <w:p w14:paraId="21571A54">
      <w:pPr>
        <w:pStyle w:val="3"/>
        <w:pageBreakBefore w:val="0"/>
        <w:kinsoku/>
        <w:wordWrap/>
        <w:overflowPunct/>
        <w:autoSpaceDE/>
        <w:autoSpaceDN/>
        <w:bidi w:val="0"/>
        <w:adjustRightInd/>
        <w:snapToGrid/>
        <w:spacing w:before="157" w:beforeLines="50" w:after="157" w:afterLines="50" w:line="360" w:lineRule="auto"/>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三、操作步骤</w:t>
      </w:r>
    </w:p>
    <w:p w14:paraId="03882A24">
      <w:pPr>
        <w:pageBreakBefore w:val="0"/>
        <w:widowControl w:val="0"/>
        <w:kinsoku/>
        <w:wordWrap/>
        <w:overflowPunct/>
        <w:topLinePunct/>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1、登录新电子税局后，依次点击【我要办税】-【税费申报及缴纳】-【申报辅助信息报告】-【重点税源补充信息采集】</w:t>
      </w:r>
      <w:r>
        <w:rPr>
          <w:rFonts w:hint="eastAsia" w:ascii="宋体" w:hAnsi="宋体" w:eastAsia="宋体" w:cs="宋体"/>
          <w:sz w:val="24"/>
          <w:szCs w:val="24"/>
          <w:highlight w:val="none"/>
        </w:rPr>
        <w:t>功能菜单。</w:t>
      </w:r>
    </w:p>
    <w:p w14:paraId="1F6613D6">
      <w:pPr>
        <w:pageBreakBefore w:val="0"/>
        <w:widowControl w:val="0"/>
        <w:kinsoku/>
        <w:wordWrap/>
        <w:overflowPunct/>
        <w:topLinePunct/>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5265420" cy="2491740"/>
            <wp:effectExtent l="0" t="0" r="11430" b="3810"/>
            <wp:docPr id="11" name="图片 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2"/>
                    <pic:cNvPicPr>
                      <a:picLocks noChangeAspect="1"/>
                    </pic:cNvPicPr>
                  </pic:nvPicPr>
                  <pic:blipFill>
                    <a:blip r:embed="rId4"/>
                    <a:stretch>
                      <a:fillRect/>
                    </a:stretch>
                  </pic:blipFill>
                  <pic:spPr>
                    <a:xfrm>
                      <a:off x="0" y="0"/>
                      <a:ext cx="5265420" cy="2491740"/>
                    </a:xfrm>
                    <a:prstGeom prst="rect">
                      <a:avLst/>
                    </a:prstGeom>
                  </pic:spPr>
                </pic:pic>
              </a:graphicData>
            </a:graphic>
          </wp:inline>
        </w:drawing>
      </w:r>
    </w:p>
    <w:p w14:paraId="617D2D19">
      <w:pPr>
        <w:pageBreakBefore w:val="0"/>
        <w:widowControl w:val="0"/>
        <w:kinsoku/>
        <w:wordWrap/>
        <w:overflowPunct/>
        <w:topLinePunct/>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2、进入“重点税源补充信息采集”模块后，纳税人根据所属期，选中所属年月，点击【采集】，进入采集填报页面。</w:t>
      </w:r>
    </w:p>
    <w:p w14:paraId="1A3364DF">
      <w:pPr>
        <w:pageBreakBefore w:val="0"/>
        <w:widowControl w:val="0"/>
        <w:kinsoku/>
        <w:wordWrap/>
        <w:overflowPunct/>
        <w:topLinePunct/>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73040" cy="2840355"/>
            <wp:effectExtent l="0" t="0" r="3810" b="7620"/>
            <wp:docPr id="12" name="图片 1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3"/>
                    <pic:cNvPicPr>
                      <a:picLocks noChangeAspect="1"/>
                    </pic:cNvPicPr>
                  </pic:nvPicPr>
                  <pic:blipFill>
                    <a:blip r:embed="rId5"/>
                    <a:stretch>
                      <a:fillRect/>
                    </a:stretch>
                  </pic:blipFill>
                  <pic:spPr>
                    <a:xfrm>
                      <a:off x="0" y="0"/>
                      <a:ext cx="5273040" cy="2840355"/>
                    </a:xfrm>
                    <a:prstGeom prst="rect">
                      <a:avLst/>
                    </a:prstGeom>
                  </pic:spPr>
                </pic:pic>
              </a:graphicData>
            </a:graphic>
          </wp:inline>
        </w:drawing>
      </w:r>
    </w:p>
    <w:p w14:paraId="770D582B">
      <w:pPr>
        <w:pageBreakBefore w:val="0"/>
        <w:widowControl w:val="0"/>
        <w:kinsoku/>
        <w:wordWrap/>
        <w:overflowPunct/>
        <w:topLinePunct/>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纳税人进入采集填报页面后，在左侧“报表列表”中依次点击《基本信息表》、《税收信息表》、《产品表》、《财务信息（季报）表》和《景气表》，根据企业实际经营和纳税情况进行填报，完成后点击底部的【审核】。</w:t>
      </w:r>
    </w:p>
    <w:p w14:paraId="44BF1F6A">
      <w:pPr>
        <w:pageBreakBefore w:val="0"/>
        <w:widowControl w:val="0"/>
        <w:kinsoku/>
        <w:wordWrap/>
        <w:overflowPunct/>
        <w:topLinePunct/>
        <w:autoSpaceDE/>
        <w:autoSpaceDN/>
        <w:bidi w:val="0"/>
        <w:adjustRightInd/>
        <w:snapToGrid/>
        <w:spacing w:before="157" w:beforeLines="50" w:after="157" w:afterLines="50" w:line="360" w:lineRule="auto"/>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53990" cy="2816860"/>
            <wp:effectExtent l="0" t="0" r="3810" b="2540"/>
            <wp:docPr id="13" name="图片 13"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8"/>
                    <pic:cNvPicPr>
                      <a:picLocks noChangeAspect="1"/>
                    </pic:cNvPicPr>
                  </pic:nvPicPr>
                  <pic:blipFill>
                    <a:blip r:embed="rId6"/>
                    <a:stretch>
                      <a:fillRect/>
                    </a:stretch>
                  </pic:blipFill>
                  <pic:spPr>
                    <a:xfrm>
                      <a:off x="0" y="0"/>
                      <a:ext cx="5253990" cy="2816860"/>
                    </a:xfrm>
                    <a:prstGeom prst="rect">
                      <a:avLst/>
                    </a:prstGeom>
                  </pic:spPr>
                </pic:pic>
              </a:graphicData>
            </a:graphic>
          </wp:inline>
        </w:drawing>
      </w:r>
    </w:p>
    <w:p w14:paraId="00A1B6CD">
      <w:pPr>
        <w:pageBreakBefore w:val="0"/>
        <w:widowControl w:val="0"/>
        <w:numPr>
          <w:ilvl w:val="0"/>
          <w:numId w:val="0"/>
        </w:numPr>
        <w:kinsoku/>
        <w:wordWrap/>
        <w:overflowPunct/>
        <w:topLinePunct/>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highlight w:val="none"/>
          <w:lang w:val="en-US" w:eastAsia="zh-CN" w:bidi="ar-SA"/>
        </w:rPr>
        <w:t>4、</w:t>
      </w:r>
      <w:r>
        <w:rPr>
          <w:rFonts w:hint="eastAsia" w:ascii="宋体" w:hAnsi="宋体" w:eastAsia="宋体" w:cs="宋体"/>
          <w:sz w:val="24"/>
          <w:szCs w:val="24"/>
          <w:highlight w:val="none"/>
          <w:lang w:val="en-US" w:eastAsia="zh-CN"/>
        </w:rPr>
        <w:t>点击【审核】后，底部“校验问题”会对审核结果进行提示。</w:t>
      </w:r>
      <w:r>
        <w:rPr>
          <w:rFonts w:hint="eastAsia" w:ascii="宋体" w:hAnsi="宋体" w:eastAsia="宋体" w:cs="宋体"/>
          <w:sz w:val="24"/>
          <w:szCs w:val="24"/>
          <w:highlight w:val="none"/>
          <w:lang w:val="en-US" w:eastAsia="zh-CN"/>
        </w:rPr>
        <w:t>红色圆点及数字表示有多少条差错，橙色圆点及数字表示有多少条疑点，点击红色或橙色圆点，可以弹出审核公式提示，点击审核公式，采集表中错误指标项会有红色叹号的标识，纳税人可根据实际情况修改错误数据，或填写审核说明，修改后的数据不再提示报错后可以点击底部</w:t>
      </w:r>
      <w:r>
        <w:rPr>
          <w:rFonts w:hint="eastAsia" w:ascii="宋体" w:hAnsi="宋体" w:eastAsia="宋体" w:cs="宋体"/>
          <w:sz w:val="24"/>
          <w:szCs w:val="24"/>
          <w:highlight w:val="none"/>
          <w:lang w:val="en-US" w:eastAsia="zh-CN"/>
        </w:rPr>
        <w:t>【提交申报】。</w:t>
      </w:r>
    </w:p>
    <w:p w14:paraId="54C655ED">
      <w:pPr>
        <w:pageBreakBefore w:val="0"/>
        <w:widowControl w:val="0"/>
        <w:numPr>
          <w:ilvl w:val="0"/>
          <w:numId w:val="0"/>
        </w:numPr>
        <w:kinsoku/>
        <w:wordWrap/>
        <w:overflowPunct/>
        <w:topLinePunct/>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65420" cy="2837180"/>
            <wp:effectExtent l="0" t="0" r="11430" b="1270"/>
            <wp:docPr id="14" name="图片 14"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7"/>
                    <pic:cNvPicPr>
                      <a:picLocks noChangeAspect="1"/>
                    </pic:cNvPicPr>
                  </pic:nvPicPr>
                  <pic:blipFill>
                    <a:blip r:embed="rId7"/>
                    <a:stretch>
                      <a:fillRect/>
                    </a:stretch>
                  </pic:blipFill>
                  <pic:spPr>
                    <a:xfrm>
                      <a:off x="0" y="0"/>
                      <a:ext cx="5265420" cy="2837180"/>
                    </a:xfrm>
                    <a:prstGeom prst="rect">
                      <a:avLst/>
                    </a:prstGeom>
                  </pic:spPr>
                </pic:pic>
              </a:graphicData>
            </a:graphic>
          </wp:inline>
        </w:drawing>
      </w:r>
      <w:r>
        <w:rPr>
          <w:rFonts w:hint="eastAsia" w:ascii="宋体" w:hAnsi="宋体" w:eastAsia="宋体" w:cs="宋体"/>
          <w:sz w:val="24"/>
          <w:szCs w:val="24"/>
          <w:highlight w:val="none"/>
          <w:lang w:val="en-US" w:eastAsia="zh-CN"/>
        </w:rPr>
        <w:drawing>
          <wp:inline distT="0" distB="0" distL="114300" distR="114300">
            <wp:extent cx="5248275" cy="2808605"/>
            <wp:effectExtent l="0" t="0" r="9525" b="10795"/>
            <wp:docPr id="3" name="图片 3"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图片1.png图片1"/>
                    <pic:cNvPicPr>
                      <a:picLocks noChangeAspect="1"/>
                    </pic:cNvPicPr>
                  </pic:nvPicPr>
                  <pic:blipFill>
                    <a:blip r:embed="rId8"/>
                    <a:srcRect/>
                    <a:stretch>
                      <a:fillRect/>
                    </a:stretch>
                  </pic:blipFill>
                  <pic:spPr>
                    <a:xfrm>
                      <a:off x="0" y="0"/>
                      <a:ext cx="5248275" cy="2808605"/>
                    </a:xfrm>
                    <a:prstGeom prst="rect">
                      <a:avLst/>
                    </a:prstGeom>
                  </pic:spPr>
                </pic:pic>
              </a:graphicData>
            </a:graphic>
          </wp:inline>
        </w:drawing>
      </w:r>
    </w:p>
    <w:p w14:paraId="63005350">
      <w:pPr>
        <w:pageBreakBefore w:val="0"/>
        <w:widowControl w:val="0"/>
        <w:kinsoku/>
        <w:wordWrap/>
        <w:overflowPunct/>
        <w:topLinePunct/>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5、点击【提交申报】后，按照弹出框中的提示进行信息确认，点击【确定】。</w:t>
      </w:r>
    </w:p>
    <w:p w14:paraId="56DE1BD8">
      <w:pPr>
        <w:pageBreakBefore w:val="0"/>
        <w:widowControl w:val="0"/>
        <w:kinsoku/>
        <w:wordWrap/>
        <w:overflowPunct/>
        <w:topLinePunct/>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50180" cy="2787015"/>
            <wp:effectExtent l="0" t="0" r="7620" b="3810"/>
            <wp:docPr id="1" name="图片 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5"/>
                    <pic:cNvPicPr>
                      <a:picLocks noChangeAspect="1"/>
                    </pic:cNvPicPr>
                  </pic:nvPicPr>
                  <pic:blipFill>
                    <a:blip r:embed="rId9"/>
                    <a:stretch>
                      <a:fillRect/>
                    </a:stretch>
                  </pic:blipFill>
                  <pic:spPr>
                    <a:xfrm>
                      <a:off x="0" y="0"/>
                      <a:ext cx="5250180" cy="2787015"/>
                    </a:xfrm>
                    <a:prstGeom prst="rect">
                      <a:avLst/>
                    </a:prstGeom>
                  </pic:spPr>
                </pic:pic>
              </a:graphicData>
            </a:graphic>
          </wp:inline>
        </w:drawing>
      </w:r>
    </w:p>
    <w:p w14:paraId="1CC42A19">
      <w:pPr>
        <w:pageBreakBefore w:val="0"/>
        <w:widowControl w:val="0"/>
        <w:kinsoku/>
        <w:wordWrap/>
        <w:overflowPunct/>
        <w:topLinePunct/>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6、系统提示“提交成功”，</w:t>
      </w:r>
      <w:r>
        <w:rPr>
          <w:rFonts w:hint="eastAsia" w:ascii="宋体" w:hAnsi="宋体" w:eastAsia="宋体" w:cs="宋体"/>
          <w:sz w:val="24"/>
          <w:szCs w:val="24"/>
          <w:highlight w:val="none"/>
        </w:rPr>
        <w:t>重点税源补充信息采集</w:t>
      </w:r>
      <w:r>
        <w:rPr>
          <w:rFonts w:hint="eastAsia" w:ascii="宋体" w:hAnsi="宋体" w:eastAsia="宋体" w:cs="宋体"/>
          <w:sz w:val="24"/>
          <w:szCs w:val="24"/>
          <w:highlight w:val="none"/>
          <w:lang w:val="en-US" w:eastAsia="zh-CN"/>
        </w:rPr>
        <w:t>填报完成。</w:t>
      </w:r>
    </w:p>
    <w:p w14:paraId="5BE0700E">
      <w:pPr>
        <w:pageBreakBefore w:val="0"/>
        <w:widowControl w:val="0"/>
        <w:kinsoku/>
        <w:wordWrap/>
        <w:overflowPunct/>
        <w:topLinePunct/>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67325" cy="2825115"/>
            <wp:effectExtent l="0" t="0" r="0" b="3810"/>
            <wp:docPr id="5" name="图片 5"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6"/>
                    <pic:cNvPicPr>
                      <a:picLocks noChangeAspect="1"/>
                    </pic:cNvPicPr>
                  </pic:nvPicPr>
                  <pic:blipFill>
                    <a:blip r:embed="rId10"/>
                    <a:stretch>
                      <a:fillRect/>
                    </a:stretch>
                  </pic:blipFill>
                  <pic:spPr>
                    <a:xfrm>
                      <a:off x="0" y="0"/>
                      <a:ext cx="5267325" cy="2825115"/>
                    </a:xfrm>
                    <a:prstGeom prst="rect">
                      <a:avLst/>
                    </a:prstGeom>
                  </pic:spPr>
                </pic:pic>
              </a:graphicData>
            </a:graphic>
          </wp:inline>
        </w:drawing>
      </w:r>
    </w:p>
    <w:p w14:paraId="54569540">
      <w:pPr>
        <w:pStyle w:val="3"/>
        <w:pageBreakBefore w:val="0"/>
        <w:kinsoku/>
        <w:wordWrap/>
        <w:overflowPunct/>
        <w:autoSpaceDE/>
        <w:autoSpaceDN/>
        <w:bidi w:val="0"/>
        <w:adjustRightInd/>
        <w:snapToGrid/>
        <w:spacing w:before="157" w:beforeLines="50" w:after="157" w:afterLines="50" w:line="360" w:lineRule="auto"/>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四、常见问题</w:t>
      </w:r>
    </w:p>
    <w:p w14:paraId="0543E868">
      <w:pPr>
        <w:pageBreakBefore w:val="0"/>
        <w:widowControl w:val="0"/>
        <w:kinsoku/>
        <w:wordWrap/>
        <w:overflowPunct/>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1.重点税源补充信息采集为按月采集还是按季采集？</w:t>
      </w:r>
    </w:p>
    <w:p w14:paraId="5A7DC6B0">
      <w:pPr>
        <w:pageBreakBefore w:val="0"/>
        <w:widowControl w:val="0"/>
        <w:kinsoku/>
        <w:wordWrap/>
        <w:overflowPunct/>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答：</w:t>
      </w:r>
      <w:r>
        <w:rPr>
          <w:rFonts w:hint="eastAsia" w:ascii="宋体" w:hAnsi="宋体" w:eastAsia="宋体" w:cs="宋体"/>
          <w:sz w:val="24"/>
          <w:szCs w:val="24"/>
          <w:highlight w:val="none"/>
        </w:rPr>
        <w:t>按月采集</w:t>
      </w:r>
      <w:r>
        <w:rPr>
          <w:rFonts w:hint="eastAsia" w:ascii="宋体" w:hAnsi="宋体" w:eastAsia="宋体" w:cs="宋体"/>
          <w:sz w:val="24"/>
          <w:szCs w:val="24"/>
          <w:highlight w:val="none"/>
        </w:rPr>
        <w:t>。</w:t>
      </w:r>
    </w:p>
    <w:p w14:paraId="72110836">
      <w:pPr>
        <w:pageBreakBefore w:val="0"/>
        <w:widowControl w:val="0"/>
        <w:kinsoku/>
        <w:wordWrap/>
        <w:overflowPunct/>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2.为什么有的月份无法看到《重点税源企业财务信息补充采集表》？</w:t>
      </w:r>
    </w:p>
    <w:p w14:paraId="487F4B45">
      <w:pPr>
        <w:pageBreakBefore w:val="0"/>
        <w:widowControl w:val="0"/>
        <w:kinsoku/>
        <w:wordWrap/>
        <w:overflowPunct/>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答：</w:t>
      </w:r>
      <w:r>
        <w:rPr>
          <w:rFonts w:hint="eastAsia" w:ascii="宋体" w:hAnsi="宋体" w:eastAsia="宋体" w:cs="宋体"/>
          <w:sz w:val="24"/>
          <w:szCs w:val="24"/>
          <w:highlight w:val="none"/>
        </w:rPr>
        <w:t>《重点税源企业财务信息补充采集表》为按季采集报表，只需在属期为3、6、9、12月进行申报。</w:t>
      </w:r>
    </w:p>
    <w:p w14:paraId="6428A404">
      <w:pPr>
        <w:pageBreakBefore w:val="0"/>
        <w:widowControl w:val="0"/>
        <w:kinsoku/>
        <w:wordWrap/>
        <w:overflowPunct/>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Songti SC">
    <w:altName w:val="宋体"/>
    <w:panose1 w:val="02010600040101010101"/>
    <w:charset w:val="86"/>
    <w:family w:val="auto"/>
    <w:pitch w:val="default"/>
    <w:sig w:usb0="00000000" w:usb1="00000000" w:usb2="00000000" w:usb3="00000000" w:csb0="0016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xODAzYzJjMDEyZjA3MGYxYzVjZTI3MmE0Zjg1YmEifQ=="/>
  </w:docVars>
  <w:rsids>
    <w:rsidRoot w:val="5D017844"/>
    <w:rsid w:val="030C0462"/>
    <w:rsid w:val="137E7FC8"/>
    <w:rsid w:val="18777494"/>
    <w:rsid w:val="18C2727F"/>
    <w:rsid w:val="1EA96F39"/>
    <w:rsid w:val="2AF13888"/>
    <w:rsid w:val="2B706A5B"/>
    <w:rsid w:val="32BF68D3"/>
    <w:rsid w:val="47643C7B"/>
    <w:rsid w:val="5A681B9A"/>
    <w:rsid w:val="5D017844"/>
    <w:rsid w:val="5D107EF0"/>
    <w:rsid w:val="6B961BC0"/>
    <w:rsid w:val="6E8C5C2D"/>
    <w:rsid w:val="726856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rFonts w:ascii="Calibri" w:hAnsi="Calibri" w:eastAsia="黑体" w:cs="Times New Roman"/>
      <w:kern w:val="44"/>
      <w:sz w:val="32"/>
    </w:rPr>
  </w:style>
  <w:style w:type="paragraph" w:styleId="4">
    <w:name w:val="heading 2"/>
    <w:basedOn w:val="1"/>
    <w:next w:val="1"/>
    <w:link w:val="7"/>
    <w:semiHidden/>
    <w:unhideWhenUsed/>
    <w:qFormat/>
    <w:uiPriority w:val="0"/>
    <w:pPr>
      <w:keepNext/>
      <w:keepLines/>
      <w:spacing w:before="260" w:beforeLines="0" w:beforeAutospacing="0" w:after="260" w:afterLines="0" w:afterAutospacing="0" w:line="560" w:lineRule="exact"/>
      <w:ind w:firstLine="880" w:firstLineChars="200"/>
      <w:outlineLvl w:val="1"/>
    </w:pPr>
    <w:rPr>
      <w:rFonts w:ascii="Arial" w:hAnsi="Arial" w:eastAsia="楷体" w:cs="Times New Roman"/>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Normal Indent1"/>
    <w:qFormat/>
    <w:uiPriority w:val="0"/>
    <w:pPr>
      <w:spacing w:line="360" w:lineRule="auto"/>
      <w:ind w:firstLine="883" w:firstLineChars="200"/>
    </w:pPr>
    <w:rPr>
      <w:rFonts w:ascii="Songti SC" w:hAnsi="Songti SC" w:cs="Songti SC" w:eastAsiaTheme="minorEastAsia"/>
      <w:sz w:val="24"/>
      <w:szCs w:val="24"/>
      <w:lang w:val="en-US" w:eastAsia="zh-CN" w:bidi="ar-SA"/>
    </w:rPr>
  </w:style>
  <w:style w:type="character" w:customStyle="1" w:styleId="7">
    <w:name w:val="标题 2 Char"/>
    <w:link w:val="4"/>
    <w:qFormat/>
    <w:uiPriority w:val="0"/>
    <w:rPr>
      <w:rFonts w:ascii="Arial" w:hAnsi="Arial" w:eastAsia="楷体" w:cs="Times New Roman"/>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951</Words>
  <Characters>964</Characters>
  <Lines>0</Lines>
  <Paragraphs>0</Paragraphs>
  <TotalTime>15</TotalTime>
  <ScaleCrop>false</ScaleCrop>
  <LinksUpToDate>false</LinksUpToDate>
  <CharactersWithSpaces>967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2024-08-16T03:10:00Z</dcterms:created>
  <dc:creator>一章悠远</dc:creator>
  <cp:lastModifiedBy>默默</cp:lastModifiedBy>
  <dcterms:modified xsi:type="dcterms:W3CDTF">2025-07-08T09:43:53Z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9FA2ADA1C8344A2593B12DA01308DEFF_11</vt:lpwstr>
  </property>
  <property fmtid="{D5CDD505-2E9C-101B-9397-08002B2CF9AE}" pid="4" name="KSOTemplateDocerSaveRecord">
    <vt:lpwstr>eyJoZGlkIjoiYWI0MTczMTlmZGQwMDlkNjE0Y2E2NDViNmNjNWY1ZmYiLCJ1c2VySWQiOiI3MzkzMzY4MTcifQ==</vt:lpwstr>
  </property>
</Properties>
</file>