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highlight w:val="none"/>
        </w:rPr>
      </w:pPr>
      <w:r>
        <w:rPr>
          <w:rFonts w:hint="eastAsia"/>
          <w:highlight w:val="none"/>
        </w:rPr>
        <w:t>4.2.1  中国税收居民身份证明开具——1770</w:t>
      </w:r>
    </w:p>
    <w:p>
      <w:pPr>
        <w:pStyle w:val="2"/>
        <w:rPr>
          <w:rFonts w:hint="eastAsia"/>
          <w:highlight w:val="none"/>
        </w:rPr>
      </w:pPr>
    </w:p>
    <w:p>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4" w:name="_GoBack"/>
      <w:bookmarkStart w:id="0" w:name="_Toc98094838"/>
      <w:bookmarkStart w:id="1" w:name="_Toc6513"/>
      <w:r>
        <w:rPr>
          <w:rFonts w:hint="eastAsia" w:ascii="宋体" w:hAnsi="宋体" w:eastAsia="宋体" w:cs="宋体"/>
          <w:sz w:val="24"/>
          <w:szCs w:val="24"/>
          <w:highlight w:val="none"/>
        </w:rPr>
        <w:t>【事项概述】</w:t>
      </w:r>
    </w:p>
    <w:p>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1.企业或个人（以下称申请人）为享受中国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p>
    <w:p>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2.申请人需填写并向主管其所得税的县税务局（以下统称主管税务机关）递交《中国税收居民身份证明》申请表，主管税务机关根据《中华人民共和国企业所得税法》及其实施条例、《中华人民共和国个人所得税法》及其实施条例等规定，结合纳税人登记注册、在中国境内住所及居住时间等情况对居民身份进行判定。</w:t>
      </w:r>
    </w:p>
    <w:p>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3.中国居民企业的境内、外分支机构应当通过其总机构向总机构主管税务机关提出申请。合伙企业应当以其中国居民合伙人作为申请人，向合伙人主管税务机关提出申请。</w:t>
      </w:r>
    </w:p>
    <w:p>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4.申请人可以就其构成中国税收居民的任一公历年度申请开具居民身份证明。缔约对方税务主管当局对居民身份证明样式有特殊要求的，申请人应当提供书面说明以及居民身份证明样式，主管税务机关可以按照有关规定予以办理。</w:t>
      </w:r>
    </w:p>
    <w:p>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5.主管税务机关在受理申请之日起10个工作日内，由负责人签发《税收居民证明》并加盖公章或者将不予开具的理由书面告知申请人。</w:t>
      </w:r>
    </w:p>
    <w:p>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6.主管税务机关无法准确判断居民身份的，应当及时报告上级税务机关。需要报告上级税务机关的，主管税务机关应当在受理申请之日起20个工作日内办结</w:t>
      </w:r>
      <w:r>
        <w:rPr>
          <w:rFonts w:hint="eastAsia" w:ascii="宋体" w:hAnsi="宋体" w:eastAsia="宋体" w:cs="宋体"/>
          <w:bCs/>
          <w:sz w:val="24"/>
          <w:szCs w:val="24"/>
          <w:highlight w:val="none"/>
          <w:lang w:bidi="ar"/>
        </w:rPr>
        <w:t>。</w:t>
      </w:r>
    </w:p>
    <w:p>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办理方式：线上（全程在线审核办结）/线下</w:t>
      </w:r>
    </w:p>
    <w:p>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办理时限：限时办结</w:t>
      </w:r>
    </w:p>
    <w:p>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办理层级：区县级</w:t>
      </w:r>
    </w:p>
    <w:p>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1.线上流程：申请—受理—审核—出件</w:t>
      </w:r>
    </w:p>
    <w:p>
      <w:pPr>
        <w:pStyle w:val="6"/>
        <w:pageBreakBefore w:val="0"/>
        <w:kinsoku/>
        <w:wordWrap/>
        <w:topLinePunct w:val="0"/>
        <w:bidi w:val="0"/>
        <w:snapToGrid/>
        <w:spacing w:before="157" w:beforeLines="50" w:after="157" w:afterLines="50" w:line="360" w:lineRule="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（1）申请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纳税人通过</w:t>
      </w:r>
      <w:r>
        <w:rPr>
          <w:rFonts w:hint="eastAsia" w:ascii="宋体" w:hAnsi="宋体" w:eastAsia="宋体" w:cs="宋体"/>
          <w:bCs/>
          <w:sz w:val="24"/>
          <w:szCs w:val="24"/>
          <w:highlight w:val="none"/>
          <w:lang w:bidi="ar"/>
        </w:rPr>
        <w:t>全国统一规范电子税务局</w:t>
      </w:r>
      <w:r>
        <w:rPr>
          <w:rFonts w:hint="eastAsia" w:ascii="宋体" w:hAnsi="宋体" w:eastAsia="宋体" w:cs="宋体"/>
          <w:sz w:val="24"/>
          <w:szCs w:val="24"/>
          <w:highlight w:val="none"/>
          <w:lang w:bidi="ar"/>
        </w:rPr>
        <w:t>“中国税收居民身份证明开具”“中国税收居民身份证明开具”功能或电子税务局APP“中国税收居民身份证明”模块填写相关内容，并上传附件，保存后提交。</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--办理机构：不涉及</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--信息系统：</w:t>
      </w:r>
      <w:r>
        <w:rPr>
          <w:rFonts w:hint="eastAsia" w:ascii="宋体" w:hAnsi="宋体" w:eastAsia="宋体" w:cs="宋体"/>
          <w:bCs/>
          <w:sz w:val="24"/>
          <w:szCs w:val="24"/>
          <w:highlight w:val="none"/>
          <w:lang w:bidi="ar"/>
        </w:rPr>
        <w:t>全国统一规范电子税务局</w:t>
      </w:r>
      <w:r>
        <w:rPr>
          <w:rFonts w:hint="eastAsia" w:ascii="宋体" w:hAnsi="宋体" w:eastAsia="宋体" w:cs="宋体"/>
          <w:sz w:val="24"/>
          <w:szCs w:val="24"/>
          <w:highlight w:val="none"/>
          <w:lang w:bidi="ar"/>
        </w:rPr>
        <w:t>“中国税收居民身份证明开具”</w:t>
      </w:r>
    </w:p>
    <w:p>
      <w:pPr>
        <w:pageBreakBefore w:val="0"/>
        <w:kinsoku/>
        <w:wordWrap/>
        <w:topLinePunct w:val="0"/>
        <w:bidi w:val="0"/>
        <w:snapToGrid/>
        <w:spacing w:before="157" w:beforeLines="50" w:after="157" w:afterLines="50" w:line="360" w:lineRule="auto"/>
        <w:ind w:firstLine="1920" w:firstLineChars="8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电子税务局APP“中国税收居民身份证明”</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--表证单书：见资料处理部分</w:t>
      </w:r>
    </w:p>
    <w:p>
      <w:pPr>
        <w:pStyle w:val="6"/>
        <w:pageBreakBefore w:val="0"/>
        <w:kinsoku/>
        <w:wordWrap/>
        <w:topLinePunct w:val="0"/>
        <w:bidi w:val="0"/>
        <w:snapToGrid/>
        <w:spacing w:before="157" w:beforeLines="50" w:after="157" w:afterLines="50"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（2）受理</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--办理机构：纳税服务机构</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--信息系统：</w:t>
      </w:r>
      <w:r>
        <w:rPr>
          <w:rFonts w:hint="eastAsia" w:ascii="宋体" w:hAnsi="宋体" w:eastAsia="宋体" w:cs="宋体"/>
          <w:bCs/>
          <w:sz w:val="24"/>
          <w:szCs w:val="24"/>
          <w:highlight w:val="none"/>
          <w:lang w:bidi="ar"/>
        </w:rPr>
        <w:t>税务人电子工作平台</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--表证单书：见资料处理部分</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lang w:bidi="ar"/>
        </w:rPr>
        <w:t>纳税服务机构办税受理岗按要求进行受理，推送办税审核岗审核。</w:t>
      </w:r>
    </w:p>
    <w:p>
      <w:pPr>
        <w:pStyle w:val="6"/>
        <w:pageBreakBefore w:val="0"/>
        <w:kinsoku/>
        <w:wordWrap/>
        <w:topLinePunct w:val="0"/>
        <w:bidi w:val="0"/>
        <w:snapToGrid/>
        <w:spacing w:before="157" w:beforeLines="50" w:after="157" w:afterLines="50"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（3）审核</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--办理机构：纳税服务机构</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--信息系统：金税系统“中国税收居民身份证明”</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--表证单书：《中国税收居民身份证明》申请表</w:t>
      </w:r>
    </w:p>
    <w:p>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（4）出件</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办理完成后，纳税人可通过电子税务局对应模块下载相关数据后查看或打印相关文书。</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根据纳税人需要，税务机关制作并通过系统推送《中国税收居民身份证明》电子文书，确认无误后，完成反馈发放，结束流程。</w:t>
      </w:r>
    </w:p>
    <w:p>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2.线下流程：申请—受理—审核—出件</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本事项自接受任务之日起10个工作日内办结。无法准确判断居民身份，需要报告上级税务机关的，20个工作日内办结。</w:t>
      </w:r>
    </w:p>
    <w:p>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pPr>
        <w:pStyle w:val="7"/>
        <w:keepNext/>
        <w:pageBreakBefore w:val="0"/>
        <w:widowControl w:val="0"/>
        <w:tabs>
          <w:tab w:val="center" w:pos="4200"/>
        </w:tabs>
        <w:kinsoku/>
        <w:wordWrap/>
        <w:topLinePunct w:val="0"/>
        <w:bidi w:val="0"/>
        <w:snapToGrid/>
        <w:spacing w:before="157" w:beforeLines="50" w:beforeAutospacing="0" w:after="157" w:afterLines="50" w:afterAutospacing="0" w:line="360" w:lineRule="auto"/>
        <w:ind w:firstLine="10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《中国税收居民身份证明》开具报送资料清单</w:t>
      </w:r>
    </w:p>
    <w:tbl>
      <w:tblPr>
        <w:tblStyle w:val="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0"/>
        <w:gridCol w:w="3543"/>
        <w:gridCol w:w="692"/>
        <w:gridCol w:w="660"/>
        <w:gridCol w:w="689"/>
        <w:gridCol w:w="794"/>
        <w:gridCol w:w="764"/>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446" w:type="pct"/>
            <w:tcBorders>
              <w:top w:val="single" w:color="auto" w:sz="12" w:space="0"/>
              <w:left w:val="single" w:color="auto" w:sz="12"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序号</w:t>
            </w:r>
          </w:p>
        </w:tc>
        <w:tc>
          <w:tcPr>
            <w:tcW w:w="2078"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ind w:firstLine="480"/>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报送资料名称</w:t>
            </w:r>
          </w:p>
        </w:tc>
        <w:tc>
          <w:tcPr>
            <w:tcW w:w="40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必报</w:t>
            </w:r>
          </w:p>
        </w:tc>
        <w:tc>
          <w:tcPr>
            <w:tcW w:w="387"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条件报送</w:t>
            </w:r>
          </w:p>
        </w:tc>
        <w:tc>
          <w:tcPr>
            <w:tcW w:w="404"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归档</w:t>
            </w:r>
          </w:p>
        </w:tc>
        <w:tc>
          <w:tcPr>
            <w:tcW w:w="4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查验</w:t>
            </w:r>
          </w:p>
        </w:tc>
        <w:tc>
          <w:tcPr>
            <w:tcW w:w="448"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代保管</w:t>
            </w:r>
          </w:p>
        </w:tc>
        <w:tc>
          <w:tcPr>
            <w:tcW w:w="362" w:type="pct"/>
            <w:tcBorders>
              <w:top w:val="single" w:color="auto" w:sz="12" w:space="0"/>
              <w:left w:val="single" w:color="auto" w:sz="6" w:space="0"/>
              <w:bottom w:val="single" w:color="auto" w:sz="6" w:space="0"/>
              <w:right w:val="single" w:color="auto" w:sz="12" w:space="0"/>
            </w:tcBorders>
            <w:shd w:val="clear" w:color="auto" w:fill="E0E0E0"/>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核销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6" w:space="0"/>
              <w:right w:val="single" w:color="auto" w:sz="6" w:space="0"/>
            </w:tcBorders>
            <w:noWrap w:val="0"/>
            <w:vAlign w:val="top"/>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1</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《中国税收居民身份证明》申请表</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6" w:type="pct"/>
            <w:tcBorders>
              <w:top w:val="single" w:color="auto" w:sz="6" w:space="0"/>
              <w:left w:val="single" w:color="auto" w:sz="12"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2</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与拟享受税收协定待遇的收入有关的合同、协议、董事会或者股东会决议、支付凭证等证明资料或复印件</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3</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总分机构的登记注册情况或复印件</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4</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合伙企业登记注册情况或复印件</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5</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需要特殊要求书面说明以及《税收居民证明》样式</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6</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补充提供的相关资料</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7</w:t>
            </w:r>
          </w:p>
        </w:tc>
        <w:tc>
          <w:tcPr>
            <w:tcW w:w="207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因户籍、家庭、经济利益关系而在中国境内习惯性居住的证明材料或者说明材料</w:t>
            </w:r>
          </w:p>
        </w:tc>
        <w:tc>
          <w:tcPr>
            <w:tcW w:w="40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87"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04"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6"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6" w:type="pct"/>
            <w:tcBorders>
              <w:top w:val="single" w:color="auto" w:sz="6" w:space="0"/>
              <w:left w:val="single" w:color="auto" w:sz="12"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8</w:t>
            </w:r>
          </w:p>
        </w:tc>
        <w:tc>
          <w:tcPr>
            <w:tcW w:w="2078" w:type="pct"/>
            <w:tcBorders>
              <w:top w:val="single" w:color="auto" w:sz="6" w:space="0"/>
              <w:left w:val="single" w:color="auto" w:sz="6"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在中国境内实际居住时间的相关证明材料或者说明材料</w:t>
            </w:r>
          </w:p>
        </w:tc>
        <w:tc>
          <w:tcPr>
            <w:tcW w:w="406" w:type="pct"/>
            <w:tcBorders>
              <w:top w:val="single" w:color="auto" w:sz="6" w:space="0"/>
              <w:left w:val="single" w:color="auto" w:sz="6"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87" w:type="pct"/>
            <w:tcBorders>
              <w:top w:val="single" w:color="auto" w:sz="6" w:space="0"/>
              <w:left w:val="single" w:color="auto" w:sz="6"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04" w:type="pct"/>
            <w:tcBorders>
              <w:top w:val="single" w:color="auto" w:sz="6" w:space="0"/>
              <w:left w:val="single" w:color="auto" w:sz="6"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466" w:type="pct"/>
            <w:tcBorders>
              <w:top w:val="single" w:color="auto" w:sz="6" w:space="0"/>
              <w:left w:val="single" w:color="auto" w:sz="6"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448" w:type="pct"/>
            <w:tcBorders>
              <w:top w:val="single" w:color="auto" w:sz="6" w:space="0"/>
              <w:left w:val="single" w:color="auto" w:sz="6" w:space="0"/>
              <w:bottom w:val="single" w:color="auto" w:sz="12" w:space="0"/>
              <w:right w:val="single" w:color="auto" w:sz="6"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2" w:type="pct"/>
            <w:tcBorders>
              <w:top w:val="single" w:color="auto" w:sz="6" w:space="0"/>
              <w:left w:val="single" w:color="auto" w:sz="6" w:space="0"/>
              <w:bottom w:val="single" w:color="auto" w:sz="12" w:space="0"/>
              <w:right w:val="single" w:color="auto" w:sz="12" w:space="0"/>
            </w:tcBorders>
            <w:noWrap w:val="0"/>
            <w:vAlign w:val="center"/>
          </w:tcPr>
          <w:p>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bl>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上述相关条件报送资料的报送条件为：</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1.“申请人为个人且在中国境内有住所：因户籍、家庭、经济利益关系而在中国境内习惯性居住的证明材料，包括申请人身份信息、住所情况说明等资料”。</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lang w:bidi="ar"/>
        </w:rPr>
        <w:t>2.“</w:t>
      </w:r>
      <w:r>
        <w:rPr>
          <w:rFonts w:hint="eastAsia" w:ascii="宋体" w:hAnsi="宋体" w:eastAsia="宋体" w:cs="宋体"/>
          <w:bCs/>
          <w:sz w:val="24"/>
          <w:szCs w:val="24"/>
          <w:highlight w:val="none"/>
          <w:lang w:bidi="ar"/>
        </w:rPr>
        <w:t>申请人为个人且在中国境内无住所，而一个纳税年度内在中国境内居住累计满183天：在中国境内实际居住时间的相关证明材料或者说明材料，包括出入境信息等资料</w:t>
      </w:r>
      <w:r>
        <w:rPr>
          <w:rFonts w:hint="eastAsia" w:ascii="宋体" w:hAnsi="宋体" w:eastAsia="宋体" w:cs="宋体"/>
          <w:bCs/>
          <w:sz w:val="24"/>
          <w:szCs w:val="24"/>
          <w:highlight w:val="none"/>
          <w:lang w:bidi="ar"/>
        </w:rPr>
        <w:t>”。</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3.总分机构的登记注册情况或复印件：境内、外分支机构通过其总机构提出申请时，能够获取相关信息的可取消复印件的报送。</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4.合伙企业登记注册情况或复印件：在以合伙企业的中国居民合伙人提出申请时，能够通过政府信息共享获取相关信息的可取消复印件的报送。</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5.</w:t>
      </w:r>
      <w:r>
        <w:rPr>
          <w:rFonts w:hint="eastAsia" w:ascii="宋体" w:hAnsi="宋体" w:eastAsia="宋体" w:cs="宋体"/>
          <w:sz w:val="24"/>
          <w:szCs w:val="24"/>
          <w:highlight w:val="none"/>
          <w:lang w:bidi="ar"/>
        </w:rPr>
        <w:t>需要特殊要求书面说明以及《税收居民证明》样式</w:t>
      </w:r>
      <w:r>
        <w:rPr>
          <w:rFonts w:hint="eastAsia" w:ascii="宋体" w:hAnsi="宋体" w:eastAsia="宋体" w:cs="宋体"/>
          <w:bCs/>
          <w:sz w:val="24"/>
          <w:szCs w:val="24"/>
          <w:highlight w:val="none"/>
          <w:lang w:bidi="ar"/>
        </w:rPr>
        <w:t>：主管税务机关或者上级税务机关根据申请人提交资料，提供相关样式。</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6.补充提供的相关资料：主管税务机关或者上级税务机关根据申请人提交资料，无法作出判断的，可以要求申请人补充提供相关资料。</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7.因户籍、家庭、经济利益关系而在中国境内习惯性居住的证明材料或者说明材料：申请人为个人且在中国境内有住所；证明材料包括申请人身份信息、住所情况说明等资料。</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8.在中国境内实际居住时间的相关证明材料或者说明材料：为申请人为个人且在中国境内无住所，而一个纳税年度内在中国境内居住累计满183天的个人，证明材料包括出入境信息等资料。</w:t>
      </w:r>
    </w:p>
    <w:p>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1.《国家税务总局关于做好〈中国税收居民身份证明〉开具和后续管理有关工作的通知》（税总函〔2016〕671号）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2.《国家税务总局关于开具〈中国税收居民身份证明〉有关事项的公告》（国家税务总局公告2016年第40号）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3.《国家税务总局关于贯彻落实〈国务院关于取消非行政许可审批事项的决定〉的通知》（税总发〔2015〕74号）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4.《国家税务总局关于调整〈中国税收居民身份证明</w:t>
      </w:r>
      <w:bookmarkStart w:id="2" w:name="OLE_LINK5"/>
      <w:bookmarkStart w:id="3" w:name="OLE_LINK6"/>
      <w:r>
        <w:rPr>
          <w:rFonts w:hint="eastAsia" w:ascii="宋体" w:hAnsi="宋体" w:eastAsia="宋体" w:cs="宋体"/>
          <w:bCs/>
          <w:sz w:val="24"/>
          <w:szCs w:val="24"/>
          <w:highlight w:val="none"/>
          <w:lang w:bidi="ar"/>
        </w:rPr>
        <w:t>〉</w:t>
      </w:r>
      <w:bookmarkEnd w:id="2"/>
      <w:bookmarkEnd w:id="3"/>
      <w:r>
        <w:rPr>
          <w:rFonts w:hint="eastAsia" w:ascii="宋体" w:hAnsi="宋体" w:eastAsia="宋体" w:cs="宋体"/>
          <w:bCs/>
          <w:sz w:val="24"/>
          <w:szCs w:val="24"/>
          <w:highlight w:val="none"/>
          <w:lang w:bidi="ar"/>
        </w:rPr>
        <w:t>有关事项的公告》（国家税务总局公告2019年第17号）</w:t>
      </w:r>
    </w:p>
    <w:bookmarkEnd w:id="0"/>
    <w:bookmarkEnd w:id="1"/>
    <w:p>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bookmarkEnd w:id="4"/>
    <w:p>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725F8"/>
    <w:multiLevelType w:val="multilevel"/>
    <w:tmpl w:val="89D725F8"/>
    <w:lvl w:ilvl="0" w:tentative="0">
      <w:start w:val="1"/>
      <w:numFmt w:val="bullet"/>
      <w:lvlText w:val=""/>
      <w:lvlJc w:val="left"/>
      <w:pPr>
        <w:ind w:left="562"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622E7"/>
    <w:rsid w:val="49DC1B1C"/>
    <w:rsid w:val="63FD7B90"/>
    <w:rsid w:val="644A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3332</Words>
  <Characters>3444</Characters>
  <Lines>0</Lines>
  <Paragraphs>0</Paragraphs>
  <TotalTime>7</TotalTime>
  <ScaleCrop>false</ScaleCrop>
  <LinksUpToDate>false</LinksUpToDate>
  <CharactersWithSpaces>3446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2025-03-01T01:33:00Z</dcterms:created>
  <dc:creator>tsuser</dc:creator>
  <cp:lastModifiedBy>fzr</cp:lastModifiedBy>
  <dcterms:modified xsi:type="dcterms:W3CDTF">2025-07-08T11:47:21Z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235F8D56DA1644CA9560BA2ACEBDF543_12</vt:lpwstr>
  </property>
</Properties>
</file>