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8EC206">
      <w:pPr>
        <w:pStyle w:val="2"/>
        <w:rPr>
          <w:rFonts w:hint="eastAsia"/>
          <w:highlight w:val="none"/>
        </w:rPr>
      </w:pPr>
      <w:bookmarkStart w:id="0" w:name="_GoBack"/>
      <w:r>
        <w:rPr>
          <w:rFonts w:hint="eastAsia"/>
          <w:highlight w:val="none"/>
        </w:rPr>
        <w:t>4.5.1  开具中央非税收入统一票据</w:t>
      </w:r>
      <w:bookmarkEnd w:id="0"/>
      <w:r>
        <w:rPr>
          <w:rFonts w:hint="eastAsia"/>
          <w:highlight w:val="none"/>
        </w:rPr>
        <w:t>——1950</w:t>
      </w:r>
    </w:p>
    <w:p w14:paraId="200EE1DE">
      <w:pPr>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p>
    <w:p w14:paraId="63AD0EA1">
      <w:pPr>
        <w:pStyle w:val="4"/>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【事项概述】</w:t>
      </w:r>
    </w:p>
    <w:p w14:paraId="77B31E29">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缴费人需要开具缴费证明并向税务机关提出申请的，经税务机关核实后，开具其相应期间实际缴纳非税收入的缴费证明。</w:t>
      </w:r>
    </w:p>
    <w:p w14:paraId="26FFF097">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缴费证明所指的非税收入是指缴费人已申报且缴纳的非税收入。</w:t>
      </w:r>
      <w:r>
        <w:rPr>
          <w:rFonts w:hint="eastAsia" w:ascii="宋体" w:hAnsi="宋体" w:eastAsia="宋体" w:cs="宋体"/>
          <w:sz w:val="24"/>
          <w:szCs w:val="24"/>
          <w:highlight w:val="none"/>
          <w:lang w:bidi="ar"/>
        </w:rPr>
        <w:t>根据费种类型分别开具《税收完税证明》或《中央非税收入统一票据》。</w:t>
      </w:r>
    </w:p>
    <w:p w14:paraId="55F0D025">
      <w:pPr>
        <w:pStyle w:val="4"/>
        <w:pageBreakBefore w:val="0"/>
        <w:kinsoku/>
        <w:wordWrap/>
        <w:topLinePunct w:val="0"/>
        <w:bidi w:val="0"/>
        <w:snapToGrid/>
        <w:spacing w:before="157" w:beforeLines="50" w:after="157" w:afterLines="50"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【办理类别】</w:t>
      </w:r>
    </w:p>
    <w:p w14:paraId="2AFD0CA2">
      <w:pPr>
        <w:pageBreakBefore w:val="0"/>
        <w:widowControl/>
        <w:numPr>
          <w:ilvl w:val="0"/>
          <w:numId w:val="1"/>
        </w:numPr>
        <w:kinsoku/>
        <w:wordWrap/>
        <w:overflowPunct w:val="0"/>
        <w:topLinePunct w:val="0"/>
        <w:autoSpaceDE w:val="0"/>
        <w:autoSpaceDN w:val="0"/>
        <w:bidi w:val="0"/>
        <w:adjustRightInd w:val="0"/>
        <w:snapToGrid/>
        <w:spacing w:before="157" w:beforeLines="50" w:after="157" w:afterLines="50" w:line="360" w:lineRule="auto"/>
        <w:ind w:left="420" w:hangingChars="200"/>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lang w:bidi="ar"/>
        </w:rPr>
        <w:t>办理方式：线上（全程在线自主办结）/线下</w:t>
      </w:r>
    </w:p>
    <w:p w14:paraId="18C55205">
      <w:pPr>
        <w:pageBreakBefore w:val="0"/>
        <w:widowControl/>
        <w:numPr>
          <w:ilvl w:val="0"/>
          <w:numId w:val="1"/>
        </w:numPr>
        <w:kinsoku/>
        <w:wordWrap/>
        <w:overflowPunct w:val="0"/>
        <w:topLinePunct w:val="0"/>
        <w:autoSpaceDE w:val="0"/>
        <w:autoSpaceDN w:val="0"/>
        <w:bidi w:val="0"/>
        <w:adjustRightInd w:val="0"/>
        <w:snapToGrid/>
        <w:spacing w:before="157" w:beforeLines="50" w:after="157" w:afterLines="50" w:line="360" w:lineRule="auto"/>
        <w:ind w:left="420" w:hangingChars="200"/>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lang w:bidi="ar"/>
        </w:rPr>
        <w:t>办理时限：即时办结</w:t>
      </w:r>
    </w:p>
    <w:p w14:paraId="0B632DE7">
      <w:pPr>
        <w:pageBreakBefore w:val="0"/>
        <w:widowControl/>
        <w:numPr>
          <w:ilvl w:val="0"/>
          <w:numId w:val="1"/>
        </w:numPr>
        <w:kinsoku/>
        <w:wordWrap/>
        <w:overflowPunct w:val="0"/>
        <w:topLinePunct w:val="0"/>
        <w:autoSpaceDE w:val="0"/>
        <w:autoSpaceDN w:val="0"/>
        <w:bidi w:val="0"/>
        <w:adjustRightInd w:val="0"/>
        <w:snapToGrid/>
        <w:spacing w:before="157" w:beforeLines="50" w:after="157" w:afterLines="50" w:line="360" w:lineRule="auto"/>
        <w:ind w:left="420" w:hangingChars="200"/>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lang w:bidi="ar"/>
        </w:rPr>
        <w:t>办理层级：区县级</w:t>
      </w:r>
    </w:p>
    <w:p w14:paraId="611CA73F">
      <w:pPr>
        <w:pStyle w:val="4"/>
        <w:pageBreakBefore w:val="0"/>
        <w:kinsoku/>
        <w:wordWrap/>
        <w:topLinePunct w:val="0"/>
        <w:bidi w:val="0"/>
        <w:snapToGrid/>
        <w:spacing w:before="157" w:beforeLines="50" w:after="157" w:afterLines="50"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【办理流程】</w:t>
      </w:r>
    </w:p>
    <w:p w14:paraId="2D3DFC5B">
      <w:pPr>
        <w:pStyle w:val="5"/>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1.线上流程：申请</w:t>
      </w:r>
    </w:p>
    <w:p w14:paraId="368E710C">
      <w:pPr>
        <w:pStyle w:val="6"/>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（1）申请</w:t>
      </w:r>
    </w:p>
    <w:p w14:paraId="250D4619">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缴费人通过</w:t>
      </w:r>
      <w:r>
        <w:rPr>
          <w:rFonts w:hint="eastAsia" w:ascii="宋体" w:hAnsi="宋体" w:eastAsia="宋体" w:cs="宋体"/>
          <w:bCs/>
          <w:sz w:val="24"/>
          <w:szCs w:val="24"/>
          <w:highlight w:val="none"/>
          <w:lang w:bidi="ar"/>
        </w:rPr>
        <w:t>全国统一规范电子税务局</w:t>
      </w:r>
      <w:r>
        <w:rPr>
          <w:rFonts w:hint="eastAsia" w:ascii="宋体" w:hAnsi="宋体" w:eastAsia="宋体" w:cs="宋体"/>
          <w:sz w:val="24"/>
          <w:szCs w:val="24"/>
          <w:highlight w:val="none"/>
          <w:lang w:bidi="ar"/>
        </w:rPr>
        <w:t>“开具税收完税（费）证明”“开具中央非税收入统一票据”功能自主办结该业务。</w:t>
      </w:r>
    </w:p>
    <w:p w14:paraId="0F473102">
      <w:pPr>
        <w:pStyle w:val="5"/>
        <w:pageBreakBefore w:val="0"/>
        <w:kinsoku/>
        <w:wordWrap/>
        <w:topLinePunct w:val="0"/>
        <w:bidi w:val="0"/>
        <w:snapToGrid/>
        <w:spacing w:before="157" w:beforeLines="50" w:after="157" w:afterLines="50"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2.线下流程：申请—受理—出件</w:t>
      </w:r>
    </w:p>
    <w:p w14:paraId="7512EF0E">
      <w:pPr>
        <w:pStyle w:val="6"/>
        <w:pageBreakBefore w:val="0"/>
        <w:kinsoku/>
        <w:wordWrap/>
        <w:topLinePunct w:val="0"/>
        <w:bidi w:val="0"/>
        <w:snapToGrid/>
        <w:spacing w:before="157" w:beforeLines="50" w:after="157" w:afterLines="50"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（1）申请</w:t>
      </w:r>
    </w:p>
    <w:p w14:paraId="534E28FF">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纳税人向税务机关申请换开非税收入缴费证明。</w:t>
      </w:r>
    </w:p>
    <w:p w14:paraId="64770BC3">
      <w:pPr>
        <w:pStyle w:val="6"/>
        <w:pageBreakBefore w:val="0"/>
        <w:kinsoku/>
        <w:wordWrap/>
        <w:topLinePunct w:val="0"/>
        <w:bidi w:val="0"/>
        <w:snapToGrid/>
        <w:spacing w:before="157" w:beforeLines="50" w:after="157" w:afterLines="50"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（2）受理</w:t>
      </w:r>
    </w:p>
    <w:p w14:paraId="0B3096DF">
      <w:pPr>
        <w:pStyle w:val="6"/>
        <w:pageBreakBefore w:val="0"/>
        <w:kinsoku/>
        <w:wordWrap/>
        <w:topLinePunct w:val="0"/>
        <w:bidi w:val="0"/>
        <w:snapToGrid/>
        <w:spacing w:before="157" w:beforeLines="50" w:after="157" w:afterLines="50"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（3）出件</w:t>
      </w:r>
    </w:p>
    <w:p w14:paraId="0A07215C">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纳税服务机构办税受理岗向缴费人开具《税收完税证明》或《中央非税收入统一票据》。</w:t>
      </w:r>
    </w:p>
    <w:p w14:paraId="19F4B329">
      <w:pPr>
        <w:pStyle w:val="4"/>
        <w:pageBreakBefore w:val="0"/>
        <w:kinsoku/>
        <w:wordWrap/>
        <w:topLinePunct w:val="0"/>
        <w:bidi w:val="0"/>
        <w:snapToGrid/>
        <w:spacing w:before="157" w:beforeLines="50" w:after="157" w:afterLines="50"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【资料处理】</w:t>
      </w:r>
    </w:p>
    <w:p w14:paraId="54D1D618">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无</w:t>
      </w:r>
    </w:p>
    <w:p w14:paraId="14C3461D">
      <w:pPr>
        <w:pStyle w:val="4"/>
        <w:pageBreakBefore w:val="0"/>
        <w:kinsoku/>
        <w:wordWrap/>
        <w:topLinePunct w:val="0"/>
        <w:bidi w:val="0"/>
        <w:snapToGrid/>
        <w:spacing w:before="157" w:beforeLines="50" w:after="157" w:afterLines="50"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【政策依据】</w:t>
      </w:r>
    </w:p>
    <w:p w14:paraId="6441F29E">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1.《税收票证管理办法》（国家税务总局令〔2013〕第28号）</w:t>
      </w:r>
    </w:p>
    <w:p w14:paraId="1C17465D">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2.《国家税务总局关于明确《税收完税证明》（文书式）开具管理有关事项的通知》（税总函〔2018〕628号）</w:t>
      </w:r>
    </w:p>
    <w:p w14:paraId="0088997D">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3.《财政部关于土地闲置费、城镇垃圾处理费划转税务部门征收的通知》（财税〔2021〕8号）</w:t>
      </w:r>
    </w:p>
    <w:p w14:paraId="3FE1614E">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4.《国家税务总局 财政部 自然资源部 住房和城乡建设部 中国人民银行关于土地闲置费 城镇垃圾处理费划转有关征管事项的公告》（2021年第12号）</w:t>
      </w:r>
    </w:p>
    <w:p w14:paraId="3C0B8365">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bidi="ar"/>
        </w:rPr>
        <w:t>5.《国务院关于印发〈矿产资源权益金制度改革方案〉的通知》（国发〔2017〕29号）</w:t>
      </w:r>
    </w:p>
    <w:p w14:paraId="36B28EE9">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bCs/>
          <w:sz w:val="24"/>
          <w:szCs w:val="24"/>
          <w:highlight w:val="none"/>
          <w:lang w:bidi="ar"/>
        </w:rPr>
        <w:t>6.《财政部 自然资源部 税务总局 人民银行关于将国有土地使用权出让收入、矿产资源专项收入、海域使用金、无居民海岛使用金四项政府非税收入划转税务部门征收有关问题的通知》（财综〔2021〕19号）</w:t>
      </w:r>
    </w:p>
    <w:p w14:paraId="122C0605">
      <w:pPr>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D725F8"/>
    <w:multiLevelType w:val="multilevel"/>
    <w:tmpl w:val="89D725F8"/>
    <w:lvl w:ilvl="0" w:tentative="0">
      <w:start w:val="1"/>
      <w:numFmt w:val="bullet"/>
      <w:lvlText w:val=""/>
      <w:lvlJc w:val="left"/>
      <w:pPr>
        <w:ind w:left="562" w:hanging="420"/>
      </w:pPr>
      <w:rPr>
        <w:rFonts w:hint="default" w:ascii="Wingdings" w:hAnsi="Wingdings" w:cs="Wingdings"/>
      </w:rPr>
    </w:lvl>
    <w:lvl w:ilvl="1" w:tentative="0">
      <w:start w:val="1"/>
      <w:numFmt w:val="bullet"/>
      <w:lvlText w:val=""/>
      <w:lvlJc w:val="left"/>
      <w:pPr>
        <w:ind w:left="1260" w:hanging="420"/>
      </w:pPr>
      <w:rPr>
        <w:rFonts w:hint="default" w:ascii="Wingdings" w:hAnsi="Wingdings" w:cs="Wingdings"/>
      </w:rPr>
    </w:lvl>
    <w:lvl w:ilvl="2" w:tentative="0">
      <w:start w:val="1"/>
      <w:numFmt w:val="bullet"/>
      <w:lvlText w:val=""/>
      <w:lvlJc w:val="left"/>
      <w:pPr>
        <w:ind w:left="1680" w:hanging="420"/>
      </w:pPr>
      <w:rPr>
        <w:rFonts w:hint="default" w:ascii="Wingdings" w:hAnsi="Wingdings" w:cs="Wingdings"/>
      </w:rPr>
    </w:lvl>
    <w:lvl w:ilvl="3" w:tentative="0">
      <w:start w:val="1"/>
      <w:numFmt w:val="bullet"/>
      <w:lvlText w:val=""/>
      <w:lvlJc w:val="left"/>
      <w:pPr>
        <w:ind w:left="2100" w:hanging="420"/>
      </w:pPr>
      <w:rPr>
        <w:rFonts w:hint="default" w:ascii="Wingdings" w:hAnsi="Wingdings" w:cs="Wingdings"/>
      </w:rPr>
    </w:lvl>
    <w:lvl w:ilvl="4" w:tentative="0">
      <w:start w:val="1"/>
      <w:numFmt w:val="bullet"/>
      <w:lvlText w:val=""/>
      <w:lvlJc w:val="left"/>
      <w:pPr>
        <w:ind w:left="2520" w:hanging="420"/>
      </w:pPr>
      <w:rPr>
        <w:rFonts w:hint="default" w:ascii="Wingdings" w:hAnsi="Wingdings" w:cs="Wingdings"/>
      </w:rPr>
    </w:lvl>
    <w:lvl w:ilvl="5" w:tentative="0">
      <w:start w:val="1"/>
      <w:numFmt w:val="bullet"/>
      <w:lvlText w:val=""/>
      <w:lvlJc w:val="left"/>
      <w:pPr>
        <w:ind w:left="2940" w:hanging="420"/>
      </w:pPr>
      <w:rPr>
        <w:rFonts w:hint="default" w:ascii="Wingdings" w:hAnsi="Wingdings" w:cs="Wingdings"/>
      </w:rPr>
    </w:lvl>
    <w:lvl w:ilvl="6" w:tentative="0">
      <w:start w:val="1"/>
      <w:numFmt w:val="bullet"/>
      <w:lvlText w:val=""/>
      <w:lvlJc w:val="left"/>
      <w:pPr>
        <w:ind w:left="3360" w:hanging="420"/>
      </w:pPr>
      <w:rPr>
        <w:rFonts w:hint="default" w:ascii="Wingdings" w:hAnsi="Wingdings" w:cs="Wingdings"/>
      </w:rPr>
    </w:lvl>
    <w:lvl w:ilvl="7" w:tentative="0">
      <w:start w:val="1"/>
      <w:numFmt w:val="bullet"/>
      <w:lvlText w:val=""/>
      <w:lvlJc w:val="left"/>
      <w:pPr>
        <w:ind w:left="3780" w:hanging="420"/>
      </w:pPr>
      <w:rPr>
        <w:rFonts w:hint="default" w:ascii="Wingdings" w:hAnsi="Wingdings" w:cs="Wingdings"/>
      </w:rPr>
    </w:lvl>
    <w:lvl w:ilvl="8" w:tentative="0">
      <w:start w:val="1"/>
      <w:numFmt w:val="bullet"/>
      <w:lvlText w:val=""/>
      <w:lvlJc w:val="left"/>
      <w:pPr>
        <w:ind w:left="4200" w:hanging="420"/>
      </w:pPr>
      <w:rPr>
        <w:rFonts w:hint="default"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F62B57"/>
    <w:rsid w:val="22966A5A"/>
    <w:rsid w:val="6B6133BC"/>
    <w:rsid w:val="72AC3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3"/>
    <w:qFormat/>
    <w:uiPriority w:val="99"/>
    <w:pPr>
      <w:spacing w:after="120"/>
    </w:pPr>
  </w:style>
  <w:style w:type="paragraph" w:customStyle="1" w:styleId="3">
    <w:name w:val="正文_0"/>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1066</Words>
  <Characters>1117</Characters>
  <Lines>0</Lines>
  <Paragraphs>0</Paragraphs>
  <TotalTime>1</TotalTime>
  <ScaleCrop>false</ScaleCrop>
  <LinksUpToDate>false</LinksUpToDate>
  <CharactersWithSpaces>1127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2025-03-01T01:31:00Z</dcterms:created>
  <dc:creator>tsuser</dc:creator>
  <cp:lastModifiedBy>默默</cp:lastModifiedBy>
  <dcterms:modified xsi:type="dcterms:W3CDTF">2025-07-09T01:07:52Z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eyJoZGlkIjoiYWI0MTczMTlmZGQwMDlkNjE0Y2E2NDViNmNjNWY1ZmYiLCJ1c2VySWQiOiI3MzkzMzY4MTcifQ==</vt:lpwstr>
  </property>
  <property fmtid="{D5CDD505-2E9C-101B-9397-08002B2CF9AE}" pid="4" name="ICV">
    <vt:lpwstr>08F0311AD2CC402899597E394116A699_12</vt:lpwstr>
  </property>
</Properties>
</file>