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F104A">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5.1.1  延期缴纳税款申请</w:t>
      </w:r>
      <w:bookmarkEnd w:id="0"/>
      <w:r>
        <w:rPr>
          <w:rFonts w:hint="eastAsia" w:ascii="宋体" w:hAnsi="宋体" w:eastAsia="宋体" w:cs="宋体"/>
          <w:sz w:val="24"/>
          <w:szCs w:val="24"/>
          <w:highlight w:val="none"/>
        </w:rPr>
        <w:t>——2010</w:t>
      </w:r>
    </w:p>
    <w:p w14:paraId="26BB8736">
      <w:pPr>
        <w:pStyle w:val="2"/>
        <w:rPr>
          <w:rFonts w:hint="eastAsia"/>
          <w:highlight w:val="none"/>
        </w:rPr>
      </w:pPr>
    </w:p>
    <w:p w14:paraId="1B4DFD36">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【事项概述】</w:t>
      </w:r>
    </w:p>
    <w:p w14:paraId="2812863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因不可抗力因素，导致发生较大损失，正常生产经营活动受到较大影响的，或者当期货币资金在扣除应付职工工资、社会保险费后不足以缴纳税款的，经省、自治区、直辖市税务局批准，可以延期缴纳税款，但最长不得超过3个月。</w:t>
      </w:r>
    </w:p>
    <w:p w14:paraId="4E1A52F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税务机关应当在收到申请延期缴纳税款报告之日起20日内作出批准或者不予批准的决定，不予批准的从缴纳税款期限届满之日起加收滞纳金。</w:t>
      </w:r>
    </w:p>
    <w:p w14:paraId="708CF6AA">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42362D6C">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办理方式：线上（线上提交、后台处理、线下反馈）/线下</w:t>
      </w:r>
    </w:p>
    <w:p w14:paraId="4E2BD7A7">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办理时限：限时办结</w:t>
      </w:r>
    </w:p>
    <w:p w14:paraId="219617D0">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办理层级：区县级、省级</w:t>
      </w:r>
    </w:p>
    <w:p w14:paraId="390F4FBA">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14:paraId="29E0ECC8">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1.线上流程：申请—受理—核准—发放</w:t>
      </w:r>
    </w:p>
    <w:p w14:paraId="67650C8F">
      <w:pPr>
        <w:pStyle w:val="6"/>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（1）申请</w:t>
      </w:r>
    </w:p>
    <w:p w14:paraId="0B426C80">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w:t>
      </w:r>
      <w:r>
        <w:rPr>
          <w:rFonts w:hint="eastAsia" w:ascii="宋体" w:hAnsi="宋体" w:eastAsia="宋体" w:cs="宋体"/>
          <w:sz w:val="24"/>
          <w:szCs w:val="24"/>
          <w:highlight w:val="none"/>
        </w:rPr>
        <w:t>通过</w:t>
      </w:r>
      <w:r>
        <w:rPr>
          <w:rFonts w:hint="eastAsia" w:ascii="宋体" w:hAnsi="宋体" w:eastAsia="宋体" w:cs="宋体"/>
          <w:bCs/>
          <w:sz w:val="24"/>
          <w:szCs w:val="24"/>
          <w:highlight w:val="none"/>
        </w:rPr>
        <w:t>全国统一规范电子税务局</w:t>
      </w:r>
      <w:r>
        <w:rPr>
          <w:rFonts w:hint="eastAsia" w:ascii="宋体" w:hAnsi="宋体" w:eastAsia="宋体" w:cs="宋体"/>
          <w:sz w:val="24"/>
          <w:szCs w:val="24"/>
          <w:highlight w:val="none"/>
        </w:rPr>
        <w:t>“对纳税人延期缴纳税款核准”功能提交申请</w:t>
      </w:r>
      <w:r>
        <w:rPr>
          <w:rFonts w:hint="eastAsia" w:ascii="宋体" w:hAnsi="宋体" w:eastAsia="宋体" w:cs="宋体"/>
          <w:sz w:val="24"/>
          <w:szCs w:val="24"/>
          <w:highlight w:val="none"/>
        </w:rPr>
        <w:t>。</w:t>
      </w:r>
    </w:p>
    <w:p w14:paraId="3149CBE0">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（2）受理</w:t>
      </w:r>
    </w:p>
    <w:p w14:paraId="1347DE0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--办理机构：纳税服务机构</w:t>
      </w:r>
    </w:p>
    <w:p w14:paraId="6A28EF9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①不予受理。申请事项不属于本机关职权范围，在《受理回执》中勾选不予受理。</w:t>
      </w:r>
    </w:p>
    <w:p w14:paraId="6AD226C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告知补正材料。申请人申请材料存在可以当场更正的错误的，应当告知并允许申请人当场更正，申请材料不齐全或者不符合法定形式的，应当场或者在2个工作日内制作《税务事项通知书》（补正通知），一次性告知申请人需要补正的全部内容。</w:t>
      </w:r>
    </w:p>
    <w:p w14:paraId="70B8AF1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受理。申请事项属于本税务机关职权范围，申请材料齐全、符合法定形式，或者申请人按照本税务机关的要求提交全部补正申请材料的，自收到申请材料之日起即为受理，应当在2个工作日内受理并出具受理回执。</w:t>
      </w:r>
    </w:p>
    <w:p w14:paraId="0680ECB0">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（3）核准</w:t>
      </w:r>
    </w:p>
    <w:p w14:paraId="1B61BEF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--办理机构：属地税源管理机构；省局</w:t>
      </w:r>
      <w:r>
        <w:rPr>
          <w:rFonts w:hint="eastAsia" w:ascii="宋体" w:hAnsi="宋体" w:eastAsia="宋体" w:cs="宋体"/>
          <w:sz w:val="24"/>
          <w:szCs w:val="24"/>
          <w:highlight w:val="none"/>
          <w:lang w:eastAsia="zh-Hans"/>
        </w:rPr>
        <w:t>征管科技部门</w:t>
      </w:r>
    </w:p>
    <w:p w14:paraId="2AE43329">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（4）发放</w:t>
      </w:r>
    </w:p>
    <w:p w14:paraId="0DC62E8A">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2.线下流程：申请—受理—核准—发放</w:t>
      </w:r>
    </w:p>
    <w:p w14:paraId="533D912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纳税人线下申请办理“对纳税人延期缴纳税款核准”的，需携带申请理由，经办人身份证件及所有银行存款账户的对账单等资料到办税服务厅，后续流程同线上。</w:t>
      </w:r>
    </w:p>
    <w:p w14:paraId="3DEAE7D6">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14:paraId="0D02C21F">
      <w:pPr>
        <w:pStyle w:val="9"/>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对纳税人延期缴纳税款核准报送资料清单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304"/>
        <w:gridCol w:w="459"/>
        <w:gridCol w:w="624"/>
        <w:gridCol w:w="624"/>
        <w:gridCol w:w="624"/>
        <w:gridCol w:w="624"/>
        <w:gridCol w:w="624"/>
      </w:tblGrid>
      <w:tr w14:paraId="7DA21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shd w:val="clear" w:color="auto" w:fill="E0E0E0"/>
            <w:noWrap w:val="0"/>
            <w:vAlign w:val="center"/>
          </w:tcPr>
          <w:p w14:paraId="33087A0C">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4304" w:type="dxa"/>
            <w:shd w:val="clear" w:color="auto" w:fill="E0E0E0"/>
            <w:noWrap w:val="0"/>
            <w:vAlign w:val="center"/>
          </w:tcPr>
          <w:p w14:paraId="41F973A2">
            <w:pPr>
              <w:pStyle w:val="10"/>
              <w:pageBreakBefore w:val="0"/>
              <w:kinsoku/>
              <w:wordWrap/>
              <w:topLinePunct w:val="0"/>
              <w:bidi w:val="0"/>
              <w:snapToGrid/>
              <w:spacing w:before="157" w:beforeLines="50" w:after="157" w:afterLines="50" w:line="360" w:lineRule="auto"/>
              <w:ind w:firstLine="48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报送资料名称</w:t>
            </w:r>
          </w:p>
        </w:tc>
        <w:tc>
          <w:tcPr>
            <w:tcW w:w="459" w:type="dxa"/>
            <w:shd w:val="clear" w:color="auto" w:fill="E0E0E0"/>
            <w:noWrap w:val="0"/>
            <w:vAlign w:val="center"/>
          </w:tcPr>
          <w:p w14:paraId="4FBBCC3D">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必报</w:t>
            </w:r>
          </w:p>
        </w:tc>
        <w:tc>
          <w:tcPr>
            <w:tcW w:w="624" w:type="dxa"/>
            <w:shd w:val="clear" w:color="auto" w:fill="E0E0E0"/>
            <w:noWrap w:val="0"/>
            <w:vAlign w:val="center"/>
          </w:tcPr>
          <w:p w14:paraId="7D734A1F">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条件报送</w:t>
            </w:r>
          </w:p>
        </w:tc>
        <w:tc>
          <w:tcPr>
            <w:tcW w:w="624" w:type="dxa"/>
            <w:shd w:val="clear" w:color="auto" w:fill="E0E0E0"/>
            <w:noWrap w:val="0"/>
            <w:vAlign w:val="center"/>
          </w:tcPr>
          <w:p w14:paraId="2D4413D7">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归档</w:t>
            </w:r>
          </w:p>
        </w:tc>
        <w:tc>
          <w:tcPr>
            <w:tcW w:w="624" w:type="dxa"/>
            <w:shd w:val="clear" w:color="auto" w:fill="E0E0E0"/>
            <w:noWrap w:val="0"/>
            <w:vAlign w:val="center"/>
          </w:tcPr>
          <w:p w14:paraId="59BDAC52">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查验</w:t>
            </w:r>
          </w:p>
        </w:tc>
        <w:tc>
          <w:tcPr>
            <w:tcW w:w="624" w:type="dxa"/>
            <w:shd w:val="clear" w:color="auto" w:fill="E0E0E0"/>
            <w:noWrap w:val="0"/>
            <w:vAlign w:val="center"/>
          </w:tcPr>
          <w:p w14:paraId="7A568352">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代保管</w:t>
            </w:r>
          </w:p>
        </w:tc>
        <w:tc>
          <w:tcPr>
            <w:tcW w:w="624" w:type="dxa"/>
            <w:shd w:val="clear" w:color="auto" w:fill="E0E0E0"/>
            <w:noWrap w:val="0"/>
            <w:vAlign w:val="center"/>
          </w:tcPr>
          <w:p w14:paraId="47DD5063">
            <w:pPr>
              <w:pStyle w:val="10"/>
              <w:pageBreakBefore w:val="0"/>
              <w:kinsoku/>
              <w:wordWrap/>
              <w:topLinePunct w:val="0"/>
              <w:bidi w:val="0"/>
              <w:snapToGrid/>
              <w:spacing w:before="157" w:beforeLines="50" w:after="157" w:afterLines="5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核销</w:t>
            </w:r>
          </w:p>
        </w:tc>
      </w:tr>
      <w:tr w14:paraId="780CC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47ED0344">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4304" w:type="dxa"/>
            <w:noWrap w:val="0"/>
            <w:vAlign w:val="top"/>
          </w:tcPr>
          <w:p w14:paraId="38AF9AAF">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《延期缴纳税款申请表》</w:t>
            </w:r>
          </w:p>
        </w:tc>
        <w:tc>
          <w:tcPr>
            <w:tcW w:w="459" w:type="dxa"/>
            <w:noWrap w:val="0"/>
            <w:vAlign w:val="top"/>
          </w:tcPr>
          <w:p w14:paraId="69ADC4DC">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top"/>
          </w:tcPr>
          <w:p w14:paraId="4C895748">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157D71CE">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top"/>
          </w:tcPr>
          <w:p w14:paraId="2184E192">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3C57012B">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4A02CCAB">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7307D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0EF3A119">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p>
        </w:tc>
        <w:tc>
          <w:tcPr>
            <w:tcW w:w="4304" w:type="dxa"/>
            <w:noWrap w:val="0"/>
            <w:vAlign w:val="top"/>
          </w:tcPr>
          <w:p w14:paraId="7F0FC3F6">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经办人身份证件</w:t>
            </w:r>
          </w:p>
        </w:tc>
        <w:tc>
          <w:tcPr>
            <w:tcW w:w="459" w:type="dxa"/>
            <w:noWrap w:val="0"/>
            <w:vAlign w:val="top"/>
          </w:tcPr>
          <w:p w14:paraId="60EF2AD1">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5229A04C">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top"/>
          </w:tcPr>
          <w:p w14:paraId="1D869185">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732A6DA5">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top"/>
          </w:tcPr>
          <w:p w14:paraId="3F348F0F">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06A7365D">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6C7E1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3B451F81">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w:t>
            </w:r>
          </w:p>
        </w:tc>
        <w:tc>
          <w:tcPr>
            <w:tcW w:w="4304" w:type="dxa"/>
            <w:noWrap w:val="0"/>
            <w:vAlign w:val="top"/>
          </w:tcPr>
          <w:p w14:paraId="1738BF52">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代理委托书</w:t>
            </w:r>
          </w:p>
        </w:tc>
        <w:tc>
          <w:tcPr>
            <w:tcW w:w="459" w:type="dxa"/>
            <w:noWrap w:val="0"/>
            <w:vAlign w:val="top"/>
          </w:tcPr>
          <w:p w14:paraId="3C958258">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042FCA6B">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top"/>
          </w:tcPr>
          <w:p w14:paraId="7F26BC1B">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top"/>
          </w:tcPr>
          <w:p w14:paraId="5593BCBC">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6A97AA8F">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36D23AA0">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0F57B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3883E6F0">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w:t>
            </w:r>
          </w:p>
        </w:tc>
        <w:tc>
          <w:tcPr>
            <w:tcW w:w="4304" w:type="dxa"/>
            <w:noWrap w:val="0"/>
            <w:vAlign w:val="top"/>
          </w:tcPr>
          <w:p w14:paraId="2E2E5451">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代理人身份证件</w:t>
            </w:r>
          </w:p>
        </w:tc>
        <w:tc>
          <w:tcPr>
            <w:tcW w:w="459" w:type="dxa"/>
            <w:noWrap w:val="0"/>
            <w:vAlign w:val="top"/>
          </w:tcPr>
          <w:p w14:paraId="28D86A21">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53AB0041">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top"/>
          </w:tcPr>
          <w:p w14:paraId="710C5F54">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3200A214">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top"/>
          </w:tcPr>
          <w:p w14:paraId="0AE5DB5A">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6CAC14DD">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68BE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13B8BB20">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w:t>
            </w:r>
          </w:p>
        </w:tc>
        <w:tc>
          <w:tcPr>
            <w:tcW w:w="4304" w:type="dxa"/>
            <w:noWrap w:val="0"/>
            <w:vAlign w:val="top"/>
          </w:tcPr>
          <w:p w14:paraId="6DBFE97B">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所有银行存款账户的对账单复印件</w:t>
            </w:r>
          </w:p>
        </w:tc>
        <w:tc>
          <w:tcPr>
            <w:tcW w:w="459" w:type="dxa"/>
            <w:noWrap w:val="0"/>
            <w:vAlign w:val="top"/>
          </w:tcPr>
          <w:p w14:paraId="265997EA">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top"/>
          </w:tcPr>
          <w:p w14:paraId="145CE7CC">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214FBAAA">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top"/>
          </w:tcPr>
          <w:p w14:paraId="107A6C82">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3F7147C1">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top"/>
          </w:tcPr>
          <w:p w14:paraId="234F62C0">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bl>
    <w:p w14:paraId="03A68C2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上述条件报送资料的报送条件为：</w:t>
      </w:r>
    </w:p>
    <w:p w14:paraId="6E6946DB">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1.代理委托书、代理人身份证件的报送条件为代理人代为办理的情形需提供；</w:t>
      </w:r>
    </w:p>
    <w:p w14:paraId="58CE800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2.对已实名办税纳税人的经办人、代理人免于提供个人身份证件。</w:t>
      </w:r>
    </w:p>
    <w:p w14:paraId="17F6171A">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【政策依据】</w:t>
      </w:r>
    </w:p>
    <w:p w14:paraId="789A7D9A">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1.《中华人民共和国税收征收管理法》（中华人民共和国主席令〔2001〕第四十九号）第三十一条</w:t>
      </w:r>
    </w:p>
    <w:p w14:paraId="0642F8B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2.《中华人民共和国税收征收管理法实施细则》（中华人民共和国国务院令第362号）第四十二条</w:t>
      </w:r>
    </w:p>
    <w:p w14:paraId="2F79ED1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3.《国家税务总局关于延期缴纳税款预缴税款滞纳金问题的批复》（国税函〔2007〕753号）</w:t>
      </w:r>
    </w:p>
    <w:p w14:paraId="13355A5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4.《国家税务总局关于全面实行税务行政许可事项清单管理的公告》（国家税务总局公告2022年第19号）</w:t>
      </w:r>
    </w:p>
    <w:p w14:paraId="59C5F0BA">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5.《国家税务总局关于优化纳税人延期缴纳税款等税务事项管理方式的公告》（国家税务总局公告2022年第20号）</w:t>
      </w:r>
    </w:p>
    <w:p w14:paraId="2C340A30">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D2B48"/>
    <w:rsid w:val="491B3A44"/>
    <w:rsid w:val="4A54029F"/>
    <w:rsid w:val="5A6637EB"/>
    <w:rsid w:val="7EAB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表格标题_0"/>
    <w:basedOn w:val="1"/>
    <w:qFormat/>
    <w:uiPriority w:val="0"/>
    <w:pPr>
      <w:keepNext/>
      <w:tabs>
        <w:tab w:val="center" w:pos="4200"/>
      </w:tabs>
      <w:spacing w:line="360" w:lineRule="auto"/>
      <w:ind w:firstLine="100"/>
    </w:pPr>
    <w:rPr>
      <w:rFonts w:ascii="Calibri" w:hAnsi="Calibri" w:eastAsia="宋体"/>
      <w:b/>
      <w:kern w:val="0"/>
      <w:sz w:val="18"/>
      <w:szCs w:val="18"/>
    </w:rPr>
  </w:style>
  <w:style w:type="paragraph" w:customStyle="1" w:styleId="10">
    <w:name w:val="表格列标题_0"/>
    <w:basedOn w:val="1"/>
    <w:qFormat/>
    <w:uiPriority w:val="0"/>
    <w:pPr>
      <w:jc w:val="center"/>
    </w:pPr>
    <w:rPr>
      <w:rFonts w:ascii="Arial" w:hAnsi="Arial" w:eastAsia="宋体"/>
      <w:b/>
      <w:kern w:val="0"/>
      <w:sz w:val="18"/>
      <w:szCs w:val="24"/>
    </w:rPr>
  </w:style>
  <w:style w:type="paragraph" w:customStyle="1" w:styleId="11">
    <w:name w:val="表格文字 居中_0"/>
    <w:basedOn w:val="1"/>
    <w:qFormat/>
    <w:uiPriority w:val="0"/>
    <w:pPr>
      <w:jc w:val="center"/>
    </w:pPr>
    <w:rPr>
      <w:rFonts w:ascii="Arial" w:hAnsi="Arial" w:eastAsia="宋体"/>
      <w:kern w:val="0"/>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2084</Words>
  <Characters>2148</Characters>
  <Lines>0</Lines>
  <Paragraphs>0</Paragraphs>
  <TotalTime>3</TotalTime>
  <ScaleCrop>false</ScaleCrop>
  <LinksUpToDate>false</LinksUpToDate>
  <CharactersWithSpaces>2150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2025-03-01T01:03:00Z</dcterms:created>
  <dc:creator>tsuser</dc:creator>
  <cp:lastModifiedBy>默默</cp:lastModifiedBy>
  <dcterms:modified xsi:type="dcterms:W3CDTF">2025-07-09T01:44:03Z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958465D7045B4E3F806232F7478E5610_12</vt:lpwstr>
  </property>
</Properties>
</file>