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4BF45">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5.3.1  不予加收滞纳金申请</w:t>
      </w:r>
      <w:bookmarkEnd w:id="0"/>
      <w:r>
        <w:rPr>
          <w:rFonts w:hint="eastAsia" w:ascii="宋体" w:hAnsi="宋体" w:eastAsia="宋体" w:cs="宋体"/>
          <w:sz w:val="24"/>
          <w:szCs w:val="24"/>
          <w:highlight w:val="none"/>
        </w:rPr>
        <w:t>——2130</w:t>
      </w:r>
    </w:p>
    <w:p w14:paraId="419F66A3">
      <w:pPr>
        <w:pStyle w:val="2"/>
        <w:rPr>
          <w:rFonts w:hint="eastAsia"/>
          <w:highlight w:val="none"/>
        </w:rPr>
      </w:pPr>
    </w:p>
    <w:p w14:paraId="7D6323E6">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【事项概述】</w:t>
      </w:r>
    </w:p>
    <w:p w14:paraId="335F31D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税务机关依据税收法律、法规及相关规定，对纳税人及扣缴义务人不予加收滞纳金情形进行审批。</w:t>
      </w:r>
    </w:p>
    <w:p w14:paraId="5E670AC9">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由于电子缴税故障等非纳税人、扣缴义务人原因</w:t>
      </w:r>
      <w:r>
        <w:rPr>
          <w:rFonts w:hint="eastAsia" w:ascii="宋体" w:hAnsi="宋体" w:eastAsia="宋体" w:cs="宋体"/>
          <w:sz w:val="24"/>
          <w:szCs w:val="24"/>
          <w:highlight w:val="none"/>
        </w:rPr>
        <w:t>，致使纳税人、扣缴义务人未缴或少缴税款而产生的滞纳金，税务机关依职权不予加收滞纳金的，即时办结</w:t>
      </w:r>
      <w:r>
        <w:rPr>
          <w:rFonts w:hint="eastAsia" w:ascii="宋体" w:hAnsi="宋体" w:eastAsia="宋体" w:cs="宋体"/>
          <w:sz w:val="24"/>
          <w:szCs w:val="24"/>
          <w:highlight w:val="none"/>
        </w:rPr>
        <w:t>。</w:t>
      </w:r>
      <w:r>
        <w:rPr>
          <w:rFonts w:hint="eastAsia" w:ascii="宋体" w:hAnsi="宋体" w:eastAsia="宋体" w:cs="宋体"/>
          <w:sz w:val="24"/>
          <w:szCs w:val="24"/>
          <w:highlight w:val="none"/>
        </w:rPr>
        <w:t>其他情形不予加收滞纳金，3个工作日办结</w:t>
      </w:r>
      <w:r>
        <w:rPr>
          <w:rFonts w:hint="eastAsia" w:ascii="宋体" w:hAnsi="宋体" w:eastAsia="宋体" w:cs="宋体"/>
          <w:sz w:val="24"/>
          <w:szCs w:val="24"/>
          <w:highlight w:val="none"/>
        </w:rPr>
        <w:t>。</w:t>
      </w:r>
    </w:p>
    <w:p w14:paraId="1A739E66">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2F0F7BD0">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办理方式：线上（全程审核自主办结）/线下</w:t>
      </w:r>
    </w:p>
    <w:p w14:paraId="6C227D04">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办理时限：即时办结/限时办结</w:t>
      </w:r>
    </w:p>
    <w:p w14:paraId="5D7250B7">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办理层级：区县级</w:t>
      </w:r>
    </w:p>
    <w:p w14:paraId="1F983B19">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6182F432">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1.线上流程：发起（申请）—启动—初审—终审--发放</w:t>
      </w:r>
    </w:p>
    <w:p w14:paraId="66F2AAB0">
      <w:pPr>
        <w:pStyle w:val="6"/>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（1）发起（申请）</w:t>
      </w:r>
    </w:p>
    <w:p w14:paraId="6992BFE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纳税人发现符合不予加收滞纳金条件的，可以通过全国统一规范电子税务局“不予加收滞纳金申请”功能提交不予加收滞纳金申请表及相关证明材料。</w:t>
      </w:r>
    </w:p>
    <w:p w14:paraId="5822588F">
      <w:pPr>
        <w:pStyle w:val="6"/>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（2）启动</w:t>
      </w:r>
    </w:p>
    <w:p w14:paraId="34ABD24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--办理机构：纳税服务机构</w:t>
      </w:r>
    </w:p>
    <w:p w14:paraId="0033DC94">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不予加收滞纳金情形</w:t>
      </w:r>
      <w:r>
        <w:rPr>
          <w:rStyle w:val="9"/>
          <w:rFonts w:hint="eastAsia" w:ascii="宋体" w:hAnsi="宋体" w:eastAsia="宋体" w:cs="宋体"/>
          <w:b w:val="0"/>
          <w:bCs w:val="0"/>
          <w:sz w:val="24"/>
          <w:szCs w:val="24"/>
          <w:highlight w:val="none"/>
        </w:rPr>
        <w:t>：</w:t>
      </w:r>
    </w:p>
    <w:p w14:paraId="5530D187">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①税务机关适用税收法律、行政法规不当或者执法行为违法，致使纳税人、扣缴义务人未缴或少缴税款产生的滞纳金；</w:t>
      </w:r>
    </w:p>
    <w:p w14:paraId="2CE6DA3A">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②因横向联网电子缴税系统故障等非纳税人、扣缴义务人原因造成税款缴库不成功产生的滞纳金；</w:t>
      </w:r>
    </w:p>
    <w:p w14:paraId="54684383">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③破产清算程序中税务机关申报的税收债权，在人民法院裁定受理破产申请之后产生的滞纳金；</w:t>
      </w:r>
    </w:p>
    <w:p w14:paraId="03FC958C">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④纳税人善意取得虚开的增值税专用发票被依法追缴已抵扣税款产生的滞纳金；</w:t>
      </w:r>
    </w:p>
    <w:p w14:paraId="04ACAD18">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⑤纳税人按规定预缴土地增值税后，清算补缴的土地增值税，在主管税务机关规定的期限内补缴产生的滞纳金；</w:t>
      </w:r>
    </w:p>
    <w:p w14:paraId="38A5DBE7">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⑥房地产开发企业按照《国家税务总局关于房地产开发企业土地增值税清算涉及企业所得税退税有关问题的公告》（2016年第81号）规定进行土地增值税分摊调整后，导致相应年度应纳税所得额出现正数而计算缴纳企业所得税产生的滞纳金；</w:t>
      </w:r>
    </w:p>
    <w:p w14:paraId="7B15A328">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⑦因电子税务局故障等情况，导致纳税人、扣缴义务人未按规定期限缴纳或解缴税款产生的滞纳金；</w:t>
      </w:r>
    </w:p>
    <w:p w14:paraId="30F09A5D">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⑧法院生效裁定或判决明确不予加收的滞纳金；</w:t>
      </w:r>
    </w:p>
    <w:p w14:paraId="5B7E56E7">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⑨法律、行政法规以及税务规章、规范性文件等规定的其他不予加收滞纳金情形。</w:t>
      </w:r>
    </w:p>
    <w:p w14:paraId="226BE834">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Style w:val="9"/>
          <w:rFonts w:hint="eastAsia" w:ascii="宋体" w:hAnsi="宋体" w:eastAsia="宋体" w:cs="宋体"/>
          <w:b w:val="0"/>
          <w:bCs w:val="0"/>
          <w:sz w:val="24"/>
          <w:szCs w:val="24"/>
          <w:highlight w:val="none"/>
        </w:rPr>
        <w:t>各级纳税服务机构办税受理岗</w:t>
      </w:r>
      <w:r>
        <w:rPr>
          <w:rFonts w:hint="eastAsia" w:ascii="宋体" w:hAnsi="宋体" w:eastAsia="宋体" w:cs="宋体"/>
          <w:sz w:val="24"/>
          <w:szCs w:val="24"/>
          <w:highlight w:val="none"/>
        </w:rPr>
        <w:t>根据实际情况，在核心征管系统中准确选择不予加收滞纳金的适用情形，并按以下要求规范填写不予加收滞纳金的理由：</w:t>
      </w:r>
    </w:p>
    <w:p w14:paraId="1F65095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①对选择税务机关责任的，填写理由时须注明税务机关的具体责任；</w:t>
      </w:r>
    </w:p>
    <w:p w14:paraId="7BF0690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②对选择横向联网电子缴税系统故障的，填写理由时须注明系统故障的发生日期和时间；</w:t>
      </w:r>
    </w:p>
    <w:p w14:paraId="18FA23D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③对选择企业破产清算或根据法院裁定、判决不予加收滞纳金的，填写理由时须注明法院裁定书或判决书文号；</w:t>
      </w:r>
    </w:p>
    <w:p w14:paraId="58BFEED5">
      <w:pPr>
        <w:pageBreakBefore w:val="0"/>
        <w:kinsoku/>
        <w:wordWrap/>
        <w:topLinePunct w:val="0"/>
        <w:bidi w:val="0"/>
        <w:snapToGrid/>
        <w:spacing w:before="157" w:beforeLines="50" w:after="157" w:afterLines="50"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④对选择其他适用情形的，填写理由时须说明具体情况</w:t>
      </w:r>
      <w:r>
        <w:rPr>
          <w:rFonts w:hint="eastAsia" w:ascii="宋体" w:hAnsi="宋体" w:eastAsia="宋体" w:cs="宋体"/>
          <w:sz w:val="24"/>
          <w:szCs w:val="24"/>
          <w:highlight w:val="none"/>
        </w:rPr>
        <w:t>。</w:t>
      </w:r>
    </w:p>
    <w:p w14:paraId="0A6BFE68">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2.线下流程：发起—初审—终审--发放</w:t>
      </w:r>
    </w:p>
    <w:p w14:paraId="7589AE16">
      <w:pPr>
        <w:keepNext/>
        <w:pageBreakBefore w:val="0"/>
        <w:kinsoku/>
        <w:wordWrap/>
        <w:topLinePunct w:val="0"/>
        <w:bidi w:val="0"/>
        <w:snapToGrid/>
        <w:spacing w:before="157" w:beforeLines="50" w:after="157" w:afterLines="5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同线上</w:t>
      </w:r>
    </w:p>
    <w:p w14:paraId="20E2D0E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64619AA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p w14:paraId="7FCC1821">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209F6D0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Style w:val="9"/>
          <w:rFonts w:hint="eastAsia" w:ascii="宋体" w:hAnsi="宋体" w:eastAsia="宋体" w:cs="宋体"/>
          <w:b w:val="0"/>
          <w:bCs w:val="0"/>
          <w:sz w:val="24"/>
          <w:szCs w:val="24"/>
          <w:highlight w:val="none"/>
        </w:rPr>
        <w:t>1.</w:t>
      </w:r>
      <w:r>
        <w:rPr>
          <w:rFonts w:hint="eastAsia" w:ascii="宋体" w:hAnsi="宋体" w:eastAsia="宋体" w:cs="宋体"/>
          <w:sz w:val="24"/>
          <w:szCs w:val="24"/>
          <w:highlight w:val="none"/>
        </w:rPr>
        <w:t>《中华人民共和国税收征收管理法》（中华人民共和国主席令〔2001〕第四十九号）</w:t>
      </w:r>
    </w:p>
    <w:p w14:paraId="1B231EC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Style w:val="9"/>
          <w:rFonts w:hint="eastAsia" w:ascii="宋体" w:hAnsi="宋体" w:eastAsia="宋体" w:cs="宋体"/>
          <w:b w:val="0"/>
          <w:bCs w:val="0"/>
          <w:sz w:val="24"/>
          <w:szCs w:val="24"/>
          <w:highlight w:val="none"/>
        </w:rPr>
        <w:t>2.</w:t>
      </w:r>
      <w:r>
        <w:rPr>
          <w:rFonts w:hint="eastAsia" w:ascii="宋体" w:hAnsi="宋体" w:eastAsia="宋体" w:cs="宋体"/>
          <w:sz w:val="24"/>
          <w:szCs w:val="24"/>
          <w:highlight w:val="none"/>
        </w:rPr>
        <w:t>《中华人民共和国税收征收管理法实施细则》（中华人民共和国国务院令〔2016〕第666号）</w:t>
      </w:r>
    </w:p>
    <w:p w14:paraId="68961181">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3.《税款缴库退库工作规程》（国家税务总局令第31号）</w:t>
      </w:r>
    </w:p>
    <w:p w14:paraId="7603E620">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4.《国家税务总局关于个体工商户定期定额征收管理有关问题的通知》（国税发〔2006〕183号）</w:t>
      </w:r>
    </w:p>
    <w:p w14:paraId="70259930">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5.《国家税务总局关于纳税人善意取得虚开增值税专用发票已抵扣税款加收滞纳金问题的批复》（国税函〔2007〕1240号）</w:t>
      </w:r>
    </w:p>
    <w:p w14:paraId="4656584D">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6.《中华人民共和国企业所得税法》</w:t>
      </w:r>
      <w:r>
        <w:rPr>
          <w:rFonts w:hint="eastAsia" w:ascii="宋体" w:hAnsi="宋体" w:eastAsia="宋体" w:cs="宋体"/>
          <w:sz w:val="24"/>
          <w:szCs w:val="24"/>
          <w:highlight w:val="none"/>
        </w:rPr>
        <w:t>（中华人民共和国主席令〔2007〕第63号）</w:t>
      </w:r>
    </w:p>
    <w:p w14:paraId="20DDA763">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7.《中华人民共和国企业所得税法实施条例》</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中华人民共和国</w:t>
      </w:r>
      <w:r>
        <w:rPr>
          <w:rFonts w:hint="eastAsia" w:ascii="宋体" w:hAnsi="宋体" w:eastAsia="宋体" w:cs="宋体"/>
          <w:sz w:val="24"/>
          <w:szCs w:val="24"/>
          <w:highlight w:val="none"/>
          <w:lang w:val="zh-CN"/>
        </w:rPr>
        <w:t>国务院令</w:t>
      </w:r>
      <w:r>
        <w:rPr>
          <w:rFonts w:hint="eastAsia" w:ascii="宋体" w:hAnsi="宋体" w:eastAsia="宋体" w:cs="宋体"/>
          <w:sz w:val="24"/>
          <w:szCs w:val="24"/>
          <w:highlight w:val="none"/>
        </w:rPr>
        <w:t>〔2007〕</w:t>
      </w: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rPr>
        <w:t>512号</w:t>
      </w:r>
      <w:r>
        <w:rPr>
          <w:rFonts w:hint="eastAsia" w:ascii="宋体" w:hAnsi="宋体" w:eastAsia="宋体" w:cs="宋体"/>
          <w:sz w:val="24"/>
          <w:szCs w:val="24"/>
          <w:highlight w:val="none"/>
          <w:lang w:val="zh-CN"/>
        </w:rPr>
        <w:t>）</w:t>
      </w:r>
    </w:p>
    <w:p w14:paraId="5CB75006">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8.《国家税务总局关于印发〈特别纳税调整实施办法（试行）〉的通知》（国税发〔2009〕2号）</w:t>
      </w:r>
    </w:p>
    <w:p w14:paraId="3141E45A">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9.《国家税务总局关于土地增值税清算有关问题的通知》（国税函〔2010〕220号）</w:t>
      </w:r>
    </w:p>
    <w:p w14:paraId="63646E98">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10.《关于税收征管若干事项的公告》（国家税务总局公告2019年第48号）</w:t>
      </w:r>
    </w:p>
    <w:p w14:paraId="34E975E2">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11.《国家税务总局关于个体工商户定期定额征收管理有关问题的通知》（国税发〔2006〕183号）</w:t>
      </w:r>
    </w:p>
    <w:p w14:paraId="036829AC">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12.《国家税务总局关于行政机关应扣未扣个人所得税问题的批复》（国税函〔2004〕1199号）</w:t>
      </w:r>
    </w:p>
    <w:p w14:paraId="1AE721C9">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13.《江苏省税务局关于房产税车船使用税若干具体问题的解释和规定》（苏税三〔87〕11号）</w:t>
      </w:r>
    </w:p>
    <w:p w14:paraId="11A3D17B">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14.《国家税务总局稽查局关于2017年股权转让检查工作的指导意见》（税总稽便函〔2017〕165号）</w:t>
      </w:r>
    </w:p>
    <w:p w14:paraId="57A17522">
      <w:pPr>
        <w:pageBreakBefore w:val="0"/>
        <w:kinsoku/>
        <w:wordWrap/>
        <w:topLinePunct w:val="0"/>
        <w:bidi w:val="0"/>
        <w:snapToGrid/>
        <w:spacing w:before="157" w:beforeLines="50" w:after="157" w:afterLines="50" w:line="360" w:lineRule="auto"/>
        <w:ind w:firstLine="480" w:firstLineChars="200"/>
        <w:rPr>
          <w:rStyle w:val="9"/>
          <w:rFonts w:hint="eastAsia" w:ascii="宋体" w:hAnsi="宋体" w:eastAsia="宋体" w:cs="宋体"/>
          <w:b w:val="0"/>
          <w:bCs w:val="0"/>
          <w:sz w:val="24"/>
          <w:szCs w:val="24"/>
          <w:highlight w:val="none"/>
        </w:rPr>
      </w:pPr>
      <w:r>
        <w:rPr>
          <w:rStyle w:val="9"/>
          <w:rFonts w:hint="eastAsia" w:ascii="宋体" w:hAnsi="宋体" w:eastAsia="宋体" w:cs="宋体"/>
          <w:b w:val="0"/>
          <w:bCs w:val="0"/>
          <w:sz w:val="24"/>
          <w:szCs w:val="24"/>
          <w:highlight w:val="none"/>
        </w:rPr>
        <w:t>15.《财政部 税务总局〈关于非居民个人和无住所居民个人有关个人所得税政策的公告&gt;》（财政部 税务总局公告2019年第35号）</w:t>
      </w:r>
    </w:p>
    <w:p w14:paraId="08B0D911">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3B6A"/>
    <w:rsid w:val="0F772525"/>
    <w:rsid w:val="1BC62674"/>
    <w:rsid w:val="5AB6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3710</Words>
  <Characters>3873</Characters>
  <Lines>0</Lines>
  <Paragraphs>0</Paragraphs>
  <TotalTime>4</TotalTime>
  <ScaleCrop>false</ScaleCrop>
  <LinksUpToDate>false</LinksUpToDate>
  <CharactersWithSpaces>3877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2025-03-02T01:51:00Z</dcterms:created>
  <dc:creator>tsuser</dc:creator>
  <cp:lastModifiedBy>默默</cp:lastModifiedBy>
  <dcterms:modified xsi:type="dcterms:W3CDTF">2025-07-09T01:53:45Z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EE3C8A4EB22342599A704ADD61F1F891_12</vt:lpwstr>
  </property>
</Properties>
</file>