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73A3B">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9.1.1.1  纳税信用补评——4010</w:t>
      </w:r>
    </w:p>
    <w:p w14:paraId="0505C505">
      <w:pPr>
        <w:pStyle w:val="2"/>
        <w:rPr>
          <w:rFonts w:hint="eastAsia"/>
          <w:highlight w:val="none"/>
          <w:lang w:val="en-US" w:eastAsia="zh-CN"/>
        </w:rPr>
      </w:pPr>
    </w:p>
    <w:p w14:paraId="4F5AAE20">
      <w:pPr>
        <w:pStyle w:val="4"/>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bookmarkStart w:id="0" w:name="_GoBack"/>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事项概述】</w:t>
      </w:r>
    </w:p>
    <w:p w14:paraId="4C00FAB6">
      <w:pPr>
        <w:pageBreakBefore w:val="0"/>
        <w:tabs>
          <w:tab w:val="left" w:pos="2404"/>
        </w:tabs>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纳税人因涉嫌税收违法被立案查处尚未结案的；</w:t>
      </w:r>
      <w:r>
        <w:rPr>
          <w:rFonts w:hint="eastAsia" w:ascii="宋体" w:hAnsi="宋体" w:eastAsia="宋体" w:cs="宋体"/>
          <w:bCs/>
          <w:sz w:val="24"/>
          <w:szCs w:val="24"/>
          <w:highlight w:val="none"/>
        </w:rPr>
        <w:t>被审计、财政部门依法查出税收违法行为，税务机关正在依法处理，尚未办结的</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rPr>
        <w:t>已申请税务行政复议、提起行政诉讼尚未结案的原因未参加当年评价的</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rPr>
        <w:t>待上述情形解除或对当期未予评价有异议的，可填写《纳税信用补评申请表》，向税务机关申请补充评价</w:t>
      </w:r>
      <w:r>
        <w:rPr>
          <w:rFonts w:hint="eastAsia" w:ascii="宋体" w:hAnsi="宋体" w:eastAsia="宋体" w:cs="宋体"/>
          <w:bCs/>
          <w:sz w:val="24"/>
          <w:szCs w:val="24"/>
          <w:highlight w:val="none"/>
        </w:rPr>
        <w:t>。</w:t>
      </w:r>
    </w:p>
    <w:p w14:paraId="671757D9">
      <w:pPr>
        <w:pageBreakBefore w:val="0"/>
        <w:tabs>
          <w:tab w:val="left" w:pos="2404"/>
        </w:tabs>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作出评价的税务机关应按规定开展纳税信用补评工作。自受理申请之日起15个工作日内完成补评工作</w:t>
      </w:r>
      <w:r>
        <w:rPr>
          <w:rFonts w:hint="eastAsia" w:ascii="宋体" w:hAnsi="宋体" w:eastAsia="宋体" w:cs="宋体"/>
          <w:bCs/>
          <w:sz w:val="24"/>
          <w:szCs w:val="24"/>
          <w:highlight w:val="none"/>
        </w:rPr>
        <w:t>，并向纳税人反馈纳税信用评价信息或提供评价结果的自我查询服务。</w:t>
      </w:r>
      <w:r>
        <w:rPr>
          <w:rFonts w:hint="eastAsia" w:ascii="宋体" w:hAnsi="宋体" w:eastAsia="宋体" w:cs="宋体"/>
          <w:bCs/>
          <w:sz w:val="24"/>
          <w:szCs w:val="24"/>
          <w:highlight w:val="none"/>
        </w:rPr>
        <w:t>非独立核算分支机构、适用增值税一般计税方法的个体工商户，可填写《纳税信用补评申请表》，向主管税务机关申请参照企业纳税信用评价指标和评价方式参加评价，并在以后的存续期内适用国家税务总局纳税信用管理相关规定</w:t>
      </w:r>
      <w:r>
        <w:rPr>
          <w:rFonts w:hint="eastAsia" w:ascii="宋体" w:hAnsi="宋体" w:eastAsia="宋体" w:cs="宋体"/>
          <w:bCs/>
          <w:sz w:val="24"/>
          <w:szCs w:val="24"/>
          <w:highlight w:val="none"/>
        </w:rPr>
        <w:t>。</w:t>
      </w:r>
    </w:p>
    <w:p w14:paraId="154C99B9">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【办理类别】</w:t>
      </w:r>
    </w:p>
    <w:p w14:paraId="2A144852">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办理方式：线上（全程在线审核办结）/线下</w:t>
      </w:r>
    </w:p>
    <w:p w14:paraId="39BD5861">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办理时限：限时办结</w:t>
      </w:r>
    </w:p>
    <w:p w14:paraId="721753D9">
      <w:pPr>
        <w:pageBreakBefore w:val="0"/>
        <w:widowControl/>
        <w:numPr>
          <w:ilvl w:val="0"/>
          <w:numId w:val="1"/>
        </w:numPr>
        <w:kinsoku/>
        <w:wordWrap/>
        <w:overflowPunct w:val="0"/>
        <w:topLinePunct w:val="0"/>
        <w:autoSpaceDE w:val="0"/>
        <w:autoSpaceDN w:val="0"/>
        <w:bidi w:val="0"/>
        <w:adjustRightInd w:val="0"/>
        <w:snapToGrid/>
        <w:spacing w:before="157" w:beforeLines="50" w:after="157" w:afterLines="50" w:line="360" w:lineRule="auto"/>
        <w:ind w:left="420" w:hangingChars="200"/>
        <w:textAlignment w:val="baseline"/>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办理层级：</w:t>
      </w:r>
      <w:r>
        <w:rPr>
          <w:rFonts w:hint="eastAsia" w:ascii="宋体" w:hAnsi="宋体" w:eastAsia="宋体" w:cs="宋体"/>
          <w:sz w:val="24"/>
          <w:szCs w:val="24"/>
          <w:highlight w:val="none"/>
        </w:rPr>
        <w:t>区县级、市级、省级</w:t>
      </w:r>
    </w:p>
    <w:p w14:paraId="39E39811">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【办理流程】</w:t>
      </w:r>
    </w:p>
    <w:p w14:paraId="356A6696">
      <w:pPr>
        <w:pStyle w:val="5"/>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1.线上流程：申请—受理—审核—复审—反馈</w:t>
      </w:r>
    </w:p>
    <w:p w14:paraId="3F22B0D6">
      <w:pPr>
        <w:pageBreakBefore w:val="0"/>
        <w:tabs>
          <w:tab w:val="left" w:pos="2404"/>
        </w:tabs>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纳税人通过全国统一规范电子税务局“纳税信用管理”功能，查看年度纳税信用评价情况，选择补评原因后提交申请。</w:t>
      </w:r>
    </w:p>
    <w:p w14:paraId="60CE88BA">
      <w:pPr>
        <w:pStyle w:val="5"/>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2.线下流程：申请—受理—审核—复审—反馈</w:t>
      </w:r>
    </w:p>
    <w:p w14:paraId="2E27C501">
      <w:pPr>
        <w:pageBreakBefore w:val="0"/>
        <w:widowControl/>
        <w:kinsoku/>
        <w:wordWrap/>
        <w:topLinePunct w:val="0"/>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纳税人在办税服务厅提交《纳税信用补评申请表》，向税务机关申请补评。</w:t>
      </w:r>
    </w:p>
    <w:p w14:paraId="298EB497">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【资料处理】</w:t>
      </w:r>
    </w:p>
    <w:p w14:paraId="5E9715D2">
      <w:pPr>
        <w:keepNext/>
        <w:pageBreakBefore w:val="0"/>
        <w:tabs>
          <w:tab w:val="center" w:pos="4200"/>
        </w:tabs>
        <w:kinsoku/>
        <w:wordWrap/>
        <w:topLinePunct w:val="0"/>
        <w:bidi w:val="0"/>
        <w:snapToGrid/>
        <w:spacing w:before="157" w:beforeLines="50" w:after="157" w:afterLines="50" w:line="360" w:lineRule="auto"/>
        <w:ind w:firstLine="181"/>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纳税信用补评报送资料清单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495C4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tcBorders>
              <w:top w:val="single" w:color="auto" w:sz="12" w:space="0"/>
              <w:bottom w:val="single" w:color="auto" w:sz="6" w:space="0"/>
            </w:tcBorders>
            <w:shd w:val="clear" w:color="auto" w:fill="E0E0E0"/>
            <w:noWrap w:val="0"/>
            <w:vAlign w:val="center"/>
          </w:tcPr>
          <w:p w14:paraId="37C1674D">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tcBorders>
              <w:top w:val="single" w:color="auto" w:sz="12" w:space="0"/>
              <w:bottom w:val="single" w:color="auto" w:sz="6" w:space="0"/>
            </w:tcBorders>
            <w:shd w:val="clear" w:color="auto" w:fill="E0E0E0"/>
            <w:noWrap w:val="0"/>
            <w:vAlign w:val="center"/>
          </w:tcPr>
          <w:p w14:paraId="7F58168B">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tcBorders>
              <w:top w:val="single" w:color="auto" w:sz="12" w:space="0"/>
              <w:bottom w:val="single" w:color="auto" w:sz="6" w:space="0"/>
            </w:tcBorders>
            <w:shd w:val="clear" w:color="auto" w:fill="E0E0E0"/>
            <w:noWrap w:val="0"/>
            <w:vAlign w:val="center"/>
          </w:tcPr>
          <w:p w14:paraId="686B5550">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tcBorders>
              <w:top w:val="single" w:color="auto" w:sz="12" w:space="0"/>
              <w:bottom w:val="single" w:color="auto" w:sz="6" w:space="0"/>
            </w:tcBorders>
            <w:shd w:val="clear" w:color="auto" w:fill="E0E0E0"/>
            <w:noWrap w:val="0"/>
            <w:vAlign w:val="center"/>
          </w:tcPr>
          <w:p w14:paraId="4A910152">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tcBorders>
              <w:top w:val="single" w:color="auto" w:sz="12" w:space="0"/>
              <w:bottom w:val="single" w:color="auto" w:sz="6" w:space="0"/>
            </w:tcBorders>
            <w:shd w:val="clear" w:color="auto" w:fill="E0E0E0"/>
            <w:noWrap w:val="0"/>
            <w:vAlign w:val="center"/>
          </w:tcPr>
          <w:p w14:paraId="31F7125E">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tcBorders>
              <w:top w:val="single" w:color="auto" w:sz="12" w:space="0"/>
              <w:bottom w:val="single" w:color="auto" w:sz="6" w:space="0"/>
            </w:tcBorders>
            <w:shd w:val="clear" w:color="auto" w:fill="E0E0E0"/>
            <w:noWrap w:val="0"/>
            <w:vAlign w:val="center"/>
          </w:tcPr>
          <w:p w14:paraId="7A7E76DD">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tcBorders>
              <w:top w:val="single" w:color="auto" w:sz="12" w:space="0"/>
              <w:bottom w:val="single" w:color="auto" w:sz="6" w:space="0"/>
            </w:tcBorders>
            <w:shd w:val="clear" w:color="auto" w:fill="E0E0E0"/>
            <w:noWrap w:val="0"/>
            <w:vAlign w:val="center"/>
          </w:tcPr>
          <w:p w14:paraId="0D235DA2">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tcBorders>
              <w:top w:val="single" w:color="auto" w:sz="12" w:space="0"/>
              <w:bottom w:val="single" w:color="auto" w:sz="6" w:space="0"/>
            </w:tcBorders>
            <w:shd w:val="clear" w:color="auto" w:fill="E0E0E0"/>
            <w:noWrap w:val="0"/>
            <w:vAlign w:val="center"/>
          </w:tcPr>
          <w:p w14:paraId="49A47988">
            <w:pPr>
              <w:pageBreakBefore w:val="0"/>
              <w:kinsoku/>
              <w:wordWrap/>
              <w:topLinePunct w:val="0"/>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09C52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24" w:type="dxa"/>
            <w:tcBorders>
              <w:top w:val="single" w:color="auto" w:sz="6" w:space="0"/>
            </w:tcBorders>
            <w:noWrap w:val="0"/>
            <w:vAlign w:val="top"/>
          </w:tcPr>
          <w:p w14:paraId="3F24CCC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tcBorders>
              <w:top w:val="single" w:color="auto" w:sz="6" w:space="0"/>
            </w:tcBorders>
            <w:noWrap w:val="0"/>
            <w:vAlign w:val="center"/>
          </w:tcPr>
          <w:p w14:paraId="052CF2DF">
            <w:pPr>
              <w:pageBreakBefore w:val="0"/>
              <w:kinsoku/>
              <w:wordWrap/>
              <w:topLinePunct w:val="0"/>
              <w:bidi w:val="0"/>
              <w:snapToGrid/>
              <w:spacing w:before="157" w:beforeLines="50" w:after="157" w:afterLines="50" w:line="360" w:lineRule="auto"/>
              <w:jc w:val="left"/>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《纳税信用补评申请表》</w:t>
            </w:r>
          </w:p>
        </w:tc>
        <w:tc>
          <w:tcPr>
            <w:tcW w:w="624" w:type="dxa"/>
            <w:tcBorders>
              <w:top w:val="single" w:color="auto" w:sz="6" w:space="0"/>
            </w:tcBorders>
            <w:noWrap w:val="0"/>
            <w:vAlign w:val="top"/>
          </w:tcPr>
          <w:p w14:paraId="3C73B52A">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top"/>
          </w:tcPr>
          <w:p w14:paraId="7DD7BEC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783F3AF7">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tcBorders>
              <w:top w:val="single" w:color="auto" w:sz="6" w:space="0"/>
            </w:tcBorders>
            <w:noWrap w:val="0"/>
            <w:vAlign w:val="top"/>
          </w:tcPr>
          <w:p w14:paraId="65E67EDE">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0B58C943">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tcBorders>
              <w:top w:val="single" w:color="auto" w:sz="6" w:space="0"/>
            </w:tcBorders>
            <w:noWrap w:val="0"/>
            <w:vAlign w:val="top"/>
          </w:tcPr>
          <w:p w14:paraId="40534822">
            <w:pPr>
              <w:pageBreakBefore w:val="0"/>
              <w:kinsoku/>
              <w:wordWrap/>
              <w:topLinePunct w:val="0"/>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07FDC22A">
      <w:pPr>
        <w:pStyle w:val="4"/>
        <w:pageBreakBefore w:val="0"/>
        <w:kinsoku/>
        <w:wordWrap/>
        <w:topLinePunct w:val="0"/>
        <w:bidi w:val="0"/>
        <w:snapToGrid/>
        <w:spacing w:before="157" w:beforeLines="50" w:after="157" w:afterLines="50" w:line="360" w:lineRule="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【政策依据】</w:t>
      </w:r>
    </w:p>
    <w:p w14:paraId="4EDE776C">
      <w:pPr>
        <w:pageBreakBefore w:val="0"/>
        <w:tabs>
          <w:tab w:val="left" w:pos="2404"/>
        </w:tabs>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1.《国家税务总局关于纳税信用管理有关事项的公告》（国家税务总局公告2020年第15号）</w:t>
      </w:r>
    </w:p>
    <w:p w14:paraId="6C021E51">
      <w:pPr>
        <w:pageBreakBefore w:val="0"/>
        <w:tabs>
          <w:tab w:val="left" w:pos="2404"/>
        </w:tabs>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2.《国家税务总局关于纳税信用评价有关事项的公告》（国家税务总局公告2018年第8号）</w:t>
      </w:r>
    </w:p>
    <w:p w14:paraId="2F6B1CC4">
      <w:pPr>
        <w:pageBreakBefore w:val="0"/>
        <w:tabs>
          <w:tab w:val="left" w:pos="2404"/>
        </w:tabs>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3.《国家税务总局关于完善纳税信用管理有关事项的公告》（国家税务总局公告2016年第9号）</w:t>
      </w:r>
    </w:p>
    <w:p w14:paraId="5FAF5D27">
      <w:pPr>
        <w:pageBreakBefore w:val="0"/>
        <w:tabs>
          <w:tab w:val="left" w:pos="2404"/>
        </w:tabs>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4.《国家税务总局关于明确纳税信用管理若干业务口径的公告》（国家税务总局公告2015年第85号）</w:t>
      </w:r>
    </w:p>
    <w:p w14:paraId="0D21F75A">
      <w:pPr>
        <w:pageBreakBefore w:val="0"/>
        <w:tabs>
          <w:tab w:val="left" w:pos="2404"/>
        </w:tabs>
        <w:kinsoku/>
        <w:wordWrap/>
        <w:topLinePunct w:val="0"/>
        <w:bidi w:val="0"/>
        <w:snapToGrid/>
        <w:spacing w:before="157" w:beforeLines="50" w:after="157" w:afterLines="50"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5.《国家税务总局关于明确纳税信用补评和复评事项的公告》（国家税务总局公告2015年第46号）</w:t>
      </w:r>
    </w:p>
    <w:p w14:paraId="5026A392">
      <w:pPr>
        <w:pageBreakBefore w:val="0"/>
        <w:tabs>
          <w:tab w:val="left" w:pos="2404"/>
        </w:tabs>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6.《国家税务总局关于发布〈纳税信用管理办法（试行）〉的公告》（国家税务总局公告2014年第40号）</w:t>
      </w:r>
    </w:p>
    <w:p w14:paraId="6AB56C6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7.《国家税务总局关于发布〈纳税信用评价指标和评价方式〉的公告》（国家税务总局公告2014年第48号）</w:t>
      </w:r>
    </w:p>
    <w:p w14:paraId="5BCE378F">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8.《国家税务总局关于进一步加大增值税期末留抵退税政策实施力度有关征管事项的公告》（国家税务总局公告2022年第4号）</w:t>
      </w:r>
    </w:p>
    <w:p w14:paraId="0D775641">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9.《国家税务总局关于开展2024年“便民办税春风行动”的意见》（税总纳服发〔2024〕19号）</w:t>
      </w:r>
    </w:p>
    <w:p w14:paraId="69910C79">
      <w:pPr>
        <w:pageBreakBefore w:val="0"/>
        <w:kinsoku/>
        <w:wordWrap/>
        <w:topLinePunct w:val="0"/>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10.《国务院关于进一步优化政务服务提升行政效能推动“高效办成一件事”的指导意见》（国发〔2024〕3号）</w:t>
      </w:r>
    </w:p>
    <w:bookmarkEnd w:id="0"/>
    <w:p w14:paraId="02BA9E66">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lang w:val="en-US" w:eastAsia="zh-CN"/>
        </w:rPr>
      </w:pPr>
    </w:p>
    <w:p w14:paraId="5ADDF654">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p w14:paraId="04687C4D">
      <w:pPr>
        <w:pageBreakBefore w:val="0"/>
        <w:kinsoku/>
        <w:wordWrap/>
        <w:topLinePunct w:val="0"/>
        <w:bidi w:val="0"/>
        <w:snapToGrid/>
        <w:spacing w:before="157" w:beforeLines="50" w:after="157" w:afterLines="50" w:line="360" w:lineRule="auto"/>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8606B"/>
    <w:multiLevelType w:val="multilevel"/>
    <w:tmpl w:val="2698606B"/>
    <w:lvl w:ilvl="0" w:tentative="0">
      <w:start w:val="1"/>
      <w:numFmt w:val="bullet"/>
      <w:lvlText w:val=""/>
      <w:lvlJc w:val="left"/>
      <w:pPr>
        <w:ind w:left="562"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A5D37"/>
    <w:rsid w:val="35102370"/>
    <w:rsid w:val="44BB0745"/>
    <w:rsid w:val="6AD5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2900</Words>
  <Characters>2997</Characters>
  <Lines>0</Lines>
  <Paragraphs>0</Paragraphs>
  <TotalTime>6</TotalTime>
  <ScaleCrop>false</ScaleCrop>
  <LinksUpToDate>false</LinksUpToDate>
  <CharactersWithSpaces>2999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2025-03-02T02:01:00Z</dcterms:created>
  <dc:creator>tsuser</dc:creator>
  <cp:lastModifiedBy>默默</cp:lastModifiedBy>
  <dcterms:modified xsi:type="dcterms:W3CDTF">2025-07-09T07:37:27Z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AD9F60F823644EC899D1A390C70BAC11_12</vt:lpwstr>
  </property>
</Properties>
</file>