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68DEE">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9.1.1.2  纳税信用复评——4013</w:t>
      </w:r>
    </w:p>
    <w:p w14:paraId="1BBA374D">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331A4A28">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【事项概述】</w:t>
      </w:r>
    </w:p>
    <w:p w14:paraId="0E28DC7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纳税人对纳税信用评价结果有异议的，可在纳税信</w:t>
      </w:r>
      <w:r>
        <w:rPr>
          <w:rFonts w:hint="eastAsia" w:ascii="宋体" w:hAnsi="宋体" w:eastAsia="宋体" w:cs="宋体"/>
          <w:sz w:val="24"/>
          <w:szCs w:val="24"/>
          <w:highlight w:val="none"/>
          <w:lang w:eastAsia="zh-Hans"/>
        </w:rPr>
        <w:t>用评价结果确定的当年内，填写《纳税信用复评（核）申请表》，向主管税务机关申请复评</w:t>
      </w:r>
      <w:r>
        <w:rPr>
          <w:rFonts w:hint="eastAsia" w:ascii="宋体" w:hAnsi="宋体" w:eastAsia="宋体" w:cs="宋体"/>
          <w:sz w:val="24"/>
          <w:szCs w:val="24"/>
          <w:highlight w:val="none"/>
          <w:lang w:eastAsia="zh-Hans"/>
        </w:rPr>
        <w:t>，自受理申请之日起15个工作日内完成复评工作并向纳税人反馈纳税信用复评信息或提供复评结果的自我查询服务；</w:t>
      </w:r>
      <w:r>
        <w:rPr>
          <w:rFonts w:hint="eastAsia" w:ascii="宋体" w:hAnsi="宋体" w:eastAsia="宋体" w:cs="宋体"/>
          <w:sz w:val="24"/>
          <w:szCs w:val="24"/>
          <w:highlight w:val="none"/>
          <w:lang w:eastAsia="zh-Hans"/>
        </w:rPr>
        <w:t>纳税人对指标评价情况有异议的，可在评价年度次年3月份填写《纳税信用复评（核）申请表》，向主管税务机关提出复核</w:t>
      </w:r>
      <w:r>
        <w:rPr>
          <w:rFonts w:hint="eastAsia" w:ascii="宋体" w:hAnsi="宋体" w:eastAsia="宋体" w:cs="宋体"/>
          <w:sz w:val="24"/>
          <w:szCs w:val="24"/>
          <w:highlight w:val="none"/>
          <w:lang w:eastAsia="zh-Hans"/>
        </w:rPr>
        <w:t>，主管税务机关在开展年度评价时审核调整，</w:t>
      </w:r>
      <w:r>
        <w:rPr>
          <w:rFonts w:hint="eastAsia" w:ascii="宋体" w:hAnsi="宋体" w:eastAsia="宋体" w:cs="宋体"/>
          <w:sz w:val="24"/>
          <w:szCs w:val="24"/>
          <w:highlight w:val="none"/>
        </w:rPr>
        <w:t>并随评价结果向纳税人提供复核情况自我查询服务。</w:t>
      </w:r>
      <w:r>
        <w:rPr>
          <w:rFonts w:hint="eastAsia" w:ascii="宋体" w:hAnsi="宋体" w:eastAsia="宋体" w:cs="宋体"/>
          <w:sz w:val="24"/>
          <w:szCs w:val="24"/>
          <w:highlight w:val="none"/>
        </w:rPr>
        <w:t>纳入纳税信用管理已满12个月但因不满一个评价年度而未参加年度评价的纳税人可申请纳税信用复评</w:t>
      </w:r>
      <w:r>
        <w:rPr>
          <w:rFonts w:hint="eastAsia" w:ascii="宋体" w:hAnsi="宋体" w:eastAsia="宋体" w:cs="宋体"/>
          <w:sz w:val="24"/>
          <w:szCs w:val="24"/>
          <w:highlight w:val="none"/>
        </w:rPr>
        <w:t>；税务机关在次月依据其近12个月的纳税信用状况，确定其信用级别，并提供查询服务。</w:t>
      </w:r>
    </w:p>
    <w:p w14:paraId="5BBECF58">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4C7FDB7A">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办理方式：线上（全程在线审核办结）/线下</w:t>
      </w:r>
    </w:p>
    <w:p w14:paraId="69C1271F">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2FA7B1B8">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25FB9659">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线上流程：申请—受理—审核—复审—反馈</w:t>
      </w:r>
    </w:p>
    <w:p w14:paraId="70585D8D">
      <w:pPr>
        <w:pageBreakBefore w:val="0"/>
        <w:widowControl/>
        <w:kinsoku/>
        <w:wordWrap/>
        <w:overflowPunct w:val="0"/>
        <w:topLinePunct w:val="0"/>
        <w:autoSpaceDE w:val="0"/>
        <w:autoSpaceDN w:val="0"/>
        <w:bidi w:val="0"/>
        <w:adjustRightInd w:val="0"/>
        <w:snapToGrid/>
        <w:spacing w:before="157" w:beforeLines="50" w:after="157" w:afterLines="50"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bCs/>
          <w:sz w:val="24"/>
          <w:szCs w:val="24"/>
          <w:highlight w:val="none"/>
        </w:rPr>
        <w:t>纳税人通过全国统一规范电子税务局“纳税信用管理”功能，查看年度纳税信用评价情况，选择</w:t>
      </w:r>
      <w:r>
        <w:rPr>
          <w:rFonts w:hint="eastAsia" w:ascii="宋体" w:hAnsi="宋体" w:eastAsia="宋体" w:cs="宋体"/>
          <w:sz w:val="24"/>
          <w:szCs w:val="24"/>
          <w:highlight w:val="none"/>
        </w:rPr>
        <w:t>复评（核）</w:t>
      </w:r>
      <w:r>
        <w:rPr>
          <w:rFonts w:hint="eastAsia" w:ascii="宋体" w:hAnsi="宋体" w:eastAsia="宋体" w:cs="宋体"/>
          <w:bCs/>
          <w:sz w:val="24"/>
          <w:szCs w:val="24"/>
          <w:highlight w:val="none"/>
        </w:rPr>
        <w:t>原因后提交申请。</w:t>
      </w:r>
    </w:p>
    <w:p w14:paraId="21E4E9A1">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2.线下流程：申请—受理—审核—复审—反馈</w:t>
      </w:r>
    </w:p>
    <w:p w14:paraId="6CE364A6">
      <w:pPr>
        <w:pageBreakBefore w:val="0"/>
        <w:kinsoku/>
        <w:wordWrap/>
        <w:topLinePunct w:val="0"/>
        <w:bidi w:val="0"/>
        <w:snapToGrid/>
        <w:spacing w:before="157" w:beforeLines="50" w:after="157" w:afterLines="50"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同线上流程</w:t>
      </w:r>
    </w:p>
    <w:p w14:paraId="4FBDA8CB">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329C7A4C">
      <w:pPr>
        <w:keepNext/>
        <w:pageBreakBefore w:val="0"/>
        <w:tabs>
          <w:tab w:val="center" w:pos="4200"/>
        </w:tabs>
        <w:kinsoku/>
        <w:wordWrap/>
        <w:topLinePunct w:val="0"/>
        <w:bidi w:val="0"/>
        <w:snapToGrid/>
        <w:spacing w:before="157" w:beforeLines="50" w:after="157" w:afterLines="50" w:line="360" w:lineRule="auto"/>
        <w:ind w:firstLine="181"/>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纳税信用复评（核）报送资料清单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526C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21FB7590">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4B1AD56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3E72DBA4">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15283E73">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3B3023F1">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5C32BB59">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2629006C">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4E909A3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2C35E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bottom w:val="single" w:color="auto" w:sz="6" w:space="0"/>
            </w:tcBorders>
            <w:noWrap w:val="0"/>
            <w:vAlign w:val="top"/>
          </w:tcPr>
          <w:p w14:paraId="7F4D870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bottom w:val="single" w:color="auto" w:sz="6" w:space="0"/>
            </w:tcBorders>
            <w:noWrap w:val="0"/>
            <w:vAlign w:val="center"/>
          </w:tcPr>
          <w:p w14:paraId="15B69F02">
            <w:pPr>
              <w:pageBreakBefore w:val="0"/>
              <w:kinsoku/>
              <w:wordWrap/>
              <w:topLinePunct w:val="0"/>
              <w:bidi w:val="0"/>
              <w:snapToGrid/>
              <w:spacing w:before="157" w:beforeLines="50" w:after="157" w:afterLines="50"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《纳税信用复评（核）申请表》</w:t>
            </w:r>
          </w:p>
        </w:tc>
        <w:tc>
          <w:tcPr>
            <w:tcW w:w="624" w:type="dxa"/>
            <w:tcBorders>
              <w:top w:val="single" w:color="auto" w:sz="6" w:space="0"/>
              <w:bottom w:val="single" w:color="auto" w:sz="6" w:space="0"/>
            </w:tcBorders>
            <w:noWrap w:val="0"/>
            <w:vAlign w:val="top"/>
          </w:tcPr>
          <w:p w14:paraId="62C420A1">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bottom w:val="single" w:color="auto" w:sz="6" w:space="0"/>
            </w:tcBorders>
            <w:noWrap w:val="0"/>
            <w:vAlign w:val="top"/>
          </w:tcPr>
          <w:p w14:paraId="66106F5C">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bottom w:val="single" w:color="auto" w:sz="6" w:space="0"/>
            </w:tcBorders>
            <w:noWrap w:val="0"/>
            <w:vAlign w:val="top"/>
          </w:tcPr>
          <w:p w14:paraId="21F0010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bottom w:val="single" w:color="auto" w:sz="6" w:space="0"/>
            </w:tcBorders>
            <w:noWrap w:val="0"/>
            <w:vAlign w:val="top"/>
          </w:tcPr>
          <w:p w14:paraId="1290ABCD">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bottom w:val="single" w:color="auto" w:sz="6" w:space="0"/>
            </w:tcBorders>
            <w:noWrap w:val="0"/>
            <w:vAlign w:val="top"/>
          </w:tcPr>
          <w:p w14:paraId="6FCA944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bottom w:val="single" w:color="auto" w:sz="6" w:space="0"/>
            </w:tcBorders>
            <w:noWrap w:val="0"/>
            <w:vAlign w:val="top"/>
          </w:tcPr>
          <w:p w14:paraId="133D92F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26EDF99B">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782260C6">
      <w:pPr>
        <w:pageBreakBefore w:val="0"/>
        <w:tabs>
          <w:tab w:val="left" w:pos="2404"/>
        </w:tabs>
        <w:kinsoku/>
        <w:wordWrap/>
        <w:topLinePunct w:val="0"/>
        <w:bidi w:val="0"/>
        <w:snapToGrid/>
        <w:spacing w:before="157" w:beforeLines="50" w:after="157" w:afterLines="50" w:line="360" w:lineRule="auto"/>
        <w:ind w:firstLine="42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1.《国家税务总局关于纳税信用评价与修复有关事项的公告》（国家税务总局公告2021年第31号）</w:t>
      </w:r>
    </w:p>
    <w:p w14:paraId="49386AFC">
      <w:pPr>
        <w:pageBreakBefore w:val="0"/>
        <w:tabs>
          <w:tab w:val="left" w:pos="2404"/>
        </w:tabs>
        <w:kinsoku/>
        <w:wordWrap/>
        <w:topLinePunct w:val="0"/>
        <w:bidi w:val="0"/>
        <w:snapToGrid/>
        <w:spacing w:before="157" w:beforeLines="50" w:after="157" w:afterLines="50" w:line="360" w:lineRule="auto"/>
        <w:ind w:firstLine="42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2.《国家税务总局关于纳税信用管理有关事项的公告》（国家税务总局公告2020年第15号）</w:t>
      </w:r>
    </w:p>
    <w:p w14:paraId="66199EE8">
      <w:pPr>
        <w:pageBreakBefore w:val="0"/>
        <w:tabs>
          <w:tab w:val="left" w:pos="2404"/>
        </w:tabs>
        <w:kinsoku/>
        <w:wordWrap/>
        <w:topLinePunct w:val="0"/>
        <w:bidi w:val="0"/>
        <w:snapToGrid/>
        <w:spacing w:before="157" w:beforeLines="50" w:after="157" w:afterLines="50" w:line="360" w:lineRule="auto"/>
        <w:ind w:firstLine="42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3.《国家税务总局关于纳税信用评价有关事项的公告》（国家税务总局公告2018年第8号）</w:t>
      </w:r>
    </w:p>
    <w:p w14:paraId="44C26F79">
      <w:pPr>
        <w:pageBreakBefore w:val="0"/>
        <w:tabs>
          <w:tab w:val="left" w:pos="2404"/>
        </w:tabs>
        <w:kinsoku/>
        <w:wordWrap/>
        <w:topLinePunct w:val="0"/>
        <w:bidi w:val="0"/>
        <w:snapToGrid/>
        <w:spacing w:before="157" w:beforeLines="50" w:after="157" w:afterLines="50" w:line="360" w:lineRule="auto"/>
        <w:ind w:firstLine="42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4.《国家税务总局关于完善纳税信用管理有关事项的公告》（国家税务总局公告2016年第9号）</w:t>
      </w:r>
    </w:p>
    <w:p w14:paraId="562FFDF6">
      <w:pPr>
        <w:pageBreakBefore w:val="0"/>
        <w:tabs>
          <w:tab w:val="left" w:pos="2404"/>
        </w:tabs>
        <w:kinsoku/>
        <w:wordWrap/>
        <w:topLinePunct w:val="0"/>
        <w:bidi w:val="0"/>
        <w:snapToGrid/>
        <w:spacing w:before="157" w:beforeLines="50" w:after="157" w:afterLines="50" w:line="360" w:lineRule="auto"/>
        <w:ind w:firstLine="42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5.《国家税务总局关于明确纳税信用管理若干业务口径的公告》（国家税务总局公告2015年第85号）</w:t>
      </w:r>
    </w:p>
    <w:p w14:paraId="222DDD37">
      <w:pPr>
        <w:pageBreakBefore w:val="0"/>
        <w:tabs>
          <w:tab w:val="left" w:pos="2404"/>
        </w:tabs>
        <w:kinsoku/>
        <w:wordWrap/>
        <w:topLinePunct w:val="0"/>
        <w:bidi w:val="0"/>
        <w:snapToGrid/>
        <w:spacing w:before="157" w:beforeLines="50" w:after="157" w:afterLines="50" w:line="360" w:lineRule="auto"/>
        <w:ind w:firstLine="420"/>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6.《国家税务总局关于明确纳税信用补评和复评事项的公告》（国家税务总局公告2015年第46号）</w:t>
      </w:r>
    </w:p>
    <w:p w14:paraId="4FDD0AF0">
      <w:pPr>
        <w:pageBreakBefore w:val="0"/>
        <w:tabs>
          <w:tab w:val="left" w:pos="2404"/>
        </w:tabs>
        <w:kinsoku/>
        <w:wordWrap/>
        <w:topLinePunct w:val="0"/>
        <w:bidi w:val="0"/>
        <w:snapToGrid/>
        <w:spacing w:before="157" w:beforeLines="50" w:after="157" w:afterLines="50"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7.《国家税务总局关于发布〈纳税信用管理办法（试行）〉的公告》（国家税务总局公告2014年第40号）</w:t>
      </w:r>
    </w:p>
    <w:p w14:paraId="0968D4CD">
      <w:pPr>
        <w:pageBreakBefore w:val="0"/>
        <w:tabs>
          <w:tab w:val="left" w:pos="2404"/>
        </w:tabs>
        <w:kinsoku/>
        <w:wordWrap/>
        <w:topLinePunct w:val="0"/>
        <w:bidi w:val="0"/>
        <w:snapToGrid/>
        <w:spacing w:before="157" w:beforeLines="50" w:after="157" w:afterLines="50"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8.《国家税务总局关于发布〈纳税信用评价指标和评价方式〉的公告》（国家税务总局公告2014年第48号）</w:t>
      </w:r>
    </w:p>
    <w:p w14:paraId="0C610830">
      <w:pPr>
        <w:pageBreakBefore w:val="0"/>
        <w:tabs>
          <w:tab w:val="left" w:pos="2404"/>
        </w:tabs>
        <w:kinsoku/>
        <w:wordWrap/>
        <w:topLinePunct w:val="0"/>
        <w:bidi w:val="0"/>
        <w:snapToGrid/>
        <w:spacing w:before="157" w:beforeLines="50" w:after="157" w:afterLines="50" w:line="360" w:lineRule="auto"/>
        <w:ind w:firstLine="420"/>
        <w:rPr>
          <w:rFonts w:hint="eastAsia" w:ascii="宋体" w:hAnsi="宋体" w:eastAsia="宋体" w:cs="宋体"/>
          <w:bCs/>
          <w:sz w:val="24"/>
          <w:szCs w:val="24"/>
          <w:highlight w:val="none"/>
          <w:lang w:eastAsia="zh-Hans"/>
        </w:rPr>
      </w:pPr>
      <w:r>
        <w:rPr>
          <w:rFonts w:hint="eastAsia" w:ascii="宋体" w:hAnsi="宋体" w:eastAsia="宋体" w:cs="宋体"/>
          <w:bCs/>
          <w:sz w:val="24"/>
          <w:szCs w:val="24"/>
          <w:highlight w:val="none"/>
        </w:rPr>
        <w:t>9</w:t>
      </w:r>
      <w:r>
        <w:rPr>
          <w:rFonts w:hint="eastAsia" w:ascii="宋体" w:hAnsi="宋体" w:eastAsia="宋体" w:cs="宋体"/>
          <w:bCs/>
          <w:sz w:val="24"/>
          <w:szCs w:val="24"/>
          <w:highlight w:val="none"/>
          <w:lang w:eastAsia="zh-Hans"/>
        </w:rPr>
        <w:t>.《国家税务总局江苏省税务局纳税服务处关于进一步规范纳税信用级别调整工作的通知》（苏税纳便函〔2022〕49号）</w:t>
      </w:r>
    </w:p>
    <w:p w14:paraId="5A4CB7C9">
      <w:pPr>
        <w:pageBreakBefore w:val="0"/>
        <w:tabs>
          <w:tab w:val="left" w:pos="2404"/>
        </w:tabs>
        <w:kinsoku/>
        <w:wordWrap/>
        <w:topLinePunct w:val="0"/>
        <w:bidi w:val="0"/>
        <w:snapToGrid/>
        <w:spacing w:before="157" w:beforeLines="50" w:after="157" w:afterLines="50"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10.《国家税务总局关于开展2024年“便民办税春风行动”的意见》（税总纳服发〔2024〕19号）</w:t>
      </w:r>
    </w:p>
    <w:p w14:paraId="6B9FBC49">
      <w:pPr>
        <w:pageBreakBefore w:val="0"/>
        <w:tabs>
          <w:tab w:val="left" w:pos="2404"/>
        </w:tabs>
        <w:kinsoku/>
        <w:wordWrap/>
        <w:topLinePunct w:val="0"/>
        <w:bidi w:val="0"/>
        <w:snapToGrid/>
        <w:spacing w:before="157" w:beforeLines="50" w:after="157" w:afterLines="50" w:line="360" w:lineRule="auto"/>
        <w:ind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r>
        <w:rPr>
          <w:rFonts w:hint="eastAsia" w:ascii="宋体" w:hAnsi="宋体" w:eastAsia="宋体" w:cs="宋体"/>
          <w:sz w:val="24"/>
          <w:szCs w:val="24"/>
          <w:highlight w:val="none"/>
        </w:rPr>
        <w:t>《国务院关于进一步优化政务服务提升行政效能推动“高效办成一件事”的指导意见》（国发〔2024〕3号）</w:t>
      </w:r>
    </w:p>
    <w:bookmarkEnd w:id="0"/>
    <w:p w14:paraId="18C0FB65">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8703F"/>
    <w:rsid w:val="27CE24A9"/>
    <w:rsid w:val="32BD553E"/>
    <w:rsid w:val="6DC3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3078</Words>
  <Characters>3186</Characters>
  <Lines>0</Lines>
  <Paragraphs>0</Paragraphs>
  <TotalTime>6</TotalTime>
  <ScaleCrop>false</ScaleCrop>
  <LinksUpToDate>false</LinksUpToDate>
  <CharactersWithSpaces>3188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2025-03-02T02:04:00Z</dcterms:created>
  <dc:creator>tsuser</dc:creator>
  <cp:lastModifiedBy>默默</cp:lastModifiedBy>
  <dcterms:modified xsi:type="dcterms:W3CDTF">2025-07-09T07:43:42Z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DA1EC6EF67CF4DCA8F1BA3C23C923507_12</vt:lpwstr>
  </property>
</Properties>
</file>