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36A50">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11.2.1  税收协定相互协商程序申请——5030</w:t>
      </w:r>
    </w:p>
    <w:p w14:paraId="55F29EF7">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p>
    <w:p w14:paraId="08CE19B0">
      <w:pPr>
        <w:pStyle w:val="4"/>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lang w:val="zh-CN"/>
        </w:rPr>
      </w:pPr>
      <w:bookmarkStart w:id="0" w:name="_GoBack"/>
      <w:r>
        <w:rPr>
          <w:rFonts w:hint="eastAsia" w:ascii="宋体" w:hAnsi="宋体" w:eastAsia="宋体" w:cs="宋体"/>
          <w:sz w:val="24"/>
          <w:szCs w:val="24"/>
          <w:highlight w:val="none"/>
          <w:lang w:val="zh-CN"/>
        </w:rPr>
        <w:t>【事项概述】</w:t>
      </w:r>
    </w:p>
    <w:p w14:paraId="3706C77C">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相互协商的事项限于税收协定适用范围内的事项，但超出税收协定适用范围，且会造成双重征税后果或对缔约一方或双方利益产生重大影响的事项，经我国主管当局和缔约对方主管当局同意，也可以进行相互协商。</w:t>
      </w:r>
    </w:p>
    <w:p w14:paraId="1602421F">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中国居民（国民）认为，与中国签订税收协定并生效执行的国家或地区所采取的措施，已经或将会导致不符合税收协定所规定的征税行为，可以按规定向省税务机关提出申请，请求总局与缔约对方主管当局通过相互协商程序解决有关问题。</w:t>
      </w:r>
    </w:p>
    <w:p w14:paraId="3487BD9D">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中国居民，是指按照《中华人民共和国个人所得税法》和《中华人民共和国企业所得税法》，就来源于中国境内境外的所得在中国负有纳税义务的个人、法人或其他组织。中国国民，是指具有中国国籍的个人，以及依照中国法律成立的法人或其他组织。</w:t>
      </w:r>
    </w:p>
    <w:p w14:paraId="36DD7113">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中国居民有下列情形之一的，可以申请启动相互协商程序：</w:t>
      </w:r>
    </w:p>
    <w:p w14:paraId="61330F6B">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（一）对居民身份的认定存有异议，特别是相关税收协定规定双重居民身份情况下需要通过相互协商程序进行最终确认的；</w:t>
      </w:r>
    </w:p>
    <w:p w14:paraId="2C57B409">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（二）对常设机构的判定，或者常设机构的利润归属和费用扣除存有异议的；</w:t>
      </w:r>
    </w:p>
    <w:p w14:paraId="3EF2269F">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（三）对各项所得或财产的征免税或适用税率存有异议的；</w:t>
      </w:r>
    </w:p>
    <w:p w14:paraId="276E243A">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（四）违反税收协定非歧视待遇（无差别待遇）条款的规定，可能或已经形成税收歧视的；</w:t>
      </w:r>
    </w:p>
    <w:p w14:paraId="3DD4F926">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（五）对税收协定其他条款的理解和适用出现争议而不能自行解决的；</w:t>
      </w:r>
    </w:p>
    <w:p w14:paraId="021BF134">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（六）其他可能或已经形成不同税收管辖权之间重复征税的。</w:t>
      </w:r>
    </w:p>
    <w:p w14:paraId="607C9A04">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中国国民认为缔约对方违背了税收协定非歧视待遇（无差别待遇）条款的规定，对其可能或已经形成税收歧视时，可以申请启动相互协商程序</w:t>
      </w:r>
      <w:r>
        <w:rPr>
          <w:rFonts w:hint="eastAsia" w:ascii="宋体" w:hAnsi="宋体" w:eastAsia="宋体" w:cs="宋体"/>
          <w:bCs/>
          <w:sz w:val="24"/>
          <w:szCs w:val="24"/>
          <w:highlight w:val="none"/>
        </w:rPr>
        <w:t>。</w:t>
      </w:r>
    </w:p>
    <w:p w14:paraId="5B86F7DE">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【办理类别】</w:t>
      </w:r>
    </w:p>
    <w:p w14:paraId="581CFE3A">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办理方式：线下</w:t>
      </w:r>
    </w:p>
    <w:p w14:paraId="5E497010">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办理时限：按具体任务要求</w:t>
      </w:r>
    </w:p>
    <w:p w14:paraId="54D56FC5">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办理层级：省级</w:t>
      </w:r>
    </w:p>
    <w:p w14:paraId="3016DC8F">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【办理流程】</w:t>
      </w:r>
    </w:p>
    <w:p w14:paraId="61B37198">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线下流程：受理—上报—反馈</w:t>
      </w:r>
    </w:p>
    <w:p w14:paraId="1A932902">
      <w:pPr>
        <w:pStyle w:val="5"/>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（1）受理</w:t>
      </w:r>
    </w:p>
    <w:p w14:paraId="7D10D8B1">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--办理机构：国际税收管理部门</w:t>
      </w:r>
    </w:p>
    <w:p w14:paraId="23237081">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--表证单书：《启动税收协定相互协商程序申请表》《税收协定相互协商程序异议申请表》</w:t>
      </w:r>
    </w:p>
    <w:p w14:paraId="29C2114C">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申请人应在有关税收协定规定的期限内，以书面形式向省税务机关提出启动相互协商程序的申请（《启动税收协定相互协商程序申请表》，需提供纸质版和电子版）。中国国民认为缔约对方违背了税收协定非歧视待遇（无差别待遇）条款的规定，对其可能或已经形成税收歧视，且未构成我国税收居民的，个人户籍所在地、法人或其他组织设立地的省税务机关为受理机关。</w:t>
      </w:r>
    </w:p>
    <w:p w14:paraId="1B1BA035">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申请人按规定提出的相互协商申请符合以下全部条件的，税务机关应当受理：</w:t>
      </w:r>
    </w:p>
    <w:p w14:paraId="5A5BF8AF">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（一）申请人为符合规定可以提起相互协商请求的中国居民或中国国民；</w:t>
      </w:r>
    </w:p>
    <w:p w14:paraId="746725D8">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（二）提出申请的时间没有超过税收协定规定的时限；</w:t>
      </w:r>
    </w:p>
    <w:p w14:paraId="1ACF2C39">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（三）申请协商的事项为缔约对方已经或有可能发生的违反税收协定规定的行为；</w:t>
      </w:r>
    </w:p>
    <w:p w14:paraId="72AC0BEF">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（四）申请人提供的事实和证据能够证实或者不能合理排除缔约对方的行为存在违反税收协定规定的嫌疑。</w:t>
      </w:r>
    </w:p>
    <w:p w14:paraId="3AA9B6F6">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对于不符合上款规定全部条件的申请，税务机关认为涉及严重双重征税或损害我国税收权益、有必要进行相互协商的，也可以决定受理。</w:t>
      </w:r>
    </w:p>
    <w:p w14:paraId="2FB36266">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因申请人提交的信息不全等原因导致申请不具备启动相互协商程序条件的，省税务机关可以要求申请人补充材料。申请人补充材料后仍不具备启动相互协商程序条件的，省税务机关可以拒绝受理，并以书面形式告知申请人。</w:t>
      </w:r>
    </w:p>
    <w:p w14:paraId="2FAD20DE">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申请人对省税务机关拒绝受理的决定不服的，可在收到书面告知之日起十五个工作日内向省税务机关或税务总局提出异议申请（《税收协定相互协商程序异议申请表》，需提供纸质版和电子版）。</w:t>
      </w:r>
    </w:p>
    <w:p w14:paraId="5F375084">
      <w:pPr>
        <w:pStyle w:val="5"/>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（2）上报</w:t>
      </w:r>
    </w:p>
    <w:p w14:paraId="6621E484">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申请人对省税务机关拒绝受理的决定不服的，省税务机关收到异议后，应在5个工作日内将申请人的材料，连同本机关的意见和依据上报国家税务总局。</w:t>
      </w:r>
    </w:p>
    <w:p w14:paraId="764514A7">
      <w:pPr>
        <w:pStyle w:val="5"/>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（3）处理</w:t>
      </w:r>
    </w:p>
    <w:p w14:paraId="4DB5DFEE">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税务总局收到省税务机关上报的申请后，应在二十个工作日内按下列情况分别处理：</w:t>
      </w:r>
    </w:p>
    <w:p w14:paraId="49E28904">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（一）申请具备启动相互协商程序条件的，决定启动相互协商程序，并将情况告知受理申请的省税务机关，省税务机关应告知申请人；</w:t>
      </w:r>
    </w:p>
    <w:p w14:paraId="32EB4923">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申请已超过税收协定规定的期限，或申请人的申请明显缺乏事实法律依据，或出现其他不具备相互协商条件情形的，不予启动相互协商程序，并以书面形式告知受理申请的省税务机关，省税务机关应告知申请人；</w:t>
      </w:r>
    </w:p>
    <w:p w14:paraId="08D1A380">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（三）因申请人提交的信息不全等原因导致申请不具备启动相互协商程序条件的，通过受理申请的省税务机关要求申请人补充材料或说明情况。申请人补充材料或说明情况后，再按前两项规定处理。</w:t>
      </w:r>
    </w:p>
    <w:p w14:paraId="12AA5C9D">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税务总局启动相互协商程序后，可通过受理申请的省税务机关要求申请人进一步补充材料或说明情况，申请人应在规定的时间内提交，并确保材料的真实与全面。</w:t>
      </w:r>
    </w:p>
    <w:p w14:paraId="60A10521">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对于紧急案件，税务总局可以直接与申请人联系。</w:t>
      </w:r>
    </w:p>
    <w:p w14:paraId="10BC8BA4">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发生下列情形之一的，税务总局可以决定终止相互协商程序，并以书面形式告知省税务机关，省税务机关应告知申请人：</w:t>
      </w:r>
    </w:p>
    <w:p w14:paraId="32D35CD0">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（一）申请人故意隐瞒重要事实，或在提交的资料中弄虚作假的；</w:t>
      </w:r>
    </w:p>
    <w:p w14:paraId="53329FC6">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（二）申请人拒绝提供税务机关要求的、与案件有关的必要资料的；</w:t>
      </w:r>
    </w:p>
    <w:p w14:paraId="042450D1">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（三）因各种原因，申请人与税务机关均无法取得必要的证据，导致相关事实或申请人立场无法被证明，相互协商程序无法继续进行的；</w:t>
      </w:r>
    </w:p>
    <w:p w14:paraId="49DD31F6">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（四）缔约对方主管当局单方拒绝或终止相互协商程序的；</w:t>
      </w:r>
    </w:p>
    <w:p w14:paraId="09014B94">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（五）其他导致相互协商程序无法进行或相互协商程序无法达到预期目标的。</w:t>
      </w:r>
    </w:p>
    <w:p w14:paraId="60D0C546">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在两国主管当局达成一致意见之前，申请人可以以书面方式撤回相互协商申请。申请人撤回申请或者拒绝接受缔约双方主管当局达成一致的相互协商结果的，税务机关不再受理基于同一事实和理由的申请。</w:t>
      </w:r>
    </w:p>
    <w:p w14:paraId="7A4578C1">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对于相互协商结果，税务总局应以书面形式告知受理申请的省税务机关，省税务机关应告知申请人。</w:t>
      </w:r>
    </w:p>
    <w:p w14:paraId="64882067">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【资料处理】</w:t>
      </w:r>
    </w:p>
    <w:p w14:paraId="5F18490C">
      <w:pPr>
        <w:keepNext/>
        <w:pageBreakBefore w:val="0"/>
        <w:widowControl/>
        <w:tabs>
          <w:tab w:val="center" w:pos="4200"/>
        </w:tabs>
        <w:kinsoku/>
        <w:wordWrap/>
        <w:topLinePunct w:val="0"/>
        <w:bidi w:val="0"/>
        <w:snapToGrid/>
        <w:spacing w:before="157" w:beforeLines="50" w:after="157" w:afterLines="50" w:line="360" w:lineRule="auto"/>
        <w:ind w:firstLine="100"/>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中国居民（国民）申请启动的相互协商程序报送资料清单</w:t>
      </w:r>
    </w:p>
    <w:tbl>
      <w:tblPr>
        <w:tblStyle w:val="6"/>
        <w:tblW w:w="8668" w:type="dxa"/>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7"/>
        <w:gridCol w:w="4153"/>
        <w:gridCol w:w="683"/>
        <w:gridCol w:w="633"/>
        <w:gridCol w:w="633"/>
        <w:gridCol w:w="633"/>
        <w:gridCol w:w="633"/>
        <w:gridCol w:w="633"/>
      </w:tblGrid>
      <w:tr w14:paraId="066AC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667" w:type="dxa"/>
            <w:tcBorders>
              <w:top w:val="single" w:color="auto" w:sz="12" w:space="0"/>
              <w:left w:val="single" w:color="auto" w:sz="12" w:space="0"/>
              <w:bottom w:val="single" w:color="auto" w:sz="6" w:space="0"/>
              <w:right w:val="single" w:color="auto" w:sz="6" w:space="0"/>
            </w:tcBorders>
            <w:shd w:val="clear" w:color="auto" w:fill="E0E0E0"/>
            <w:noWrap w:val="0"/>
            <w:vAlign w:val="center"/>
          </w:tcPr>
          <w:p w14:paraId="0A8F9F79">
            <w:pPr>
              <w:pageBreakBefore w:val="0"/>
              <w:widowControl/>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4153" w:type="dxa"/>
            <w:tcBorders>
              <w:top w:val="single" w:color="auto" w:sz="12" w:space="0"/>
              <w:left w:val="single" w:color="auto" w:sz="6" w:space="0"/>
              <w:bottom w:val="single" w:color="auto" w:sz="6" w:space="0"/>
              <w:right w:val="single" w:color="auto" w:sz="6" w:space="0"/>
            </w:tcBorders>
            <w:shd w:val="clear" w:color="auto" w:fill="E0E0E0"/>
            <w:noWrap w:val="0"/>
            <w:vAlign w:val="center"/>
          </w:tcPr>
          <w:p w14:paraId="75251EE9">
            <w:pPr>
              <w:pageBreakBefore w:val="0"/>
              <w:widowControl/>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提交资料名称</w:t>
            </w:r>
          </w:p>
        </w:tc>
        <w:tc>
          <w:tcPr>
            <w:tcW w:w="683" w:type="dxa"/>
            <w:tcBorders>
              <w:top w:val="single" w:color="auto" w:sz="12" w:space="0"/>
              <w:left w:val="single" w:color="auto" w:sz="6" w:space="0"/>
              <w:bottom w:val="single" w:color="auto" w:sz="6" w:space="0"/>
              <w:right w:val="single" w:color="auto" w:sz="6" w:space="0"/>
            </w:tcBorders>
            <w:shd w:val="clear" w:color="auto" w:fill="E0E0E0"/>
            <w:noWrap w:val="0"/>
            <w:vAlign w:val="center"/>
          </w:tcPr>
          <w:p w14:paraId="0CA1A653">
            <w:pPr>
              <w:pageBreakBefore w:val="0"/>
              <w:widowControl/>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必报</w:t>
            </w:r>
          </w:p>
        </w:tc>
        <w:tc>
          <w:tcPr>
            <w:tcW w:w="633" w:type="dxa"/>
            <w:tcBorders>
              <w:top w:val="single" w:color="auto" w:sz="12" w:space="0"/>
              <w:left w:val="single" w:color="auto" w:sz="6" w:space="0"/>
              <w:bottom w:val="single" w:color="auto" w:sz="6" w:space="0"/>
              <w:right w:val="single" w:color="auto" w:sz="6" w:space="0"/>
            </w:tcBorders>
            <w:shd w:val="clear" w:color="auto" w:fill="E0E0E0"/>
            <w:noWrap w:val="0"/>
            <w:vAlign w:val="center"/>
          </w:tcPr>
          <w:p w14:paraId="36E10ACA">
            <w:pPr>
              <w:pageBreakBefore w:val="0"/>
              <w:widowControl/>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条件报送</w:t>
            </w:r>
          </w:p>
        </w:tc>
        <w:tc>
          <w:tcPr>
            <w:tcW w:w="633" w:type="dxa"/>
            <w:tcBorders>
              <w:top w:val="single" w:color="auto" w:sz="12" w:space="0"/>
              <w:left w:val="single" w:color="auto" w:sz="6" w:space="0"/>
              <w:bottom w:val="single" w:color="auto" w:sz="6" w:space="0"/>
              <w:right w:val="single" w:color="auto" w:sz="6" w:space="0"/>
            </w:tcBorders>
            <w:shd w:val="clear" w:color="auto" w:fill="E0E0E0"/>
            <w:noWrap w:val="0"/>
            <w:vAlign w:val="center"/>
          </w:tcPr>
          <w:p w14:paraId="0A0DF824">
            <w:pPr>
              <w:pageBreakBefore w:val="0"/>
              <w:widowControl/>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归档</w:t>
            </w:r>
          </w:p>
        </w:tc>
        <w:tc>
          <w:tcPr>
            <w:tcW w:w="633" w:type="dxa"/>
            <w:tcBorders>
              <w:top w:val="single" w:color="auto" w:sz="12" w:space="0"/>
              <w:left w:val="single" w:color="auto" w:sz="6" w:space="0"/>
              <w:bottom w:val="single" w:color="auto" w:sz="6" w:space="0"/>
              <w:right w:val="single" w:color="auto" w:sz="6" w:space="0"/>
            </w:tcBorders>
            <w:shd w:val="clear" w:color="auto" w:fill="E0E0E0"/>
            <w:noWrap w:val="0"/>
            <w:vAlign w:val="center"/>
          </w:tcPr>
          <w:p w14:paraId="0CE07942">
            <w:pPr>
              <w:pageBreakBefore w:val="0"/>
              <w:widowControl/>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查验</w:t>
            </w:r>
          </w:p>
        </w:tc>
        <w:tc>
          <w:tcPr>
            <w:tcW w:w="633" w:type="dxa"/>
            <w:tcBorders>
              <w:top w:val="single" w:color="auto" w:sz="12" w:space="0"/>
              <w:left w:val="single" w:color="auto" w:sz="6" w:space="0"/>
              <w:bottom w:val="single" w:color="auto" w:sz="6" w:space="0"/>
              <w:right w:val="single" w:color="auto" w:sz="6" w:space="0"/>
            </w:tcBorders>
            <w:shd w:val="clear" w:color="auto" w:fill="E0E0E0"/>
            <w:noWrap w:val="0"/>
            <w:vAlign w:val="center"/>
          </w:tcPr>
          <w:p w14:paraId="482B3241">
            <w:pPr>
              <w:pageBreakBefore w:val="0"/>
              <w:widowControl/>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代保管</w:t>
            </w:r>
          </w:p>
        </w:tc>
        <w:tc>
          <w:tcPr>
            <w:tcW w:w="633" w:type="dxa"/>
            <w:tcBorders>
              <w:top w:val="single" w:color="auto" w:sz="12" w:space="0"/>
              <w:left w:val="single" w:color="auto" w:sz="6" w:space="0"/>
              <w:bottom w:val="single" w:color="auto" w:sz="6" w:space="0"/>
              <w:right w:val="single" w:color="auto" w:sz="12" w:space="0"/>
            </w:tcBorders>
            <w:shd w:val="clear" w:color="auto" w:fill="E0E0E0"/>
            <w:noWrap w:val="0"/>
            <w:vAlign w:val="center"/>
          </w:tcPr>
          <w:p w14:paraId="76171095">
            <w:pPr>
              <w:pageBreakBefore w:val="0"/>
              <w:widowControl/>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核销</w:t>
            </w:r>
          </w:p>
        </w:tc>
      </w:tr>
      <w:tr w14:paraId="1C587B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67" w:type="dxa"/>
            <w:tcBorders>
              <w:top w:val="single" w:color="auto" w:sz="6" w:space="0"/>
              <w:left w:val="single" w:color="auto" w:sz="12" w:space="0"/>
              <w:bottom w:val="single" w:color="auto" w:sz="6" w:space="0"/>
              <w:right w:val="single" w:color="auto" w:sz="6" w:space="0"/>
            </w:tcBorders>
            <w:noWrap w:val="0"/>
            <w:vAlign w:val="top"/>
          </w:tcPr>
          <w:p w14:paraId="346D202C">
            <w:pPr>
              <w:pageBreakBefore w:val="0"/>
              <w:widowControl/>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153" w:type="dxa"/>
            <w:tcBorders>
              <w:top w:val="single" w:color="auto" w:sz="6" w:space="0"/>
              <w:left w:val="single" w:color="auto" w:sz="6" w:space="0"/>
              <w:bottom w:val="single" w:color="auto" w:sz="6" w:space="0"/>
              <w:right w:val="single" w:color="auto" w:sz="6" w:space="0"/>
            </w:tcBorders>
            <w:noWrap w:val="0"/>
            <w:vAlign w:val="center"/>
          </w:tcPr>
          <w:p w14:paraId="6F1C29D7">
            <w:pPr>
              <w:pageBreakBefore w:val="0"/>
              <w:kinsoku/>
              <w:wordWrap/>
              <w:topLinePunct w:val="0"/>
              <w:bidi w:val="0"/>
              <w:snapToGrid/>
              <w:spacing w:before="157" w:beforeLines="50" w:after="157" w:afterLines="50" w:line="360" w:lineRule="auto"/>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《启动税收协定相互协商程序申请表》</w:t>
            </w:r>
          </w:p>
        </w:tc>
        <w:tc>
          <w:tcPr>
            <w:tcW w:w="683" w:type="dxa"/>
            <w:tcBorders>
              <w:top w:val="single" w:color="auto" w:sz="6" w:space="0"/>
              <w:left w:val="single" w:color="auto" w:sz="6" w:space="0"/>
              <w:bottom w:val="single" w:color="auto" w:sz="6" w:space="0"/>
              <w:right w:val="single" w:color="auto" w:sz="6" w:space="0"/>
            </w:tcBorders>
            <w:noWrap w:val="0"/>
            <w:vAlign w:val="top"/>
          </w:tcPr>
          <w:p w14:paraId="4A2D6A05">
            <w:pPr>
              <w:pageBreakBefore w:val="0"/>
              <w:widowControl/>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33" w:type="dxa"/>
            <w:tcBorders>
              <w:top w:val="single" w:color="auto" w:sz="6" w:space="0"/>
              <w:left w:val="single" w:color="auto" w:sz="6" w:space="0"/>
              <w:bottom w:val="single" w:color="auto" w:sz="6" w:space="0"/>
              <w:right w:val="single" w:color="auto" w:sz="6" w:space="0"/>
            </w:tcBorders>
            <w:noWrap w:val="0"/>
            <w:vAlign w:val="top"/>
          </w:tcPr>
          <w:p w14:paraId="284B2CF1">
            <w:pPr>
              <w:pageBreakBefore w:val="0"/>
              <w:widowControl/>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33" w:type="dxa"/>
            <w:tcBorders>
              <w:top w:val="single" w:color="auto" w:sz="6" w:space="0"/>
              <w:left w:val="single" w:color="auto" w:sz="6" w:space="0"/>
              <w:bottom w:val="single" w:color="auto" w:sz="6" w:space="0"/>
              <w:right w:val="single" w:color="auto" w:sz="6" w:space="0"/>
            </w:tcBorders>
            <w:noWrap w:val="0"/>
            <w:vAlign w:val="top"/>
          </w:tcPr>
          <w:p w14:paraId="57DA01A9">
            <w:pPr>
              <w:pageBreakBefore w:val="0"/>
              <w:widowControl/>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33" w:type="dxa"/>
            <w:tcBorders>
              <w:top w:val="single" w:color="auto" w:sz="6" w:space="0"/>
              <w:left w:val="single" w:color="auto" w:sz="6" w:space="0"/>
              <w:bottom w:val="single" w:color="auto" w:sz="6" w:space="0"/>
              <w:right w:val="single" w:color="auto" w:sz="6" w:space="0"/>
            </w:tcBorders>
            <w:noWrap w:val="0"/>
            <w:vAlign w:val="top"/>
          </w:tcPr>
          <w:p w14:paraId="54FE514E">
            <w:pPr>
              <w:pageBreakBefore w:val="0"/>
              <w:widowControl/>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33" w:type="dxa"/>
            <w:tcBorders>
              <w:top w:val="single" w:color="auto" w:sz="6" w:space="0"/>
              <w:left w:val="single" w:color="auto" w:sz="6" w:space="0"/>
              <w:bottom w:val="single" w:color="auto" w:sz="6" w:space="0"/>
              <w:right w:val="single" w:color="auto" w:sz="6" w:space="0"/>
            </w:tcBorders>
            <w:noWrap w:val="0"/>
            <w:vAlign w:val="top"/>
          </w:tcPr>
          <w:p w14:paraId="330ED5C0">
            <w:pPr>
              <w:pageBreakBefore w:val="0"/>
              <w:widowControl/>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33" w:type="dxa"/>
            <w:tcBorders>
              <w:top w:val="single" w:color="auto" w:sz="6" w:space="0"/>
              <w:left w:val="single" w:color="auto" w:sz="6" w:space="0"/>
              <w:bottom w:val="single" w:color="auto" w:sz="6" w:space="0"/>
              <w:right w:val="single" w:color="auto" w:sz="12" w:space="0"/>
            </w:tcBorders>
            <w:noWrap w:val="0"/>
            <w:vAlign w:val="top"/>
          </w:tcPr>
          <w:p w14:paraId="7DEF3872">
            <w:pPr>
              <w:pageBreakBefore w:val="0"/>
              <w:widowControl/>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r>
      <w:tr w14:paraId="50BC71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67" w:type="dxa"/>
            <w:tcBorders>
              <w:top w:val="single" w:color="auto" w:sz="6" w:space="0"/>
              <w:left w:val="single" w:color="auto" w:sz="12" w:space="0"/>
              <w:bottom w:val="single" w:color="auto" w:sz="6" w:space="0"/>
              <w:right w:val="single" w:color="auto" w:sz="6" w:space="0"/>
            </w:tcBorders>
            <w:noWrap w:val="0"/>
            <w:vAlign w:val="top"/>
          </w:tcPr>
          <w:p w14:paraId="6B88060E">
            <w:pPr>
              <w:pageBreakBefore w:val="0"/>
              <w:widowControl/>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4153" w:type="dxa"/>
            <w:tcBorders>
              <w:top w:val="single" w:color="auto" w:sz="6" w:space="0"/>
              <w:left w:val="single" w:color="auto" w:sz="6" w:space="0"/>
              <w:bottom w:val="single" w:color="auto" w:sz="6" w:space="0"/>
              <w:right w:val="single" w:color="auto" w:sz="6" w:space="0"/>
            </w:tcBorders>
            <w:noWrap w:val="0"/>
            <w:vAlign w:val="center"/>
          </w:tcPr>
          <w:p w14:paraId="53AE3613">
            <w:pPr>
              <w:pageBreakBefore w:val="0"/>
              <w:kinsoku/>
              <w:wordWrap/>
              <w:topLinePunct w:val="0"/>
              <w:bidi w:val="0"/>
              <w:snapToGrid/>
              <w:spacing w:before="157" w:beforeLines="50" w:after="157" w:afterLines="50" w:line="360" w:lineRule="auto"/>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《税收协定相互协商程序异议申请表》</w:t>
            </w:r>
          </w:p>
        </w:tc>
        <w:tc>
          <w:tcPr>
            <w:tcW w:w="683" w:type="dxa"/>
            <w:tcBorders>
              <w:top w:val="single" w:color="auto" w:sz="6" w:space="0"/>
              <w:left w:val="single" w:color="auto" w:sz="6" w:space="0"/>
              <w:bottom w:val="single" w:color="auto" w:sz="6" w:space="0"/>
              <w:right w:val="single" w:color="auto" w:sz="6" w:space="0"/>
            </w:tcBorders>
            <w:noWrap w:val="0"/>
            <w:vAlign w:val="top"/>
          </w:tcPr>
          <w:p w14:paraId="1D08EC57">
            <w:pPr>
              <w:pageBreakBefore w:val="0"/>
              <w:widowControl/>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33" w:type="dxa"/>
            <w:tcBorders>
              <w:top w:val="single" w:color="auto" w:sz="6" w:space="0"/>
              <w:left w:val="single" w:color="auto" w:sz="6" w:space="0"/>
              <w:bottom w:val="single" w:color="auto" w:sz="6" w:space="0"/>
              <w:right w:val="single" w:color="auto" w:sz="6" w:space="0"/>
            </w:tcBorders>
            <w:noWrap w:val="0"/>
            <w:vAlign w:val="top"/>
          </w:tcPr>
          <w:p w14:paraId="21883C8F">
            <w:pPr>
              <w:pageBreakBefore w:val="0"/>
              <w:widowControl/>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33" w:type="dxa"/>
            <w:tcBorders>
              <w:top w:val="single" w:color="auto" w:sz="6" w:space="0"/>
              <w:left w:val="single" w:color="auto" w:sz="6" w:space="0"/>
              <w:bottom w:val="single" w:color="auto" w:sz="6" w:space="0"/>
              <w:right w:val="single" w:color="auto" w:sz="6" w:space="0"/>
            </w:tcBorders>
            <w:noWrap w:val="0"/>
            <w:vAlign w:val="top"/>
          </w:tcPr>
          <w:p w14:paraId="7E329232">
            <w:pPr>
              <w:pageBreakBefore w:val="0"/>
              <w:widowControl/>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33" w:type="dxa"/>
            <w:tcBorders>
              <w:top w:val="single" w:color="auto" w:sz="6" w:space="0"/>
              <w:left w:val="single" w:color="auto" w:sz="6" w:space="0"/>
              <w:bottom w:val="single" w:color="auto" w:sz="6" w:space="0"/>
              <w:right w:val="single" w:color="auto" w:sz="6" w:space="0"/>
            </w:tcBorders>
            <w:noWrap w:val="0"/>
            <w:vAlign w:val="top"/>
          </w:tcPr>
          <w:p w14:paraId="06770480">
            <w:pPr>
              <w:pageBreakBefore w:val="0"/>
              <w:widowControl/>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33" w:type="dxa"/>
            <w:tcBorders>
              <w:top w:val="single" w:color="auto" w:sz="6" w:space="0"/>
              <w:left w:val="single" w:color="auto" w:sz="6" w:space="0"/>
              <w:bottom w:val="single" w:color="auto" w:sz="6" w:space="0"/>
              <w:right w:val="single" w:color="auto" w:sz="6" w:space="0"/>
            </w:tcBorders>
            <w:noWrap w:val="0"/>
            <w:vAlign w:val="top"/>
          </w:tcPr>
          <w:p w14:paraId="36BE045D">
            <w:pPr>
              <w:pageBreakBefore w:val="0"/>
              <w:widowControl/>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33" w:type="dxa"/>
            <w:tcBorders>
              <w:top w:val="single" w:color="auto" w:sz="6" w:space="0"/>
              <w:left w:val="single" w:color="auto" w:sz="6" w:space="0"/>
              <w:bottom w:val="single" w:color="auto" w:sz="6" w:space="0"/>
              <w:right w:val="single" w:color="auto" w:sz="12" w:space="0"/>
            </w:tcBorders>
            <w:noWrap w:val="0"/>
            <w:vAlign w:val="top"/>
          </w:tcPr>
          <w:p w14:paraId="577DD4B4">
            <w:pPr>
              <w:pageBreakBefore w:val="0"/>
              <w:widowControl/>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r>
    </w:tbl>
    <w:p w14:paraId="106C3A1F">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p>
    <w:p w14:paraId="6F2F5470">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【政策依据】</w:t>
      </w:r>
    </w:p>
    <w:p w14:paraId="5BE5BBC4">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trike/>
          <w:sz w:val="24"/>
          <w:szCs w:val="24"/>
          <w:highlight w:val="none"/>
        </w:rPr>
      </w:pPr>
      <w:r>
        <w:rPr>
          <w:rFonts w:hint="eastAsia" w:ascii="宋体" w:hAnsi="宋体" w:eastAsia="宋体" w:cs="宋体"/>
          <w:sz w:val="24"/>
          <w:szCs w:val="24"/>
          <w:highlight w:val="none"/>
        </w:rPr>
        <w:t>1.《国家税务总局关于发布〈税收协定相互协商程序实施办法〉的公告》（国家税务总局公告2013年第56号）</w:t>
      </w:r>
    </w:p>
    <w:bookmarkEnd w:id="0"/>
    <w:p w14:paraId="529A8C44">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p>
    <w:p w14:paraId="5C541B0A">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p>
    <w:p w14:paraId="04D95F6A">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8606B"/>
    <w:multiLevelType w:val="multilevel"/>
    <w:tmpl w:val="2698606B"/>
    <w:lvl w:ilvl="0" w:tentative="0">
      <w:start w:val="1"/>
      <w:numFmt w:val="bullet"/>
      <w:lvlText w:val=""/>
      <w:lvlJc w:val="left"/>
      <w:pPr>
        <w:ind w:left="562"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E2109"/>
    <w:rsid w:val="1674041D"/>
    <w:rsid w:val="78840E6D"/>
    <w:rsid w:val="79312854"/>
    <w:rsid w:val="7E141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0"/>
    <w:pPr>
      <w:spacing w:after="120"/>
    </w:pPr>
    <w:rPr>
      <w:rFonts w:ascii="Times New Roman" w:hAnsi="Times New Roman" w:cs="Calibri"/>
      <w:szCs w:val="21"/>
    </w:r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2539</Words>
  <Characters>2568</Characters>
  <Lines>0</Lines>
  <Paragraphs>0</Paragraphs>
  <TotalTime>2</TotalTime>
  <ScaleCrop>false</ScaleCrop>
  <LinksUpToDate>false</LinksUpToDate>
  <CharactersWithSpaces>2570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2025-03-02T02:24:00Z</dcterms:created>
  <dc:creator>tsuser</dc:creator>
  <cp:lastModifiedBy>默默</cp:lastModifiedBy>
  <dcterms:modified xsi:type="dcterms:W3CDTF">2025-07-09T08:22:46Z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554A8646EC034253851203D7730AA74A_12</vt:lpwstr>
  </property>
</Properties>
</file>