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99278">
      <w:pPr>
        <w:rPr>
          <w:highlight w:val="none"/>
        </w:rPr>
      </w:pPr>
      <w:r>
        <w:rPr>
          <w:rFonts w:hint="eastAsia"/>
          <w:highlight w:val="none"/>
        </w:rPr>
        <w:t>11.2.9  申请税务人员回避处理——5054</w:t>
      </w:r>
    </w:p>
    <w:p w14:paraId="47385873">
      <w:pPr>
        <w:rPr>
          <w:highlight w:val="none"/>
        </w:rPr>
      </w:pPr>
    </w:p>
    <w:p w14:paraId="7CFC0151">
      <w:pPr>
        <w:rPr>
          <w:highlight w:val="none"/>
        </w:rPr>
      </w:pPr>
    </w:p>
    <w:p w14:paraId="334CFCEC">
      <w:pPr>
        <w:keepNext/>
        <w:keepLines/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szCs w:val="21"/>
          <w:highlight w:val="none"/>
        </w:rPr>
        <w:t>【事项概述】</w:t>
      </w:r>
    </w:p>
    <w:p w14:paraId="09B3BB57"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税</w:t>
      </w:r>
      <w:r>
        <w:rPr>
          <w:rFonts w:hint="eastAsia" w:ascii="宋体" w:hAnsi="宋体" w:eastAsia="宋体" w:cs="宋体"/>
          <w:bCs/>
          <w:szCs w:val="21"/>
          <w:highlight w:val="none"/>
        </w:rPr>
        <w:t>务人员在核定应纳税额、调整税收定额、进行税务检查、实施税务行政处罚、办理税务行政复议、实施听证时，当事人认为税务人员与纳税人、扣缴义务人等行政相对人或者其法定代表人、直接责任人有利害关系的有权申请回避</w:t>
      </w:r>
      <w:r>
        <w:rPr>
          <w:rFonts w:hint="eastAsia" w:ascii="宋体" w:hAnsi="宋体" w:eastAsia="宋体" w:cs="宋体"/>
          <w:bCs/>
          <w:szCs w:val="21"/>
          <w:highlight w:val="none"/>
        </w:rPr>
        <w:t>。</w:t>
      </w:r>
      <w:r>
        <w:rPr>
          <w:rFonts w:hint="eastAsia" w:ascii="宋体" w:hAnsi="宋体" w:eastAsia="宋体" w:cs="宋体"/>
          <w:bCs/>
          <w:szCs w:val="21"/>
          <w:highlight w:val="none"/>
        </w:rPr>
        <w:t>对驳回申请回避的决定，如果法律法规允许当事人复核一次，税务机关应当准许。</w:t>
      </w:r>
    </w:p>
    <w:p w14:paraId="038FA5A8">
      <w:pPr>
        <w:keepNext/>
        <w:keepLines/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【办理类别】</w:t>
      </w:r>
    </w:p>
    <w:p w14:paraId="39C283A4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highlight w:val="none"/>
        </w:rPr>
      </w:pPr>
      <w:r>
        <w:rPr>
          <w:rFonts w:ascii="宋体" w:hAnsi="宋体" w:eastAsia="宋体" w:cs="宋体"/>
          <w:bCs/>
          <w:highlight w:val="none"/>
        </w:rPr>
        <w:t>办理方式：线下</w:t>
      </w:r>
    </w:p>
    <w:p w14:paraId="34577465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highlight w:val="none"/>
        </w:rPr>
      </w:pPr>
      <w:r>
        <w:rPr>
          <w:rFonts w:hint="eastAsia" w:ascii="宋体" w:hAnsi="宋体" w:eastAsia="宋体" w:cs="宋体"/>
          <w:bCs/>
          <w:highlight w:val="none"/>
        </w:rPr>
        <w:t>办理时限：按具体任务要求</w:t>
      </w:r>
    </w:p>
    <w:p w14:paraId="0A2AB879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highlight w:val="none"/>
        </w:rPr>
      </w:pPr>
      <w:r>
        <w:rPr>
          <w:rFonts w:hint="eastAsia" w:ascii="宋体" w:hAnsi="宋体" w:eastAsia="宋体" w:cs="宋体"/>
          <w:bCs/>
          <w:highlight w:val="none"/>
        </w:rPr>
        <w:t>办理层级：区县级、市级、省级</w:t>
      </w:r>
    </w:p>
    <w:p w14:paraId="1C67272B">
      <w:pPr>
        <w:keepNext/>
        <w:keepLines/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【办理流程】</w:t>
      </w:r>
    </w:p>
    <w:p w14:paraId="50F2094D">
      <w:pPr>
        <w:keepNext/>
        <w:keepLines/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线下流程：申请—受理—审批—出件</w:t>
      </w:r>
    </w:p>
    <w:p w14:paraId="7AE485D2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税务人员在核定应纳税额、调整税收定额、进行税务检查、实施税务行政处罚、办理税务行政复议、实施听证时，当事人认为税务人员与纳税人、扣缴义务人等行政相对人或者其法定代表人、直接责任人有利害关系的有权申请回避。</w:t>
      </w:r>
    </w:p>
    <w:p w14:paraId="2D900FA3">
      <w:pPr>
        <w:keepNext/>
        <w:keepLines/>
        <w:spacing w:line="360" w:lineRule="auto"/>
        <w:ind w:firstLine="422" w:firstLineChars="200"/>
        <w:rPr>
          <w:rFonts w:hint="eastAsia" w:ascii="宋体" w:hAnsi="宋体" w:eastAsia="宋体" w:cs="宋体"/>
          <w:b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【资料处理】</w:t>
      </w:r>
    </w:p>
    <w:p w14:paraId="4653A492">
      <w:pPr>
        <w:keepNext/>
        <w:tabs>
          <w:tab w:val="center" w:pos="4200"/>
        </w:tabs>
        <w:spacing w:line="360" w:lineRule="auto"/>
        <w:ind w:firstLine="100"/>
        <w:jc w:val="center"/>
        <w:rPr>
          <w:rFonts w:hint="eastAsia" w:ascii="宋体" w:hAnsi="宋体" w:eastAsia="宋体" w:cs="宋体"/>
          <w:b/>
          <w:kern w:val="0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  <w:highlight w:val="none"/>
        </w:rPr>
        <w:t>申请税务人员回避处理报送资料清单</w:t>
      </w:r>
    </w:p>
    <w:tbl>
      <w:tblPr>
        <w:tblStyle w:val="4"/>
        <w:tblW w:w="85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139"/>
        <w:gridCol w:w="624"/>
        <w:gridCol w:w="624"/>
        <w:gridCol w:w="624"/>
        <w:gridCol w:w="624"/>
        <w:gridCol w:w="624"/>
        <w:gridCol w:w="624"/>
      </w:tblGrid>
      <w:tr w14:paraId="0824D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69307B9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highlight w:val="none"/>
              </w:rPr>
              <w:t>序号</w:t>
            </w:r>
          </w:p>
        </w:tc>
        <w:tc>
          <w:tcPr>
            <w:tcW w:w="413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666B3B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highlight w:val="none"/>
              </w:rPr>
              <w:t>报送资料名称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17389F0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highlight w:val="none"/>
              </w:rPr>
              <w:t>必报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67C93F0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highlight w:val="none"/>
              </w:rPr>
              <w:t>条件报送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12EF39A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highlight w:val="none"/>
              </w:rPr>
              <w:t>归档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6D5842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highlight w:val="none"/>
              </w:rPr>
              <w:t>查验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6EF7A38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highlight w:val="none"/>
              </w:rPr>
              <w:t>代保管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5B6C0D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highlight w:val="none"/>
              </w:rPr>
              <w:t>核销</w:t>
            </w:r>
          </w:p>
        </w:tc>
      </w:tr>
      <w:tr w14:paraId="59728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405CAE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1</w:t>
            </w:r>
          </w:p>
        </w:tc>
        <w:tc>
          <w:tcPr>
            <w:tcW w:w="4139" w:type="dxa"/>
            <w:tcBorders>
              <w:top w:val="single" w:color="auto" w:sz="6" w:space="0"/>
            </w:tcBorders>
            <w:noWrap w:val="0"/>
            <w:vAlign w:val="top"/>
          </w:tcPr>
          <w:p w14:paraId="11BDA3B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《回避申请书》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02554E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4E7F1E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6580E6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37C499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1719F5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4A779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highlight w:val="none"/>
              </w:rPr>
            </w:pPr>
          </w:p>
        </w:tc>
      </w:tr>
    </w:tbl>
    <w:p w14:paraId="6FA32E58">
      <w:pPr>
        <w:keepNext/>
        <w:keepLines/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【政策依据】</w:t>
      </w:r>
    </w:p>
    <w:p w14:paraId="3C09750A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1.《中华人民共和国税收征收管理法》（中华人民共和国主席令〔2001〕第四十九号）</w:t>
      </w:r>
    </w:p>
    <w:p w14:paraId="748F499C">
      <w:pPr>
        <w:spacing w:line="360" w:lineRule="auto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2．</w:t>
      </w:r>
      <w:r>
        <w:rPr>
          <w:rFonts w:hint="eastAsia" w:ascii="宋体" w:hAnsi="宋体" w:eastAsia="宋体" w:cs="宋体"/>
          <w:bCs/>
          <w:szCs w:val="21"/>
          <w:highlight w:val="none"/>
        </w:rPr>
        <w:t>《中华人民共和国税收征收管理法实施细则》（</w:t>
      </w:r>
      <w:r>
        <w:rPr>
          <w:rFonts w:hint="eastAsia" w:ascii="宋体" w:hAnsi="宋体" w:eastAsia="宋体" w:cs="宋体"/>
          <w:szCs w:val="21"/>
          <w:highlight w:val="none"/>
        </w:rPr>
        <w:t>中华人民共和国国务院令第362号</w:t>
      </w:r>
      <w:r>
        <w:rPr>
          <w:rFonts w:hint="eastAsia" w:ascii="宋体" w:hAnsi="宋体" w:eastAsia="宋体" w:cs="宋体"/>
          <w:bCs/>
          <w:szCs w:val="21"/>
          <w:highlight w:val="none"/>
        </w:rPr>
        <w:t>）</w:t>
      </w:r>
    </w:p>
    <w:bookmarkEnd w:id="0"/>
    <w:p w14:paraId="52EE15F1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A56DB"/>
    <w:rsid w:val="39064367"/>
    <w:rsid w:val="41194426"/>
    <w:rsid w:val="5D20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972</Words>
  <Characters>1005</Characters>
  <Lines>0</Lines>
  <Paragraphs>0</Paragraphs>
  <TotalTime>1</TotalTime>
  <ScaleCrop>false</ScaleCrop>
  <LinksUpToDate>false</LinksUpToDate>
  <CharactersWithSpaces>1007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2025-03-02T02:20:00Z</dcterms:created>
  <dc:creator>tsuser</dc:creator>
  <cp:lastModifiedBy>默默</cp:lastModifiedBy>
  <dcterms:modified xsi:type="dcterms:W3CDTF">2025-07-09T08:36:04Z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8516B10857154C04898DEA2EBED470A9_12</vt:lpwstr>
  </property>
</Properties>
</file>