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5DC71">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13.1.6  纳税人放弃增值税免（减）税权声明——6025</w:t>
      </w:r>
    </w:p>
    <w:p w14:paraId="58F3F88B">
      <w:pPr>
        <w:pStyle w:val="2"/>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i w:val="0"/>
          <w:iCs w:val="0"/>
          <w:caps w:val="0"/>
          <w:color w:val="333333"/>
          <w:spacing w:val="0"/>
          <w:kern w:val="0"/>
          <w:sz w:val="24"/>
          <w:szCs w:val="24"/>
          <w:highlight w:val="cyan"/>
          <w:u w:val="none"/>
          <w:shd w:val="clear" w:fill="FFFFFF"/>
          <w:vertAlign w:val="baseline"/>
          <w:lang w:val="en-US" w:eastAsia="zh-CN" w:bidi="ar"/>
        </w:rPr>
      </w:pPr>
    </w:p>
    <w:p w14:paraId="509D2F9E">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【事项概述】</w:t>
      </w:r>
    </w:p>
    <w:p w14:paraId="4196575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生产和销售免征增值税货物或劳务、提供免征增值税应税服务的纳税人要求放弃免税权，应当以书面形式提交放弃免税权声明，报主管税务机关备案。纳税人自提交备案资料的次月起，按照现行有关规定计算缴纳增值税。</w:t>
      </w:r>
    </w:p>
    <w:p w14:paraId="7374EDF0">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【办理类别】</w:t>
      </w:r>
    </w:p>
    <w:p w14:paraId="152D55E8">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sz w:val="24"/>
          <w:szCs w:val="24"/>
        </w:rPr>
      </w:pPr>
      <w:r>
        <w:rPr>
          <w:rFonts w:hint="eastAsia" w:ascii="宋体" w:hAnsi="宋体" w:eastAsia="宋体" w:cs="宋体"/>
          <w:bCs/>
          <w:sz w:val="24"/>
          <w:szCs w:val="24"/>
          <w:lang w:bidi="ar"/>
        </w:rPr>
        <w:t>办理方式：线上（全程在线自主办结）/线下</w:t>
      </w:r>
    </w:p>
    <w:p w14:paraId="6A5305EE">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lang w:bidi="ar"/>
        </w:rPr>
        <w:t>办理时限：即时办结</w:t>
      </w:r>
    </w:p>
    <w:p w14:paraId="702A58F5">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lang w:bidi="ar"/>
        </w:rPr>
        <w:t>办理层级：</w:t>
      </w:r>
      <w:r>
        <w:rPr>
          <w:rFonts w:hint="eastAsia" w:ascii="宋体" w:hAnsi="宋体" w:eastAsia="宋体" w:cs="宋体"/>
          <w:sz w:val="24"/>
          <w:szCs w:val="24"/>
          <w:lang w:bidi="ar"/>
        </w:rPr>
        <w:t>区县级</w:t>
      </w:r>
    </w:p>
    <w:p w14:paraId="4EA2ED5F">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【办理流程】</w:t>
      </w:r>
    </w:p>
    <w:p w14:paraId="6C7DF4A5">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1.线上流程：申请—受理—出件</w:t>
      </w:r>
    </w:p>
    <w:p w14:paraId="4F67884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纳税人通过全国统一规范电子税务局“</w:t>
      </w:r>
      <w:r>
        <w:rPr>
          <w:rFonts w:hint="eastAsia" w:ascii="宋体" w:hAnsi="宋体" w:eastAsia="宋体" w:cs="宋体"/>
          <w:bCs/>
          <w:sz w:val="24"/>
          <w:szCs w:val="24"/>
          <w:lang w:bidi="ar"/>
        </w:rPr>
        <w:t>纳税人放弃增值税免（减）税权声明</w:t>
      </w:r>
      <w:r>
        <w:rPr>
          <w:rFonts w:hint="eastAsia" w:ascii="宋体" w:hAnsi="宋体" w:eastAsia="宋体" w:cs="宋体"/>
          <w:sz w:val="24"/>
          <w:szCs w:val="24"/>
          <w:lang w:bidi="ar"/>
        </w:rPr>
        <w:t>”功能填报声明信息。</w:t>
      </w:r>
    </w:p>
    <w:p w14:paraId="026207A8">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2.线下流程：申请—受理—出件</w:t>
      </w:r>
    </w:p>
    <w:p w14:paraId="6E2E511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bidi="ar"/>
        </w:rPr>
        <w:t>同线上流程</w:t>
      </w:r>
      <w:r>
        <w:rPr>
          <w:rFonts w:hint="eastAsia" w:ascii="宋体" w:hAnsi="宋体" w:eastAsia="宋体" w:cs="宋体"/>
          <w:sz w:val="24"/>
          <w:szCs w:val="24"/>
          <w:lang w:bidi="ar"/>
        </w:rPr>
        <w:t>。</w:t>
      </w:r>
    </w:p>
    <w:p w14:paraId="5B6F1941">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【资料处理】</w:t>
      </w:r>
    </w:p>
    <w:p w14:paraId="3468F827">
      <w:pPr>
        <w:pStyle w:val="7"/>
        <w:keepNext/>
        <w:pageBreakBefore w:val="0"/>
        <w:widowControl w:val="0"/>
        <w:tabs>
          <w:tab w:val="center" w:pos="4200"/>
        </w:tabs>
        <w:kinsoku/>
        <w:wordWrap/>
        <w:topLinePunct w:val="0"/>
        <w:bidi w:val="0"/>
        <w:snapToGrid/>
        <w:spacing w:before="157" w:beforeLines="50" w:beforeAutospacing="0" w:after="157" w:afterLines="50" w:afterAutospacing="0" w:line="360" w:lineRule="auto"/>
        <w:ind w:firstLine="100"/>
        <w:jc w:val="center"/>
        <w:rPr>
          <w:rFonts w:hint="eastAsia" w:ascii="宋体" w:hAnsi="宋体" w:eastAsia="宋体" w:cs="宋体"/>
          <w:sz w:val="24"/>
          <w:szCs w:val="24"/>
        </w:rPr>
      </w:pPr>
      <w:r>
        <w:rPr>
          <w:rFonts w:hint="eastAsia" w:ascii="宋体" w:hAnsi="宋体" w:eastAsia="宋体" w:cs="宋体"/>
          <w:b/>
          <w:sz w:val="24"/>
          <w:szCs w:val="24"/>
          <w:lang w:bidi="ar"/>
        </w:rPr>
        <w:t>纳税人放弃免税权备案报送资料清单</w:t>
      </w: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4317"/>
        <w:gridCol w:w="457"/>
        <w:gridCol w:w="624"/>
        <w:gridCol w:w="624"/>
        <w:gridCol w:w="624"/>
        <w:gridCol w:w="624"/>
        <w:gridCol w:w="624"/>
      </w:tblGrid>
      <w:tr w14:paraId="77C0C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66" w:type="pct"/>
            <w:tcBorders>
              <w:top w:val="single" w:color="auto" w:sz="12" w:space="0"/>
              <w:left w:val="single" w:color="auto" w:sz="12" w:space="0"/>
              <w:bottom w:val="single" w:color="auto" w:sz="6" w:space="0"/>
              <w:right w:val="single" w:color="auto" w:sz="6" w:space="0"/>
            </w:tcBorders>
            <w:shd w:val="clear" w:color="auto" w:fill="E0E0E0"/>
            <w:noWrap w:val="0"/>
            <w:vAlign w:val="center"/>
          </w:tcPr>
          <w:p w14:paraId="4AE9C51F">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2533"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0EA19731">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报送资料名称</w:t>
            </w:r>
          </w:p>
        </w:tc>
        <w:tc>
          <w:tcPr>
            <w:tcW w:w="268"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1D2CC857">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必报</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A46D79A">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条件报送</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6934335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归档</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254E60B3">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查验</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7CB9E9F1">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代保管</w:t>
            </w:r>
          </w:p>
        </w:tc>
        <w:tc>
          <w:tcPr>
            <w:tcW w:w="366" w:type="pct"/>
            <w:tcBorders>
              <w:top w:val="single" w:color="auto" w:sz="12" w:space="0"/>
              <w:left w:val="single" w:color="auto" w:sz="6" w:space="0"/>
              <w:bottom w:val="single" w:color="auto" w:sz="6" w:space="0"/>
              <w:right w:val="single" w:color="auto" w:sz="12" w:space="0"/>
            </w:tcBorders>
            <w:shd w:val="clear" w:color="auto" w:fill="E0E0E0"/>
            <w:noWrap w:val="0"/>
            <w:vAlign w:val="center"/>
          </w:tcPr>
          <w:p w14:paraId="6F712A01">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lang w:bidi="ar"/>
              </w:rPr>
              <w:t>核销</w:t>
            </w:r>
          </w:p>
        </w:tc>
      </w:tr>
      <w:tr w14:paraId="5381B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6" w:type="pct"/>
            <w:tcBorders>
              <w:top w:val="single" w:color="auto" w:sz="6" w:space="0"/>
              <w:left w:val="single" w:color="auto" w:sz="12" w:space="0"/>
              <w:bottom w:val="single" w:color="auto" w:sz="6" w:space="0"/>
              <w:right w:val="single" w:color="auto" w:sz="6" w:space="0"/>
            </w:tcBorders>
            <w:noWrap w:val="0"/>
            <w:vAlign w:val="top"/>
          </w:tcPr>
          <w:p w14:paraId="2A125339">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1</w:t>
            </w:r>
          </w:p>
        </w:tc>
        <w:tc>
          <w:tcPr>
            <w:tcW w:w="2533" w:type="pct"/>
            <w:tcBorders>
              <w:top w:val="single" w:color="auto" w:sz="6" w:space="0"/>
              <w:left w:val="single" w:color="auto" w:sz="6" w:space="0"/>
              <w:bottom w:val="single" w:color="auto" w:sz="6" w:space="0"/>
              <w:right w:val="single" w:color="auto" w:sz="6" w:space="0"/>
            </w:tcBorders>
            <w:noWrap w:val="0"/>
            <w:vAlign w:val="top"/>
          </w:tcPr>
          <w:p w14:paraId="0266A226">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《增值税纳税人放弃免税权声明表》</w:t>
            </w:r>
          </w:p>
        </w:tc>
        <w:tc>
          <w:tcPr>
            <w:tcW w:w="268" w:type="pct"/>
            <w:tcBorders>
              <w:top w:val="single" w:color="auto" w:sz="6" w:space="0"/>
              <w:left w:val="single" w:color="auto" w:sz="6" w:space="0"/>
              <w:bottom w:val="single" w:color="auto" w:sz="6" w:space="0"/>
              <w:right w:val="single" w:color="auto" w:sz="6" w:space="0"/>
            </w:tcBorders>
            <w:noWrap w:val="0"/>
            <w:vAlign w:val="top"/>
          </w:tcPr>
          <w:p w14:paraId="64FDA703">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66FEE66E">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DFF8CE2">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1FAC70BD">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679FEA15">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42545307">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r>
      <w:tr w14:paraId="4D4BA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6" w:type="pct"/>
            <w:tcBorders>
              <w:top w:val="single" w:color="auto" w:sz="6" w:space="0"/>
              <w:left w:val="single" w:color="auto" w:sz="12" w:space="0"/>
              <w:bottom w:val="single" w:color="auto" w:sz="6" w:space="0"/>
              <w:right w:val="single" w:color="auto" w:sz="6" w:space="0"/>
            </w:tcBorders>
            <w:noWrap w:val="0"/>
            <w:vAlign w:val="top"/>
          </w:tcPr>
          <w:p w14:paraId="3491E3C4">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2</w:t>
            </w:r>
          </w:p>
        </w:tc>
        <w:tc>
          <w:tcPr>
            <w:tcW w:w="2533" w:type="pct"/>
            <w:tcBorders>
              <w:top w:val="single" w:color="auto" w:sz="6" w:space="0"/>
              <w:left w:val="single" w:color="auto" w:sz="6" w:space="0"/>
              <w:bottom w:val="single" w:color="auto" w:sz="6" w:space="0"/>
              <w:right w:val="single" w:color="auto" w:sz="6" w:space="0"/>
            </w:tcBorders>
            <w:noWrap w:val="0"/>
            <w:vAlign w:val="top"/>
          </w:tcPr>
          <w:p w14:paraId="29B5F99D">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纳税人身份证件原件</w:t>
            </w:r>
          </w:p>
        </w:tc>
        <w:tc>
          <w:tcPr>
            <w:tcW w:w="268" w:type="pct"/>
            <w:tcBorders>
              <w:top w:val="single" w:color="auto" w:sz="6" w:space="0"/>
              <w:left w:val="single" w:color="auto" w:sz="6" w:space="0"/>
              <w:bottom w:val="single" w:color="auto" w:sz="6" w:space="0"/>
              <w:right w:val="single" w:color="auto" w:sz="6" w:space="0"/>
            </w:tcBorders>
            <w:noWrap w:val="0"/>
            <w:vAlign w:val="top"/>
          </w:tcPr>
          <w:p w14:paraId="31F1D008">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45C64A9F">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7B59B0CA">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2ED7EFF1">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5026D9BB">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5CD160F3">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r>
      <w:tr w14:paraId="7675E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6" w:type="pct"/>
            <w:tcBorders>
              <w:top w:val="single" w:color="auto" w:sz="6" w:space="0"/>
              <w:left w:val="single" w:color="auto" w:sz="12" w:space="0"/>
              <w:bottom w:val="single" w:color="auto" w:sz="12" w:space="0"/>
              <w:right w:val="single" w:color="auto" w:sz="6" w:space="0"/>
            </w:tcBorders>
            <w:noWrap w:val="0"/>
            <w:vAlign w:val="top"/>
          </w:tcPr>
          <w:p w14:paraId="4E5FF8F1">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3</w:t>
            </w:r>
          </w:p>
        </w:tc>
        <w:tc>
          <w:tcPr>
            <w:tcW w:w="2533" w:type="pct"/>
            <w:tcBorders>
              <w:top w:val="single" w:color="auto" w:sz="6" w:space="0"/>
              <w:left w:val="single" w:color="auto" w:sz="6" w:space="0"/>
              <w:bottom w:val="single" w:color="auto" w:sz="12" w:space="0"/>
              <w:right w:val="single" w:color="auto" w:sz="6" w:space="0"/>
            </w:tcBorders>
            <w:noWrap w:val="0"/>
            <w:vAlign w:val="top"/>
          </w:tcPr>
          <w:p w14:paraId="28DB6486">
            <w:pPr>
              <w:pStyle w:val="7"/>
              <w:pageBreakBefore w:val="0"/>
              <w:widowControl w:val="0"/>
              <w:kinsoku/>
              <w:wordWrap/>
              <w:topLinePunct w:val="0"/>
              <w:bidi w:val="0"/>
              <w:snapToGrid/>
              <w:spacing w:before="157" w:beforeLines="50" w:beforeAutospacing="0" w:after="157" w:afterLines="50" w:afterAutospacing="0" w:line="360" w:lineRule="auto"/>
              <w:rPr>
                <w:rFonts w:hint="eastAsia" w:ascii="宋体" w:hAnsi="宋体" w:eastAsia="宋体" w:cs="宋体"/>
                <w:kern w:val="2"/>
                <w:sz w:val="24"/>
                <w:szCs w:val="24"/>
              </w:rPr>
            </w:pPr>
            <w:r>
              <w:rPr>
                <w:rFonts w:hint="eastAsia" w:ascii="宋体" w:hAnsi="宋体" w:eastAsia="宋体" w:cs="宋体"/>
                <w:kern w:val="2"/>
                <w:sz w:val="24"/>
                <w:szCs w:val="24"/>
                <w:lang w:bidi="ar"/>
              </w:rPr>
              <w:t>《出口货物劳务放弃免税权声明表》</w:t>
            </w:r>
          </w:p>
        </w:tc>
        <w:tc>
          <w:tcPr>
            <w:tcW w:w="268" w:type="pct"/>
            <w:tcBorders>
              <w:top w:val="single" w:color="auto" w:sz="6" w:space="0"/>
              <w:left w:val="single" w:color="auto" w:sz="6" w:space="0"/>
              <w:bottom w:val="single" w:color="auto" w:sz="12" w:space="0"/>
              <w:right w:val="single" w:color="auto" w:sz="6" w:space="0"/>
            </w:tcBorders>
            <w:noWrap w:val="0"/>
            <w:vAlign w:val="top"/>
          </w:tcPr>
          <w:p w14:paraId="0DFA8F4C">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068F5D67">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12" w:space="0"/>
              <w:right w:val="single" w:color="auto" w:sz="6" w:space="0"/>
            </w:tcBorders>
            <w:noWrap w:val="0"/>
            <w:vAlign w:val="top"/>
          </w:tcPr>
          <w:p w14:paraId="0BD3FB05">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490AFF31">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12" w:space="0"/>
              <w:right w:val="single" w:color="auto" w:sz="6" w:space="0"/>
            </w:tcBorders>
            <w:noWrap w:val="0"/>
            <w:vAlign w:val="top"/>
          </w:tcPr>
          <w:p w14:paraId="4527859D">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c>
          <w:tcPr>
            <w:tcW w:w="366" w:type="pct"/>
            <w:tcBorders>
              <w:top w:val="single" w:color="auto" w:sz="6" w:space="0"/>
              <w:left w:val="single" w:color="auto" w:sz="6" w:space="0"/>
              <w:bottom w:val="single" w:color="auto" w:sz="12" w:space="0"/>
              <w:right w:val="single" w:color="auto" w:sz="12" w:space="0"/>
            </w:tcBorders>
            <w:noWrap w:val="0"/>
            <w:vAlign w:val="top"/>
          </w:tcPr>
          <w:p w14:paraId="2059F7AA">
            <w:pPr>
              <w:pStyle w:val="7"/>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rPr>
            </w:pPr>
          </w:p>
        </w:tc>
      </w:tr>
    </w:tbl>
    <w:p w14:paraId="6082B621">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【政策依据】</w:t>
      </w:r>
    </w:p>
    <w:p w14:paraId="0637C21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1.《中华人民共和国增值税暂行条例实施细则》（财政部国家税务总局令50号）第三十六条</w:t>
      </w:r>
    </w:p>
    <w:p w14:paraId="7A0D622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2.《财政部国家税务总局关于增值税纳税人放弃免税权有关问题的通知》（财税〔2007〕127号）</w:t>
      </w:r>
    </w:p>
    <w:p w14:paraId="61E9880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3.《财政部国家税务总局关于公布若干废止和失效的增值税规范性文件目录的通知》（财税〔2009〕17号）</w:t>
      </w:r>
    </w:p>
    <w:p w14:paraId="19B10DA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4.《财政部、国家税务总局关于全面推开营业税改征增值税试点的通知》（财税〔2016〕36号）</w:t>
      </w:r>
    </w:p>
    <w:p w14:paraId="4DFDED0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5.《国家税务总局关于明确二手车经销等若干增值税征管问题的公告》（国家税务总局公告2020年第9号）</w:t>
      </w:r>
    </w:p>
    <w:bookmarkEnd w:id="0"/>
    <w:p w14:paraId="54BE97ED">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p>
    <w:p w14:paraId="210117C4">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p>
    <w:p w14:paraId="736D9F8D">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p>
    <w:p w14:paraId="357D2319">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437DA"/>
    <w:multiLevelType w:val="multilevel"/>
    <w:tmpl w:val="7B1437DA"/>
    <w:lvl w:ilvl="0" w:tentative="0">
      <w:start w:val="1"/>
      <w:numFmt w:val="bullet"/>
      <w:lvlText w:val=""/>
      <w:lvlJc w:val="left"/>
      <w:pPr>
        <w:ind w:left="562"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80665"/>
    <w:rsid w:val="55574F28"/>
    <w:rsid w:val="7A3A497D"/>
    <w:rsid w:val="7A71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1440</Words>
  <Characters>1489</Characters>
  <Lines>0</Lines>
  <Paragraphs>0</Paragraphs>
  <TotalTime>3</TotalTime>
  <ScaleCrop>false</ScaleCrop>
  <LinksUpToDate>false</LinksUpToDate>
  <CharactersWithSpaces>1491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2025-03-01T12:19:00Z</dcterms:created>
  <dc:creator>fzr</dc:creator>
  <cp:lastModifiedBy>默默</cp:lastModifiedBy>
  <dcterms:modified xsi:type="dcterms:W3CDTF">2025-07-09T08:49:47Z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5B04E401C984423CB08668739CB8E3FD_12</vt:lpwstr>
  </property>
</Properties>
</file>