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F2CA9">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2.1.2  年度汇算（取得境外所得适用）——1020</w:t>
      </w:r>
    </w:p>
    <w:p w14:paraId="23879E7E">
      <w:pPr>
        <w:pStyle w:val="2"/>
        <w:rPr>
          <w:rFonts w:hint="eastAsia"/>
          <w:lang w:val="en-US" w:eastAsia="zh-CN"/>
        </w:rPr>
      </w:pPr>
    </w:p>
    <w:p w14:paraId="53E3204A">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highlight w:val="none"/>
          <w:lang w:val="en-US" w:eastAsia="zh-CN"/>
        </w:rPr>
      </w:pPr>
      <w:bookmarkStart w:id="1" w:name="_GoBack"/>
      <w:r>
        <w:rPr>
          <w:rFonts w:hint="eastAsia" w:ascii="宋体" w:hAnsi="宋体" w:eastAsia="宋体" w:cs="宋体"/>
          <w:sz w:val="24"/>
          <w:szCs w:val="24"/>
          <w:highlight w:val="none"/>
          <w:lang w:val="en-US" w:eastAsia="zh-CN"/>
        </w:rPr>
        <w:t>一、适用情形</w:t>
      </w:r>
    </w:p>
    <w:p w14:paraId="06DDF8F9">
      <w:pPr>
        <w:pageBreakBefore w:val="0"/>
        <w:kinsoku/>
        <w:wordWrap/>
        <w:bidi w:val="0"/>
        <w:snapToGrid/>
        <w:spacing w:before="157" w:beforeLines="50" w:after="120"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居民个人从中国境外取得所得的，应当按照法律、法规的规定向税务机关申报缴纳个人所得税。</w:t>
      </w:r>
    </w:p>
    <w:p w14:paraId="015946B1">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二、文件依据</w:t>
      </w:r>
    </w:p>
    <w:p w14:paraId="1890D8DF">
      <w:pPr>
        <w:pageBreakBefore w:val="0"/>
        <w:kinsoku/>
        <w:wordWrap/>
        <w:bidi w:val="0"/>
        <w:snapToGrid/>
        <w:spacing w:before="157" w:beforeLines="50" w:after="120" w:line="360" w:lineRule="auto"/>
        <w:ind w:firstLine="420" w:firstLineChars="200"/>
        <w:rPr>
          <w:rFonts w:hint="eastAsia" w:ascii="宋体" w:hAnsi="宋体" w:eastAsia="宋体" w:cs="宋体"/>
          <w:bCs/>
          <w:sz w:val="24"/>
          <w:szCs w:val="24"/>
          <w:highlight w:val="none"/>
        </w:rPr>
      </w:pPr>
      <w:r>
        <w:rPr>
          <w:rFonts w:hint="eastAsia" w:ascii="宋体" w:hAnsi="宋体" w:eastAsia="宋体" w:cs="宋体"/>
          <w:sz w:val="21"/>
          <w:szCs w:val="21"/>
          <w:highlight w:val="none"/>
        </w:rPr>
        <w:t>1.</w:t>
      </w:r>
      <w:r>
        <w:rPr>
          <w:rFonts w:hint="eastAsia" w:ascii="宋体" w:hAnsi="宋体" w:eastAsia="宋体" w:cs="宋体"/>
          <w:bCs/>
          <w:sz w:val="24"/>
          <w:szCs w:val="24"/>
          <w:highlight w:val="none"/>
        </w:rPr>
        <w:t>《国家税务总局关于个人所得税自行申报有关问题的公告》（</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"https://ssfb86.com/index/News/detail/newsid/241.html" </w:instrText>
      </w:r>
      <w:r>
        <w:rPr>
          <w:rFonts w:hint="eastAsia" w:ascii="宋体" w:hAnsi="宋体" w:eastAsia="宋体" w:cs="宋体"/>
          <w:bCs/>
          <w:sz w:val="24"/>
          <w:szCs w:val="24"/>
          <w:highlight w:val="none"/>
        </w:rPr>
        <w:fldChar w:fldCharType="separate"/>
      </w:r>
      <w:r>
        <w:rPr>
          <w:rStyle w:val="9"/>
          <w:rFonts w:hint="eastAsia" w:ascii="宋体" w:hAnsi="宋体" w:eastAsia="宋体" w:cs="宋体"/>
          <w:bCs/>
          <w:sz w:val="24"/>
          <w:szCs w:val="24"/>
          <w:highlight w:val="none"/>
        </w:rPr>
        <w:t>国家税务总局公告2018年第62号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61CFB391">
      <w:pPr>
        <w:pageBreakBefore w:val="0"/>
        <w:widowControl/>
        <w:kinsoku/>
        <w:wordWrap/>
        <w:bidi w:val="0"/>
        <w:snapToGrid/>
        <w:spacing w:before="157" w:beforeLines="50" w:after="120" w:line="360" w:lineRule="auto"/>
        <w:ind w:firstLine="480" w:firstLineChars="200"/>
        <w:jc w:val="left"/>
        <w:rPr>
          <w:rFonts w:hint="eastAsia" w:ascii="宋体" w:hAnsi="宋体" w:eastAsia="宋体" w:cs="宋体"/>
          <w:bCs/>
          <w:kern w:val="0"/>
          <w:sz w:val="24"/>
          <w:szCs w:val="24"/>
          <w:highlight w:val="none"/>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w:t>
      </w:r>
      <w:r>
        <w:rPr>
          <w:rFonts w:hint="eastAsia" w:ascii="宋体" w:hAnsi="宋体" w:eastAsia="宋体" w:cs="宋体"/>
          <w:bCs/>
          <w:kern w:val="0"/>
          <w:sz w:val="24"/>
          <w:szCs w:val="24"/>
          <w:highlight w:val="none"/>
        </w:rPr>
        <w:t>《</w:t>
      </w:r>
      <w:r>
        <w:rPr>
          <w:rFonts w:hint="eastAsia" w:ascii="宋体" w:hAnsi="宋体" w:eastAsia="宋体" w:cs="宋体"/>
          <w:bCs/>
          <w:sz w:val="24"/>
          <w:szCs w:val="24"/>
          <w:highlight w:val="none"/>
        </w:rPr>
        <w:t>国家税务总局关于修订个人所得税申报表的公告</w:t>
      </w:r>
      <w:r>
        <w:rPr>
          <w:rFonts w:hint="eastAsia" w:ascii="宋体" w:hAnsi="宋体" w:eastAsia="宋体" w:cs="宋体"/>
          <w:bCs/>
          <w:kern w:val="0"/>
          <w:sz w:val="24"/>
          <w:szCs w:val="24"/>
          <w:highlight w:val="none"/>
        </w:rPr>
        <w:t>》（</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"https://ssfb86.com/index/News/detail/newsid/222.html" </w:instrText>
      </w:r>
      <w:r>
        <w:rPr>
          <w:rFonts w:hint="eastAsia" w:ascii="宋体" w:hAnsi="宋体" w:eastAsia="宋体" w:cs="宋体"/>
          <w:bCs/>
          <w:sz w:val="24"/>
          <w:szCs w:val="24"/>
          <w:highlight w:val="none"/>
        </w:rPr>
        <w:fldChar w:fldCharType="separate"/>
      </w:r>
      <w:r>
        <w:rPr>
          <w:rStyle w:val="9"/>
          <w:rFonts w:hint="eastAsia" w:ascii="宋体" w:hAnsi="宋体" w:eastAsia="宋体" w:cs="宋体"/>
          <w:bCs/>
          <w:sz w:val="24"/>
          <w:szCs w:val="24"/>
          <w:highlight w:val="none"/>
        </w:rPr>
        <w:t>国家税务总局公告2019年第7号</w:t>
      </w:r>
      <w:r>
        <w:rPr>
          <w:rFonts w:hint="eastAsia" w:ascii="宋体" w:hAnsi="宋体" w:eastAsia="宋体" w:cs="宋体"/>
          <w:bCs/>
          <w:sz w:val="24"/>
          <w:szCs w:val="24"/>
          <w:highlight w:val="none"/>
        </w:rPr>
        <w:fldChar w:fldCharType="end"/>
      </w:r>
      <w:r>
        <w:rPr>
          <w:rFonts w:hint="eastAsia" w:ascii="宋体" w:hAnsi="宋体" w:eastAsia="宋体" w:cs="宋体"/>
          <w:bCs/>
          <w:kern w:val="0"/>
          <w:sz w:val="24"/>
          <w:szCs w:val="24"/>
          <w:highlight w:val="none"/>
        </w:rPr>
        <w:t>）</w:t>
      </w:r>
    </w:p>
    <w:p w14:paraId="0433E9D4">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.《国家税务总局关于修订部分个人所得税申报表的公告》（</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"https://ssfb86.com/index/News/detail/newsid/85.html" </w:instrText>
      </w:r>
      <w:r>
        <w:rPr>
          <w:rFonts w:hint="eastAsia" w:ascii="宋体" w:hAnsi="宋体" w:eastAsia="宋体" w:cs="宋体"/>
          <w:bCs/>
          <w:sz w:val="24"/>
          <w:szCs w:val="24"/>
          <w:highlight w:val="none"/>
        </w:rPr>
        <w:fldChar w:fldCharType="separate"/>
      </w:r>
      <w:r>
        <w:rPr>
          <w:rStyle w:val="9"/>
          <w:rFonts w:hint="eastAsia" w:ascii="宋体" w:hAnsi="宋体" w:eastAsia="宋体" w:cs="宋体"/>
          <w:bCs/>
          <w:sz w:val="24"/>
          <w:szCs w:val="24"/>
          <w:highlight w:val="none"/>
        </w:rPr>
        <w:t>国家税务总局公告2019年第46号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2B8343AE">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.《财政部 税务总局关于境外所得有关个人所得税政策的公告》（</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"https://ssfb86.com/index/News/detail/newsid/59.html" </w:instrText>
      </w:r>
      <w:r>
        <w:rPr>
          <w:rFonts w:hint="eastAsia" w:ascii="宋体" w:hAnsi="宋体" w:eastAsia="宋体" w:cs="宋体"/>
          <w:bCs/>
          <w:sz w:val="24"/>
          <w:szCs w:val="24"/>
          <w:highlight w:val="none"/>
        </w:rPr>
        <w:fldChar w:fldCharType="separate"/>
      </w:r>
      <w:r>
        <w:rPr>
          <w:rStyle w:val="9"/>
          <w:rFonts w:hint="eastAsia" w:ascii="宋体" w:hAnsi="宋体" w:eastAsia="宋体" w:cs="宋体"/>
          <w:bCs/>
          <w:sz w:val="24"/>
          <w:szCs w:val="24"/>
          <w:highlight w:val="none"/>
        </w:rPr>
        <w:t>财政部 税务总局公告2020年第3号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433E8F6A">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.《国家税务总局关于办理2022年度个人所得税综合所得汇算清缴事项的公告》（</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"https://ssfb86.com/index/News/detail/newsid/12103.html" </w:instrText>
      </w:r>
      <w:r>
        <w:rPr>
          <w:rFonts w:hint="eastAsia" w:ascii="宋体" w:hAnsi="宋体" w:eastAsia="宋体" w:cs="宋体"/>
          <w:bCs/>
          <w:sz w:val="24"/>
          <w:szCs w:val="24"/>
          <w:highlight w:val="none"/>
        </w:rPr>
        <w:fldChar w:fldCharType="separate"/>
      </w:r>
      <w:r>
        <w:rPr>
          <w:rStyle w:val="9"/>
          <w:rFonts w:hint="eastAsia" w:ascii="宋体" w:hAnsi="宋体" w:eastAsia="宋体" w:cs="宋体"/>
          <w:bCs/>
          <w:sz w:val="24"/>
          <w:szCs w:val="24"/>
          <w:highlight w:val="none"/>
        </w:rPr>
        <w:t>总局公告2023年第3号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3BA36224">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6</w:t>
      </w:r>
      <w:r>
        <w:rPr>
          <w:rFonts w:hint="eastAsia" w:ascii="宋体" w:hAnsi="宋体" w:eastAsia="宋体" w:cs="宋体"/>
          <w:bCs/>
          <w:sz w:val="24"/>
          <w:szCs w:val="24"/>
          <w:highlight w:val="none"/>
        </w:rPr>
        <w:t>.《国务院关于提高个人所得税有关专项附加扣除标准的通知》（</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"https://ssfb86.com/index/News/detail/newsid/13232.html" </w:instrText>
      </w:r>
      <w:r>
        <w:rPr>
          <w:rFonts w:hint="eastAsia" w:ascii="宋体" w:hAnsi="宋体" w:eastAsia="宋体" w:cs="宋体"/>
          <w:bCs/>
          <w:sz w:val="24"/>
          <w:szCs w:val="24"/>
          <w:highlight w:val="none"/>
        </w:rPr>
        <w:fldChar w:fldCharType="separate"/>
      </w:r>
      <w:r>
        <w:rPr>
          <w:rStyle w:val="9"/>
          <w:rFonts w:hint="eastAsia" w:ascii="宋体" w:hAnsi="宋体" w:eastAsia="宋体" w:cs="宋体"/>
          <w:bCs/>
          <w:sz w:val="24"/>
          <w:szCs w:val="24"/>
          <w:highlight w:val="none"/>
        </w:rPr>
        <w:t>国发〔2023〕13号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387D7A1C">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7</w:t>
      </w:r>
      <w:r>
        <w:rPr>
          <w:rFonts w:hint="eastAsia" w:ascii="宋体" w:hAnsi="宋体" w:eastAsia="宋体" w:cs="宋体"/>
          <w:bCs/>
          <w:sz w:val="24"/>
          <w:szCs w:val="24"/>
          <w:highlight w:val="none"/>
        </w:rPr>
        <w:t>.《国家税务总局关于贯彻执行提高个人所得税有关专项附加扣除标准政策的公告》（</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"https://ssfb86.com/index/News/detail/newsid/13233.html" </w:instrText>
      </w:r>
      <w:r>
        <w:rPr>
          <w:rFonts w:hint="eastAsia" w:ascii="宋体" w:hAnsi="宋体" w:eastAsia="宋体" w:cs="宋体"/>
          <w:bCs/>
          <w:sz w:val="24"/>
          <w:szCs w:val="24"/>
          <w:highlight w:val="none"/>
        </w:rPr>
        <w:fldChar w:fldCharType="separate"/>
      </w:r>
      <w:r>
        <w:rPr>
          <w:rStyle w:val="9"/>
          <w:rFonts w:hint="eastAsia" w:ascii="宋体" w:hAnsi="宋体" w:eastAsia="宋体" w:cs="宋体"/>
          <w:bCs/>
          <w:sz w:val="24"/>
          <w:szCs w:val="24"/>
          <w:highlight w:val="none"/>
        </w:rPr>
        <w:t>国家税务总局公告2023年第14号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1F30902B">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8</w:t>
      </w:r>
      <w:r>
        <w:rPr>
          <w:rFonts w:hint="eastAsia" w:ascii="宋体" w:hAnsi="宋体" w:eastAsia="宋体" w:cs="宋体"/>
          <w:bCs/>
          <w:sz w:val="24"/>
          <w:szCs w:val="24"/>
          <w:highlight w:val="none"/>
        </w:rPr>
        <w:t>.《财政部 税务总局关于延续实施全年一次性奖金个人所得税政策的公告》（</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"https://ssfb86.com/index/News/detail/newsid/13216.html" </w:instrText>
      </w:r>
      <w:r>
        <w:rPr>
          <w:rFonts w:hint="eastAsia" w:ascii="宋体" w:hAnsi="宋体" w:eastAsia="宋体" w:cs="宋体"/>
          <w:bCs/>
          <w:sz w:val="24"/>
          <w:szCs w:val="24"/>
          <w:highlight w:val="none"/>
        </w:rPr>
        <w:fldChar w:fldCharType="separate"/>
      </w:r>
      <w:r>
        <w:rPr>
          <w:rStyle w:val="9"/>
          <w:rFonts w:hint="eastAsia" w:ascii="宋体" w:hAnsi="宋体" w:eastAsia="宋体" w:cs="宋体"/>
          <w:bCs/>
          <w:sz w:val="24"/>
          <w:szCs w:val="24"/>
          <w:highlight w:val="none"/>
        </w:rPr>
        <w:t>财政部 税务总局公告2023年第30号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278FFCAD">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9</w:t>
      </w:r>
      <w:r>
        <w:rPr>
          <w:rFonts w:hint="eastAsia" w:ascii="宋体" w:hAnsi="宋体" w:eastAsia="宋体" w:cs="宋体"/>
          <w:bCs/>
          <w:sz w:val="24"/>
          <w:szCs w:val="24"/>
          <w:highlight w:val="none"/>
        </w:rPr>
        <w:t>.《财政部 税务总局关于延续实施个人所得税综合所得汇算清缴有关政策的公告》（</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"https://ssfb86.com/index/News/detail/newsid/13217.html" </w:instrText>
      </w:r>
      <w:r>
        <w:rPr>
          <w:rFonts w:hint="eastAsia" w:ascii="宋体" w:hAnsi="宋体" w:eastAsia="宋体" w:cs="宋体"/>
          <w:bCs/>
          <w:sz w:val="24"/>
          <w:szCs w:val="24"/>
          <w:highlight w:val="none"/>
        </w:rPr>
        <w:fldChar w:fldCharType="separate"/>
      </w:r>
      <w:r>
        <w:rPr>
          <w:rStyle w:val="9"/>
          <w:rFonts w:hint="eastAsia" w:ascii="宋体" w:hAnsi="宋体" w:eastAsia="宋体" w:cs="宋体"/>
          <w:bCs/>
          <w:sz w:val="24"/>
          <w:szCs w:val="24"/>
          <w:highlight w:val="none"/>
        </w:rPr>
        <w:t>财政部 税务总局公告2023年第32号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19A64FDE">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10.</w:t>
      </w:r>
      <w:r>
        <w:rPr>
          <w:rFonts w:hint="eastAsia" w:ascii="宋体" w:hAnsi="宋体" w:eastAsia="宋体" w:cs="宋体"/>
          <w:bCs/>
          <w:sz w:val="24"/>
          <w:szCs w:val="24"/>
          <w:highlight w:val="none"/>
        </w:rPr>
        <w:t>个人所得税综合所得汇算清缴管理办法</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eastAsia="zh-CN"/>
        </w:rPr>
        <w:fldChar w:fldCharType="begin"/>
      </w:r>
      <w:r>
        <w:rPr>
          <w:rFonts w:hint="eastAsia" w:ascii="宋体" w:hAnsi="宋体" w:eastAsia="宋体" w:cs="宋体"/>
          <w:bCs/>
          <w:sz w:val="24"/>
          <w:szCs w:val="24"/>
          <w:highlight w:val="none"/>
          <w:lang w:eastAsia="zh-CN"/>
        </w:rPr>
        <w:instrText xml:space="preserve"> HYPERLINK "https://ssfb86.com/index/News/detail/newsid/16459.html" </w:instrText>
      </w:r>
      <w:r>
        <w:rPr>
          <w:rFonts w:hint="eastAsia" w:ascii="宋体" w:hAnsi="宋体" w:eastAsia="宋体" w:cs="宋体"/>
          <w:bCs/>
          <w:sz w:val="24"/>
          <w:szCs w:val="24"/>
          <w:highlight w:val="none"/>
          <w:lang w:eastAsia="zh-CN"/>
        </w:rPr>
        <w:fldChar w:fldCharType="separate"/>
      </w:r>
      <w:r>
        <w:rPr>
          <w:rStyle w:val="9"/>
          <w:rFonts w:hint="eastAsia" w:ascii="宋体" w:hAnsi="宋体" w:eastAsia="宋体" w:cs="宋体"/>
          <w:bCs/>
          <w:sz w:val="24"/>
          <w:szCs w:val="24"/>
          <w:highlight w:val="none"/>
          <w:lang w:eastAsia="zh-CN"/>
        </w:rPr>
        <w:t>国家税务总局令第57号</w:t>
      </w:r>
      <w:r>
        <w:rPr>
          <w:rFonts w:hint="eastAsia" w:ascii="宋体" w:hAnsi="宋体" w:eastAsia="宋体" w:cs="宋体"/>
          <w:bCs/>
          <w:sz w:val="24"/>
          <w:szCs w:val="24"/>
          <w:highlight w:val="none"/>
          <w:lang w:eastAsia="zh-CN"/>
        </w:rPr>
        <w:fldChar w:fldCharType="end"/>
      </w:r>
      <w:r>
        <w:rPr>
          <w:rFonts w:hint="eastAsia" w:ascii="宋体" w:hAnsi="宋体" w:eastAsia="宋体" w:cs="宋体"/>
          <w:bCs/>
          <w:sz w:val="24"/>
          <w:szCs w:val="24"/>
          <w:highlight w:val="none"/>
          <w:lang w:eastAsia="zh-CN"/>
        </w:rPr>
        <w:t>）</w:t>
      </w:r>
    </w:p>
    <w:p w14:paraId="38F36654">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三、相关文书及填写说明</w:t>
      </w:r>
    </w:p>
    <w:p w14:paraId="158DB81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1.</w:t>
      </w:r>
      <w:r>
        <w:rPr>
          <w:rFonts w:hint="eastAsia" w:ascii="宋体" w:hAnsi="宋体" w:eastAsia="宋体" w:cs="宋体"/>
          <w:i w:val="0"/>
          <w:iCs w:val="0"/>
          <w:caps w:val="0"/>
          <w:color w:val="6E6E6E"/>
          <w:spacing w:val="0"/>
          <w:sz w:val="24"/>
          <w:szCs w:val="24"/>
          <w:highlight w:val="none"/>
          <w:u w:val="single"/>
          <w:shd w:val="clear" w:fill="FFFFFF"/>
        </w:rPr>
        <w:fldChar w:fldCharType="begin"/>
      </w:r>
      <w:r>
        <w:rPr>
          <w:rFonts w:hint="eastAsia" w:ascii="宋体" w:hAnsi="宋体" w:eastAsia="宋体" w:cs="宋体"/>
          <w:i w:val="0"/>
          <w:iCs w:val="0"/>
          <w:caps w:val="0"/>
          <w:color w:val="6E6E6E"/>
          <w:spacing w:val="0"/>
          <w:sz w:val="24"/>
          <w:szCs w:val="24"/>
          <w:highlight w:val="none"/>
          <w:u w:val="single"/>
          <w:shd w:val="clear" w:fill="FFFFFF"/>
        </w:rPr>
        <w:instrText xml:space="preserve"> HYPERLINK "http://www.chinatax.gov.cn/chinatax/n363/c5184015/5184015/files/%E4%B8%AA%E4%BA%BA%E6%89%80%E5%BE%97%E7%A8%8E%E7%A8%8E%E7%8E%87%E8%A1%A8%EF%BC%88%E7%BB%BC%E5%90%88%E6%89%80%E5%BE%97%E9%80%82%E7%94%A8%EF%BC%89.pdf" </w:instrText>
      </w:r>
      <w:r>
        <w:rPr>
          <w:rFonts w:hint="eastAsia" w:ascii="宋体" w:hAnsi="宋体" w:eastAsia="宋体" w:cs="宋体"/>
          <w:i w:val="0"/>
          <w:iCs w:val="0"/>
          <w:caps w:val="0"/>
          <w:color w:val="6E6E6E"/>
          <w:spacing w:val="0"/>
          <w:sz w:val="24"/>
          <w:szCs w:val="24"/>
          <w:highlight w:val="none"/>
          <w:u w:val="single"/>
          <w:shd w:val="clear" w:fill="FFFFFF"/>
        </w:rPr>
        <w:fldChar w:fldCharType="separate"/>
      </w:r>
      <w:r>
        <w:rPr>
          <w:rStyle w:val="9"/>
          <w:rFonts w:hint="eastAsia" w:ascii="宋体" w:hAnsi="宋体" w:eastAsia="宋体" w:cs="宋体"/>
          <w:i w:val="0"/>
          <w:iCs w:val="0"/>
          <w:caps w:val="0"/>
          <w:color w:val="0000FF"/>
          <w:spacing w:val="0"/>
          <w:sz w:val="24"/>
          <w:szCs w:val="24"/>
          <w:highlight w:val="none"/>
          <w:u w:val="single"/>
          <w:shd w:val="clear" w:fill="FFFFFF"/>
        </w:rPr>
        <w:t>个人所得税税率表（综合所得适用）</w:t>
      </w:r>
      <w:r>
        <w:rPr>
          <w:rFonts w:hint="eastAsia" w:ascii="宋体" w:hAnsi="宋体" w:eastAsia="宋体" w:cs="宋体"/>
          <w:i w:val="0"/>
          <w:iCs w:val="0"/>
          <w:caps w:val="0"/>
          <w:color w:val="6E6E6E"/>
          <w:spacing w:val="0"/>
          <w:sz w:val="24"/>
          <w:szCs w:val="24"/>
          <w:highlight w:val="none"/>
          <w:u w:val="single"/>
          <w:shd w:val="clear" w:fill="FFFFFF"/>
        </w:rPr>
        <w:fldChar w:fldCharType="end"/>
      </w:r>
    </w:p>
    <w:p w14:paraId="3F6981D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rPr>
        <w:t>2.</w:t>
      </w:r>
      <w:r>
        <w:rPr>
          <w:rFonts w:hint="eastAsia" w:ascii="宋体" w:hAnsi="宋体" w:eastAsia="宋体" w:cs="宋体"/>
          <w:i w:val="0"/>
          <w:iCs w:val="0"/>
          <w:caps w:val="0"/>
          <w:color w:val="6E6E6E"/>
          <w:spacing w:val="0"/>
          <w:sz w:val="24"/>
          <w:szCs w:val="24"/>
          <w:highlight w:val="none"/>
          <w:u w:val="single"/>
          <w:shd w:val="clear" w:fill="FFFFFF"/>
        </w:rPr>
        <w:fldChar w:fldCharType="begin"/>
      </w:r>
      <w:r>
        <w:rPr>
          <w:rFonts w:hint="eastAsia" w:ascii="宋体" w:hAnsi="宋体" w:eastAsia="宋体" w:cs="宋体"/>
          <w:i w:val="0"/>
          <w:iCs w:val="0"/>
          <w:caps w:val="0"/>
          <w:color w:val="6E6E6E"/>
          <w:spacing w:val="0"/>
          <w:sz w:val="24"/>
          <w:szCs w:val="24"/>
          <w:highlight w:val="none"/>
          <w:u w:val="single"/>
          <w:shd w:val="clear" w:fill="FFFFFF"/>
        </w:rPr>
        <w:instrText xml:space="preserve"> HYPERLINK "http://www.chinatax.gov.cn/chinatax/n363/c5184015/5184015/files/%E4%B8%AA%E4%BA%BA%E6%89%80%E5%BE%97%E7%A8%8E%E5%B9%B4%E5%BA%A6%E8%87%AA%E8%A1%8C%E7%BA%B3%E7%A8%8E%E7%94%B3%E6%8A%A5%E8%A1%A8%EF%BC%88B%E8%A1%A8%EF%BC%89.pdf" </w:instrText>
      </w:r>
      <w:r>
        <w:rPr>
          <w:rFonts w:hint="eastAsia" w:ascii="宋体" w:hAnsi="宋体" w:eastAsia="宋体" w:cs="宋体"/>
          <w:i w:val="0"/>
          <w:iCs w:val="0"/>
          <w:caps w:val="0"/>
          <w:color w:val="6E6E6E"/>
          <w:spacing w:val="0"/>
          <w:sz w:val="24"/>
          <w:szCs w:val="24"/>
          <w:highlight w:val="none"/>
          <w:u w:val="single"/>
          <w:shd w:val="clear" w:fill="FFFFFF"/>
        </w:rPr>
        <w:fldChar w:fldCharType="separate"/>
      </w:r>
      <w:r>
        <w:rPr>
          <w:rStyle w:val="9"/>
          <w:rFonts w:hint="eastAsia" w:ascii="宋体" w:hAnsi="宋体" w:eastAsia="宋体" w:cs="宋体"/>
          <w:i w:val="0"/>
          <w:iCs w:val="0"/>
          <w:caps w:val="0"/>
          <w:color w:val="0000FF"/>
          <w:spacing w:val="0"/>
          <w:sz w:val="24"/>
          <w:szCs w:val="24"/>
          <w:highlight w:val="none"/>
          <w:u w:val="single"/>
          <w:shd w:val="clear" w:fill="FFFFFF"/>
        </w:rPr>
        <w:t>个人所得税年度自行纳税申报表（B表）</w:t>
      </w:r>
      <w:r>
        <w:rPr>
          <w:rFonts w:hint="eastAsia" w:ascii="宋体" w:hAnsi="宋体" w:eastAsia="宋体" w:cs="宋体"/>
          <w:i w:val="0"/>
          <w:iCs w:val="0"/>
          <w:caps w:val="0"/>
          <w:color w:val="6E6E6E"/>
          <w:spacing w:val="0"/>
          <w:sz w:val="24"/>
          <w:szCs w:val="24"/>
          <w:highlight w:val="none"/>
          <w:u w:val="single"/>
          <w:shd w:val="clear" w:fill="FFFFFF"/>
        </w:rPr>
        <w:fldChar w:fldCharType="end"/>
      </w:r>
    </w:p>
    <w:p w14:paraId="05C58B26">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sz w:val="24"/>
          <w:szCs w:val="24"/>
          <w:highlight w:val="none"/>
          <w:lang w:val="en-US" w:eastAsia="zh-CN"/>
        </w:rPr>
        <w:t>四、注意事项</w:t>
      </w:r>
    </w:p>
    <w:p w14:paraId="0E590122">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居民个人从中国境外取得所得的，应当在取得所得的次年3月1日至6月30日内，向中国境内任职、受雇单位所在地主管税务机关办理纳税申报。</w:t>
      </w:r>
    </w:p>
    <w:p w14:paraId="264A564A">
      <w:pPr>
        <w:pageBreakBefore w:val="0"/>
        <w:kinsoku/>
        <w:wordWrap/>
        <w:bidi w:val="0"/>
        <w:snapToGrid/>
        <w:spacing w:before="157" w:beforeLines="50" w:after="120" w:line="360" w:lineRule="auto"/>
        <w:ind w:firstLine="480" w:firstLineChars="200"/>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rPr>
        <w:t>在中国境内没有任职、受雇单位的，向户籍所在地或中国境内经常居住地主管税务机关办理纳税申报；户籍所在地与中国境内经常居住地不一致的，选择其中一地主管税务机关办理纳税申报；在中国境内没有户籍的，向中国境内经常居住地主管税务机关办理纳税申报。</w:t>
      </w:r>
    </w:p>
    <w:p w14:paraId="7FA4C94B">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五、涉税风险与典型案例</w:t>
      </w:r>
    </w:p>
    <w:p w14:paraId="134EC578">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宋体" w:hAnsi="宋体" w:eastAsia="宋体" w:cs="宋体"/>
          <w:i w:val="0"/>
          <w:iCs w:val="0"/>
          <w:caps w:val="0"/>
          <w:color w:val="0000FF"/>
          <w:spacing w:val="0"/>
          <w:sz w:val="24"/>
          <w:szCs w:val="24"/>
          <w:highlight w:val="none"/>
          <w:lang w:val="en-US" w:eastAsia="zh-CN"/>
        </w:rPr>
      </w:pPr>
      <w:r>
        <w:rPr>
          <w:rFonts w:hint="eastAsia" w:ascii="宋体" w:hAnsi="宋体" w:cs="宋体"/>
          <w:i w:val="0"/>
          <w:iCs w:val="0"/>
          <w:caps w:val="0"/>
          <w:color w:val="0000FF"/>
          <w:spacing w:val="0"/>
          <w:sz w:val="24"/>
          <w:szCs w:val="24"/>
          <w:highlight w:val="none"/>
          <w:lang w:val="en-US" w:eastAsia="zh-CN"/>
        </w:rPr>
        <w:t>整理中</w:t>
      </w:r>
    </w:p>
    <w:p w14:paraId="3A387A12">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六、办理方式</w:t>
      </w:r>
    </w:p>
    <w:p w14:paraId="78FF25AD">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线上（全程在线自主办结）/线下</w:t>
      </w:r>
    </w:p>
    <w:p w14:paraId="01F2C41A">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bookmarkStart w:id="0" w:name="OLE_LINK2"/>
      <w:r>
        <w:rPr>
          <w:rFonts w:hint="eastAsia" w:ascii="宋体" w:hAnsi="宋体" w:eastAsia="宋体" w:cs="宋体"/>
          <w:b/>
          <w:sz w:val="24"/>
          <w:szCs w:val="24"/>
          <w:highlight w:val="none"/>
          <w:lang w:val="en-US" w:eastAsia="zh-CN"/>
        </w:rPr>
        <w:t>七、办理时限</w:t>
      </w:r>
    </w:p>
    <w:p w14:paraId="7800C628">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rPr>
        <w:t>即时办结</w:t>
      </w:r>
    </w:p>
    <w:bookmarkEnd w:id="0"/>
    <w:p w14:paraId="6D9EDA38">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八、操作指引</w:t>
      </w:r>
    </w:p>
    <w:p w14:paraId="7523A863">
      <w:pPr>
        <w:pStyle w:val="5"/>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一）线上操作</w:t>
      </w:r>
    </w:p>
    <w:p w14:paraId="5F91090D">
      <w:pPr>
        <w:pStyle w:val="10"/>
        <w:pageBreakBefore w:val="0"/>
        <w:kinsoku/>
        <w:wordWrap/>
        <w:bidi w:val="0"/>
        <w:snapToGrid/>
        <w:spacing w:before="157" w:beforeLines="50" w:after="120" w:line="360" w:lineRule="auto"/>
        <w:ind w:firstLine="480" w:firstLineChars="200"/>
        <w:rPr>
          <w:rFonts w:ascii="宋体" w:hAnsi="宋体" w:eastAsia="宋体" w:cs="宋体"/>
          <w:sz w:val="24"/>
          <w:szCs w:val="24"/>
          <w:highlight w:val="none"/>
        </w:rPr>
      </w:pPr>
      <w:r>
        <w:rPr>
          <w:rFonts w:hint="eastAsia" w:ascii="宋体" w:hAnsi="宋体" w:cs="宋体"/>
          <w:sz w:val="24"/>
          <w:szCs w:val="24"/>
          <w:highlight w:val="none"/>
        </w:rPr>
        <w:t>纳税人登录</w:t>
      </w:r>
      <w:r>
        <w:rPr>
          <w:rFonts w:hint="eastAsia" w:ascii="宋体" w:hAnsi="宋体" w:cs="宋体"/>
          <w:bCs/>
          <w:sz w:val="24"/>
          <w:szCs w:val="24"/>
          <w:highlight w:val="none"/>
        </w:rPr>
        <w:t>自然人电子税务局（</w:t>
      </w:r>
      <w:r>
        <w:rPr>
          <w:rFonts w:ascii="宋体" w:hAnsi="宋体" w:cs="宋体"/>
          <w:bCs/>
          <w:sz w:val="24"/>
          <w:szCs w:val="24"/>
          <w:highlight w:val="none"/>
        </w:rPr>
        <w:t>WEB端）</w:t>
      </w:r>
      <w:r>
        <w:rPr>
          <w:rFonts w:hint="eastAsia" w:ascii="宋体" w:hAnsi="宋体" w:cs="宋体"/>
          <w:sz w:val="24"/>
          <w:szCs w:val="24"/>
          <w:highlight w:val="none"/>
        </w:rPr>
        <w:t>，通过对应功能，自主完成申报表信息填报并提交。涉及税款的，可同步缴纳税款。办理完成后，纳税人可在线查询申报纳税完成情况。</w:t>
      </w:r>
    </w:p>
    <w:p w14:paraId="409AD8CD">
      <w:pPr>
        <w:pageBreakBefore w:val="0"/>
        <w:widowControl/>
        <w:kinsoku/>
        <w:wordWrap/>
        <w:bidi w:val="0"/>
        <w:snapToGrid/>
        <w:spacing w:before="157" w:beforeLines="50" w:after="120" w:line="360" w:lineRule="auto"/>
        <w:ind w:firstLine="480" w:firstLineChars="200"/>
        <w:rPr>
          <w:rFonts w:hint="eastAsia" w:ascii="宋体" w:hAnsi="宋体" w:eastAsia="宋体" w:cs="宋体"/>
          <w:bCs/>
          <w:sz w:val="24"/>
          <w:szCs w:val="24"/>
          <w:highlight w:val="none"/>
          <w:lang w:val="en-US" w:eastAsia="zh-CN"/>
        </w:rPr>
      </w:pPr>
      <w:r>
        <w:rPr>
          <w:rFonts w:hint="eastAsia" w:ascii="宋体" w:hAnsi="宋体" w:eastAsia="宋体" w:cs="宋体"/>
          <w:sz w:val="24"/>
          <w:szCs w:val="24"/>
          <w:highlight w:val="none"/>
        </w:rPr>
        <w:t>--信息系统：</w:t>
      </w:r>
      <w:r>
        <w:rPr>
          <w:rFonts w:hint="eastAsia" w:ascii="宋体" w:hAnsi="宋体" w:eastAsia="宋体" w:cs="宋体"/>
          <w:bCs/>
          <w:sz w:val="24"/>
          <w:szCs w:val="24"/>
          <w:highlight w:val="none"/>
        </w:rPr>
        <w:t>自然人电子税务局（WEB端）“综合所得年度汇算（取得境外所得适用）”</w:t>
      </w:r>
    </w:p>
    <w:p w14:paraId="2E5EC949">
      <w:pPr>
        <w:pStyle w:val="5"/>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（二 ）线下操作</w:t>
      </w:r>
    </w:p>
    <w:p w14:paraId="5AE42632">
      <w:pPr>
        <w:pStyle w:val="10"/>
        <w:pageBreakBefore w:val="0"/>
        <w:kinsoku/>
        <w:wordWrap/>
        <w:topLinePunct w:val="0"/>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cs="宋体"/>
          <w:sz w:val="24"/>
          <w:szCs w:val="24"/>
          <w:highlight w:val="none"/>
        </w:rPr>
        <w:t>纳税人在办税服务厅提交相应申报材料，提出取得境外所得的纳税申报申请</w:t>
      </w:r>
      <w:r>
        <w:rPr>
          <w:rFonts w:hint="eastAsia" w:ascii="宋体" w:hAnsi="宋体" w:cs="宋体"/>
          <w:bCs/>
          <w:sz w:val="24"/>
          <w:szCs w:val="24"/>
          <w:highlight w:val="none"/>
        </w:rPr>
        <w:t>。</w:t>
      </w:r>
    </w:p>
    <w:p w14:paraId="24A3F94D">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九、资料处理</w:t>
      </w:r>
    </w:p>
    <w:p w14:paraId="2164BB36">
      <w:pPr>
        <w:keepNext/>
        <w:pageBreakBefore w:val="0"/>
        <w:tabs>
          <w:tab w:val="center" w:pos="4200"/>
        </w:tabs>
        <w:kinsoku/>
        <w:wordWrap/>
        <w:bidi w:val="0"/>
        <w:snapToGrid/>
        <w:spacing w:before="157" w:beforeLines="50" w:after="120" w:line="360" w:lineRule="auto"/>
        <w:ind w:firstLine="100"/>
        <w:jc w:val="center"/>
        <w:outlineLvl w:val="0"/>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取得境外所得的纳税申报报送资料清单</w:t>
      </w:r>
    </w:p>
    <w:tbl>
      <w:tblPr>
        <w:tblStyle w:val="7"/>
        <w:tblW w:w="850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4139"/>
        <w:gridCol w:w="624"/>
        <w:gridCol w:w="624"/>
        <w:gridCol w:w="624"/>
        <w:gridCol w:w="624"/>
        <w:gridCol w:w="624"/>
        <w:gridCol w:w="624"/>
      </w:tblGrid>
      <w:tr w14:paraId="160BD0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624" w:type="dxa"/>
            <w:noWrap w:val="0"/>
            <w:vAlign w:val="center"/>
          </w:tcPr>
          <w:p w14:paraId="52EB5FF3">
            <w:pPr>
              <w:pageBreakBefore w:val="0"/>
              <w:kinsoku/>
              <w:wordWrap/>
              <w:bidi w:val="0"/>
              <w:snapToGrid/>
              <w:spacing w:before="157" w:beforeLines="50" w:after="120" w:line="360"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4139" w:type="dxa"/>
            <w:noWrap w:val="0"/>
            <w:vAlign w:val="center"/>
          </w:tcPr>
          <w:p w14:paraId="0EBDEBDC">
            <w:pPr>
              <w:pageBreakBefore w:val="0"/>
              <w:kinsoku/>
              <w:wordWrap/>
              <w:bidi w:val="0"/>
              <w:snapToGrid/>
              <w:spacing w:before="157" w:beforeLines="50" w:after="120" w:line="360"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报送资料名称</w:t>
            </w:r>
          </w:p>
        </w:tc>
        <w:tc>
          <w:tcPr>
            <w:tcW w:w="624" w:type="dxa"/>
            <w:noWrap w:val="0"/>
            <w:vAlign w:val="center"/>
          </w:tcPr>
          <w:p w14:paraId="022D5C89">
            <w:pPr>
              <w:pageBreakBefore w:val="0"/>
              <w:kinsoku/>
              <w:wordWrap/>
              <w:bidi w:val="0"/>
              <w:snapToGrid/>
              <w:spacing w:before="157" w:beforeLines="50" w:after="120" w:line="360"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必报</w:t>
            </w:r>
          </w:p>
        </w:tc>
        <w:tc>
          <w:tcPr>
            <w:tcW w:w="624" w:type="dxa"/>
            <w:noWrap w:val="0"/>
            <w:vAlign w:val="center"/>
          </w:tcPr>
          <w:p w14:paraId="04EED870">
            <w:pPr>
              <w:pageBreakBefore w:val="0"/>
              <w:kinsoku/>
              <w:wordWrap/>
              <w:bidi w:val="0"/>
              <w:snapToGrid/>
              <w:spacing w:before="157" w:beforeLines="50" w:after="120" w:line="360"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条件报送</w:t>
            </w:r>
          </w:p>
        </w:tc>
        <w:tc>
          <w:tcPr>
            <w:tcW w:w="624" w:type="dxa"/>
            <w:noWrap w:val="0"/>
            <w:vAlign w:val="center"/>
          </w:tcPr>
          <w:p w14:paraId="1266EE19">
            <w:pPr>
              <w:pageBreakBefore w:val="0"/>
              <w:kinsoku/>
              <w:wordWrap/>
              <w:bidi w:val="0"/>
              <w:snapToGrid/>
              <w:spacing w:before="157" w:beforeLines="50" w:after="120" w:line="360"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归档</w:t>
            </w:r>
          </w:p>
        </w:tc>
        <w:tc>
          <w:tcPr>
            <w:tcW w:w="624" w:type="dxa"/>
            <w:noWrap w:val="0"/>
            <w:vAlign w:val="center"/>
          </w:tcPr>
          <w:p w14:paraId="020003EC">
            <w:pPr>
              <w:pageBreakBefore w:val="0"/>
              <w:kinsoku/>
              <w:wordWrap/>
              <w:bidi w:val="0"/>
              <w:snapToGrid/>
              <w:spacing w:before="157" w:beforeLines="50" w:after="120" w:line="360"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查验</w:t>
            </w:r>
          </w:p>
        </w:tc>
        <w:tc>
          <w:tcPr>
            <w:tcW w:w="624" w:type="dxa"/>
            <w:noWrap w:val="0"/>
            <w:vAlign w:val="center"/>
          </w:tcPr>
          <w:p w14:paraId="411F796F">
            <w:pPr>
              <w:pageBreakBefore w:val="0"/>
              <w:kinsoku/>
              <w:wordWrap/>
              <w:bidi w:val="0"/>
              <w:snapToGrid/>
              <w:spacing w:before="157" w:beforeLines="50" w:after="120" w:line="360"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代保管</w:t>
            </w:r>
          </w:p>
        </w:tc>
        <w:tc>
          <w:tcPr>
            <w:tcW w:w="624" w:type="dxa"/>
            <w:noWrap w:val="0"/>
            <w:vAlign w:val="center"/>
          </w:tcPr>
          <w:p w14:paraId="5EAABAF0">
            <w:pPr>
              <w:pageBreakBefore w:val="0"/>
              <w:kinsoku/>
              <w:wordWrap/>
              <w:bidi w:val="0"/>
              <w:snapToGrid/>
              <w:spacing w:before="157" w:beforeLines="50" w:after="120" w:line="360"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核销</w:t>
            </w:r>
          </w:p>
        </w:tc>
      </w:tr>
      <w:tr w14:paraId="6B3E40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624" w:type="dxa"/>
            <w:noWrap w:val="0"/>
            <w:vAlign w:val="top"/>
          </w:tcPr>
          <w:p w14:paraId="0A68D89B">
            <w:pPr>
              <w:pageBreakBefore w:val="0"/>
              <w:kinsoku/>
              <w:wordWrap/>
              <w:bidi w:val="0"/>
              <w:snapToGrid/>
              <w:spacing w:before="157" w:beforeLines="50" w:after="12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4139" w:type="dxa"/>
            <w:noWrap w:val="0"/>
            <w:vAlign w:val="top"/>
          </w:tcPr>
          <w:p w14:paraId="234E910B">
            <w:pPr>
              <w:pageBreakBefore w:val="0"/>
              <w:kinsoku/>
              <w:wordWrap/>
              <w:bidi w:val="0"/>
              <w:snapToGrid/>
              <w:spacing w:before="157" w:beforeLines="50" w:after="120"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《个人所得税年度自行纳税申报表（B表）》</w:t>
            </w:r>
          </w:p>
        </w:tc>
        <w:tc>
          <w:tcPr>
            <w:tcW w:w="624" w:type="dxa"/>
            <w:noWrap w:val="0"/>
            <w:vAlign w:val="top"/>
          </w:tcPr>
          <w:p w14:paraId="5586D100">
            <w:pPr>
              <w:pageBreakBefore w:val="0"/>
              <w:kinsoku/>
              <w:wordWrap/>
              <w:bidi w:val="0"/>
              <w:snapToGrid/>
              <w:spacing w:before="157" w:beforeLines="50" w:after="12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67A49B32">
            <w:pPr>
              <w:pageBreakBefore w:val="0"/>
              <w:kinsoku/>
              <w:wordWrap/>
              <w:bidi w:val="0"/>
              <w:snapToGrid/>
              <w:spacing w:before="157" w:beforeLines="50" w:after="120" w:line="360" w:lineRule="auto"/>
              <w:jc w:val="center"/>
              <w:rPr>
                <w:rFonts w:ascii="宋体" w:hAnsi="宋体" w:eastAsia="宋体" w:cs="宋体"/>
                <w:sz w:val="24"/>
                <w:szCs w:val="24"/>
                <w:highlight w:val="none"/>
              </w:rPr>
            </w:pPr>
          </w:p>
        </w:tc>
        <w:tc>
          <w:tcPr>
            <w:tcW w:w="624" w:type="dxa"/>
            <w:noWrap w:val="0"/>
            <w:vAlign w:val="top"/>
          </w:tcPr>
          <w:p w14:paraId="709FE4C6">
            <w:pPr>
              <w:pageBreakBefore w:val="0"/>
              <w:kinsoku/>
              <w:wordWrap/>
              <w:bidi w:val="0"/>
              <w:snapToGrid/>
              <w:spacing w:before="157" w:beforeLines="50" w:after="12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38DE9635">
            <w:pPr>
              <w:pageBreakBefore w:val="0"/>
              <w:kinsoku/>
              <w:wordWrap/>
              <w:bidi w:val="0"/>
              <w:snapToGrid/>
              <w:spacing w:before="157" w:beforeLines="50" w:after="120" w:line="360" w:lineRule="auto"/>
              <w:jc w:val="center"/>
              <w:rPr>
                <w:rFonts w:ascii="宋体" w:hAnsi="宋体" w:eastAsia="宋体" w:cs="宋体"/>
                <w:sz w:val="24"/>
                <w:szCs w:val="24"/>
                <w:highlight w:val="none"/>
              </w:rPr>
            </w:pPr>
          </w:p>
        </w:tc>
        <w:tc>
          <w:tcPr>
            <w:tcW w:w="624" w:type="dxa"/>
            <w:noWrap w:val="0"/>
            <w:vAlign w:val="top"/>
          </w:tcPr>
          <w:p w14:paraId="7A9DD81E">
            <w:pPr>
              <w:pageBreakBefore w:val="0"/>
              <w:kinsoku/>
              <w:wordWrap/>
              <w:bidi w:val="0"/>
              <w:snapToGrid/>
              <w:spacing w:before="157" w:beforeLines="50" w:after="120" w:line="360" w:lineRule="auto"/>
              <w:jc w:val="center"/>
              <w:rPr>
                <w:rFonts w:ascii="宋体" w:hAnsi="宋体" w:eastAsia="宋体" w:cs="宋体"/>
                <w:sz w:val="24"/>
                <w:szCs w:val="24"/>
                <w:highlight w:val="none"/>
              </w:rPr>
            </w:pPr>
          </w:p>
        </w:tc>
        <w:tc>
          <w:tcPr>
            <w:tcW w:w="624" w:type="dxa"/>
            <w:noWrap w:val="0"/>
            <w:vAlign w:val="top"/>
          </w:tcPr>
          <w:p w14:paraId="51A2895E">
            <w:pPr>
              <w:pageBreakBefore w:val="0"/>
              <w:kinsoku/>
              <w:wordWrap/>
              <w:bidi w:val="0"/>
              <w:snapToGrid/>
              <w:spacing w:before="157" w:beforeLines="50" w:after="120" w:line="360" w:lineRule="auto"/>
              <w:jc w:val="center"/>
              <w:rPr>
                <w:rFonts w:ascii="宋体" w:hAnsi="宋体" w:eastAsia="宋体" w:cs="宋体"/>
                <w:sz w:val="24"/>
                <w:szCs w:val="24"/>
                <w:highlight w:val="none"/>
              </w:rPr>
            </w:pPr>
          </w:p>
        </w:tc>
      </w:tr>
      <w:tr w14:paraId="2C3D0E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624" w:type="dxa"/>
            <w:noWrap w:val="0"/>
            <w:vAlign w:val="top"/>
          </w:tcPr>
          <w:p w14:paraId="69725220">
            <w:pPr>
              <w:pageBreakBefore w:val="0"/>
              <w:kinsoku/>
              <w:wordWrap/>
              <w:bidi w:val="0"/>
              <w:snapToGrid/>
              <w:spacing w:before="157" w:beforeLines="50" w:after="12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w:t>
            </w:r>
          </w:p>
        </w:tc>
        <w:tc>
          <w:tcPr>
            <w:tcW w:w="4139" w:type="dxa"/>
            <w:noWrap w:val="0"/>
            <w:vAlign w:val="top"/>
          </w:tcPr>
          <w:p w14:paraId="51004496">
            <w:pPr>
              <w:pageBreakBefore w:val="0"/>
              <w:kinsoku/>
              <w:wordWrap/>
              <w:bidi w:val="0"/>
              <w:snapToGrid/>
              <w:spacing w:before="157" w:beforeLines="50" w:after="120" w:line="360" w:lineRule="auto"/>
              <w:jc w:val="left"/>
              <w:rPr>
                <w:rFonts w:ascii="宋体" w:hAnsi="宋体" w:eastAsia="宋体" w:cs="宋体"/>
                <w:sz w:val="24"/>
                <w:szCs w:val="24"/>
                <w:highlight w:val="none"/>
              </w:rPr>
            </w:pPr>
            <w:r>
              <w:rPr>
                <w:rFonts w:hint="eastAsia" w:ascii="宋体" w:hAnsi="宋体" w:eastAsia="宋体" w:cs="宋体"/>
                <w:bCs/>
                <w:sz w:val="24"/>
                <w:szCs w:val="24"/>
                <w:highlight w:val="none"/>
              </w:rPr>
              <w:t>《境外所得个人所得税抵免明细表》</w:t>
            </w:r>
          </w:p>
        </w:tc>
        <w:tc>
          <w:tcPr>
            <w:tcW w:w="624" w:type="dxa"/>
            <w:noWrap w:val="0"/>
            <w:vAlign w:val="top"/>
          </w:tcPr>
          <w:p w14:paraId="0D5EB55F">
            <w:pPr>
              <w:pageBreakBefore w:val="0"/>
              <w:kinsoku/>
              <w:wordWrap/>
              <w:bidi w:val="0"/>
              <w:snapToGrid/>
              <w:spacing w:before="157" w:beforeLines="50" w:after="12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0EC571F3">
            <w:pPr>
              <w:pageBreakBefore w:val="0"/>
              <w:kinsoku/>
              <w:wordWrap/>
              <w:bidi w:val="0"/>
              <w:snapToGrid/>
              <w:spacing w:before="157" w:beforeLines="50" w:after="120" w:line="360" w:lineRule="auto"/>
              <w:jc w:val="center"/>
              <w:rPr>
                <w:rFonts w:ascii="宋体" w:hAnsi="宋体" w:eastAsia="宋体" w:cs="宋体"/>
                <w:sz w:val="24"/>
                <w:szCs w:val="24"/>
                <w:highlight w:val="none"/>
              </w:rPr>
            </w:pPr>
          </w:p>
        </w:tc>
        <w:tc>
          <w:tcPr>
            <w:tcW w:w="624" w:type="dxa"/>
            <w:noWrap w:val="0"/>
            <w:vAlign w:val="top"/>
          </w:tcPr>
          <w:p w14:paraId="03FCF636">
            <w:pPr>
              <w:pageBreakBefore w:val="0"/>
              <w:kinsoku/>
              <w:wordWrap/>
              <w:bidi w:val="0"/>
              <w:snapToGrid/>
              <w:spacing w:before="157" w:beforeLines="50" w:after="12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6D3EA25F">
            <w:pPr>
              <w:pageBreakBefore w:val="0"/>
              <w:kinsoku/>
              <w:wordWrap/>
              <w:bidi w:val="0"/>
              <w:snapToGrid/>
              <w:spacing w:before="157" w:beforeLines="50" w:after="120" w:line="360" w:lineRule="auto"/>
              <w:jc w:val="center"/>
              <w:rPr>
                <w:rFonts w:ascii="宋体" w:hAnsi="宋体" w:eastAsia="宋体" w:cs="宋体"/>
                <w:sz w:val="24"/>
                <w:szCs w:val="24"/>
                <w:highlight w:val="none"/>
              </w:rPr>
            </w:pPr>
          </w:p>
        </w:tc>
        <w:tc>
          <w:tcPr>
            <w:tcW w:w="624" w:type="dxa"/>
            <w:noWrap w:val="0"/>
            <w:vAlign w:val="top"/>
          </w:tcPr>
          <w:p w14:paraId="2CB402F7">
            <w:pPr>
              <w:pageBreakBefore w:val="0"/>
              <w:kinsoku/>
              <w:wordWrap/>
              <w:bidi w:val="0"/>
              <w:snapToGrid/>
              <w:spacing w:before="157" w:beforeLines="50" w:after="120" w:line="360" w:lineRule="auto"/>
              <w:jc w:val="center"/>
              <w:rPr>
                <w:rFonts w:ascii="宋体" w:hAnsi="宋体" w:eastAsia="宋体" w:cs="宋体"/>
                <w:sz w:val="24"/>
                <w:szCs w:val="24"/>
                <w:highlight w:val="none"/>
              </w:rPr>
            </w:pPr>
          </w:p>
        </w:tc>
        <w:tc>
          <w:tcPr>
            <w:tcW w:w="624" w:type="dxa"/>
            <w:noWrap w:val="0"/>
            <w:vAlign w:val="top"/>
          </w:tcPr>
          <w:p w14:paraId="0559ABF9">
            <w:pPr>
              <w:pageBreakBefore w:val="0"/>
              <w:kinsoku/>
              <w:wordWrap/>
              <w:bidi w:val="0"/>
              <w:snapToGrid/>
              <w:spacing w:before="157" w:beforeLines="50" w:after="120" w:line="360" w:lineRule="auto"/>
              <w:jc w:val="center"/>
              <w:rPr>
                <w:rFonts w:ascii="宋体" w:hAnsi="宋体" w:eastAsia="宋体" w:cs="宋体"/>
                <w:sz w:val="24"/>
                <w:szCs w:val="24"/>
                <w:highlight w:val="none"/>
              </w:rPr>
            </w:pPr>
          </w:p>
        </w:tc>
      </w:tr>
    </w:tbl>
    <w:p w14:paraId="55F6350C">
      <w:pPr>
        <w:rPr>
          <w:highlight w:val="none"/>
        </w:rPr>
      </w:pPr>
    </w:p>
    <w:p w14:paraId="081D5169">
      <w:pPr>
        <w:rPr>
          <w:highlight w:val="none"/>
        </w:rPr>
      </w:pPr>
    </w:p>
    <w:p w14:paraId="33AA16A7">
      <w:pPr>
        <w:rPr>
          <w:highlight w:val="none"/>
        </w:rPr>
      </w:pP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ngti SC">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57612"/>
    <w:rsid w:val="09C474A0"/>
    <w:rsid w:val="0AFF7CCD"/>
    <w:rsid w:val="16E00D77"/>
    <w:rsid w:val="2AC43D8E"/>
    <w:rsid w:val="42A718E1"/>
    <w:rsid w:val="4A811D52"/>
    <w:rsid w:val="614114DD"/>
    <w:rsid w:val="6AF30EA0"/>
    <w:rsid w:val="713507C3"/>
    <w:rsid w:val="72122658"/>
    <w:rsid w:val="764B5B0A"/>
    <w:rsid w:val="78C00A7A"/>
    <w:rsid w:val="7A9A6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99"/>
    <w:pPr>
      <w:spacing w:after="120"/>
    </w:p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Normal (Web)"/>
    <w:basedOn w:val="1"/>
    <w:qFormat/>
    <w:uiPriority w:val="0"/>
    <w:rPr>
      <w:sz w:val="24"/>
    </w:rPr>
  </w:style>
  <w:style w:type="character" w:styleId="9">
    <w:name w:val="Hyperlink"/>
    <w:basedOn w:val="8"/>
    <w:qFormat/>
    <w:uiPriority w:val="0"/>
    <w:rPr>
      <w:color w:val="0000FF"/>
      <w:u w:val="single"/>
    </w:rPr>
  </w:style>
  <w:style w:type="paragraph" w:customStyle="1" w:styleId="10">
    <w:name w:val="需求正文_0"/>
    <w:basedOn w:val="11"/>
    <w:qFormat/>
    <w:uiPriority w:val="0"/>
    <w:pPr>
      <w:topLinePunct/>
      <w:ind w:firstLine="200"/>
    </w:pPr>
    <w:rPr>
      <w:kern w:val="20"/>
      <w:sz w:val="20"/>
      <w:szCs w:val="20"/>
    </w:rPr>
  </w:style>
  <w:style w:type="paragraph" w:customStyle="1" w:styleId="11">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
    <w:name w:val="Normal Indent1"/>
    <w:basedOn w:val="1"/>
    <w:next w:val="1"/>
    <w:qFormat/>
    <w:uiPriority w:val="0"/>
    <w:pPr>
      <w:spacing w:line="360" w:lineRule="auto"/>
      <w:ind w:firstLine="883" w:firstLineChars="200"/>
    </w:pPr>
    <w:rPr>
      <w:rFonts w:hint="eastAsia" w:ascii="Songti SC" w:hAnsi="Songti SC"/>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1039</Words>
  <Characters>1105</Characters>
  <Lines>0</Lines>
  <Paragraphs>0</Paragraphs>
  <TotalTime>3</TotalTime>
  <ScaleCrop>false</ScaleCrop>
  <LinksUpToDate>false</LinksUpToDate>
  <CharactersWithSpaces>1114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2025-02-27T06:53:00Z</dcterms:created>
  <dc:creator>tsuser</dc:creator>
  <cp:lastModifiedBy>默默</cp:lastModifiedBy>
  <dcterms:modified xsi:type="dcterms:W3CDTF">2025-07-09T09:42:55Z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71E6629C543B45A39BD4F01DAD78E6EB_12</vt:lpwstr>
  </property>
</Properties>
</file>