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B35AC">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1.2.3  扣缴义务人报告自然人身份信息——股东变动——115</w:t>
      </w:r>
    </w:p>
    <w:p w14:paraId="2324C611">
      <w:pPr>
        <w:pStyle w:val="2"/>
        <w:rPr>
          <w:rFonts w:hint="eastAsia"/>
          <w:highlight w:val="none"/>
        </w:rPr>
      </w:pPr>
    </w:p>
    <w:p w14:paraId="7A7F3F61">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bookmarkStart w:id="2" w:name="_GoBack"/>
      <w:r>
        <w:rPr>
          <w:rFonts w:hint="eastAsia" w:ascii="宋体" w:hAnsi="宋体" w:eastAsia="宋体" w:cs="宋体"/>
          <w:sz w:val="24"/>
          <w:szCs w:val="24"/>
          <w:highlight w:val="none"/>
          <w:lang w:val="en-US" w:eastAsia="zh-CN"/>
        </w:rPr>
        <w:t>一、适用情形</w:t>
      </w:r>
    </w:p>
    <w:p w14:paraId="252D71FE">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rPr>
        <w:t>扣缴义务人应于股权转让相关协议签订后5个工作日内，将股权转让的有关情况报告主管税务机关。</w:t>
      </w:r>
    </w:p>
    <w:p w14:paraId="6C68D745">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二、文件依据</w:t>
      </w:r>
    </w:p>
    <w:p w14:paraId="78E83FD3">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《股权转让所得个人所得税管理办法（试行）》（</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"https://ssfb86.com/index/News/detail/newsid/1105.html" </w:instrText>
      </w:r>
      <w:r>
        <w:rPr>
          <w:rFonts w:hint="eastAsia" w:ascii="宋体" w:hAnsi="宋体" w:eastAsia="宋体" w:cs="宋体"/>
          <w:sz w:val="24"/>
          <w:szCs w:val="24"/>
          <w:highlight w:val="none"/>
          <w:lang w:val="en-US" w:eastAsia="zh-CN"/>
        </w:rPr>
        <w:fldChar w:fldCharType="separate"/>
      </w:r>
      <w:r>
        <w:rPr>
          <w:rStyle w:val="7"/>
          <w:rFonts w:hint="eastAsia" w:ascii="宋体" w:hAnsi="宋体" w:eastAsia="宋体" w:cs="宋体"/>
          <w:sz w:val="24"/>
          <w:szCs w:val="24"/>
          <w:highlight w:val="none"/>
          <w:lang w:val="en-US" w:eastAsia="zh-CN"/>
        </w:rPr>
        <w:t>国家税务总局公告2014年第67号</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）第二十一条、第二十二条</w:t>
      </w:r>
    </w:p>
    <w:p w14:paraId="33EB5913">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三、相关文书及填写说明</w:t>
      </w:r>
    </w:p>
    <w:p w14:paraId="4D72BC30">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i w:val="0"/>
          <w:iCs w:val="0"/>
          <w:caps w:val="0"/>
          <w:color w:val="0066CC"/>
          <w:spacing w:val="0"/>
          <w:sz w:val="24"/>
          <w:szCs w:val="24"/>
          <w:highlight w:val="none"/>
          <w:u w:val="single"/>
          <w:shd w:val="clear" w:fill="FFFFFF"/>
        </w:rPr>
      </w:pPr>
      <w:r>
        <w:rPr>
          <w:rFonts w:hint="eastAsia" w:ascii="宋体" w:hAnsi="宋体" w:eastAsia="宋体" w:cs="宋体"/>
          <w:i w:val="0"/>
          <w:iCs w:val="0"/>
          <w:caps w:val="0"/>
          <w:color w:val="0066CC"/>
          <w:spacing w:val="0"/>
          <w:sz w:val="24"/>
          <w:szCs w:val="24"/>
          <w:highlight w:val="none"/>
          <w:u w:val="single"/>
          <w:shd w:val="clear" w:fill="FFFFFF"/>
        </w:rPr>
        <w:fldChar w:fldCharType="begin"/>
      </w:r>
      <w:r>
        <w:rPr>
          <w:rFonts w:hint="eastAsia" w:ascii="宋体" w:hAnsi="宋体" w:eastAsia="宋体" w:cs="宋体"/>
          <w:i w:val="0"/>
          <w:iCs w:val="0"/>
          <w:caps w:val="0"/>
          <w:color w:val="0066CC"/>
          <w:spacing w:val="0"/>
          <w:sz w:val="24"/>
          <w:szCs w:val="24"/>
          <w:highlight w:val="none"/>
          <w:u w:val="single"/>
          <w:shd w:val="clear" w:fill="FFFFFF"/>
        </w:rPr>
        <w:instrText xml:space="preserve"> HYPERLINK "https://ssfb86.com/uploadfile/file/20200519/1589889137314187.doc" \o "个人所得税基础信息表（A表）（B表）.doc" </w:instrText>
      </w:r>
      <w:r>
        <w:rPr>
          <w:rFonts w:hint="eastAsia" w:ascii="宋体" w:hAnsi="宋体" w:eastAsia="宋体" w:cs="宋体"/>
          <w:i w:val="0"/>
          <w:iCs w:val="0"/>
          <w:caps w:val="0"/>
          <w:color w:val="0066CC"/>
          <w:spacing w:val="0"/>
          <w:sz w:val="24"/>
          <w:szCs w:val="24"/>
          <w:highlight w:val="none"/>
          <w:u w:val="single"/>
          <w:shd w:val="clear" w:fill="FFFFFF"/>
        </w:rPr>
        <w:fldChar w:fldCharType="separate"/>
      </w:r>
      <w:r>
        <w:rPr>
          <w:rStyle w:val="7"/>
          <w:rFonts w:hint="eastAsia" w:ascii="宋体" w:hAnsi="宋体" w:eastAsia="宋体" w:cs="宋体"/>
          <w:i w:val="0"/>
          <w:iCs w:val="0"/>
          <w:caps w:val="0"/>
          <w:color w:val="0066CC"/>
          <w:spacing w:val="0"/>
          <w:sz w:val="24"/>
          <w:szCs w:val="24"/>
          <w:highlight w:val="none"/>
          <w:u w:val="single"/>
          <w:shd w:val="clear" w:fill="FFFFFF"/>
        </w:rPr>
        <w:t>个人所得税基础信息表（A表）（B表）.doc</w:t>
      </w:r>
      <w:r>
        <w:rPr>
          <w:rFonts w:hint="eastAsia" w:ascii="宋体" w:hAnsi="宋体" w:eastAsia="宋体" w:cs="宋体"/>
          <w:i w:val="0"/>
          <w:iCs w:val="0"/>
          <w:caps w:val="0"/>
          <w:color w:val="0066CC"/>
          <w:spacing w:val="0"/>
          <w:sz w:val="24"/>
          <w:szCs w:val="24"/>
          <w:highlight w:val="none"/>
          <w:u w:val="single"/>
          <w:shd w:val="clear" w:fill="FFFFFF"/>
        </w:rPr>
        <w:fldChar w:fldCharType="end"/>
      </w:r>
    </w:p>
    <w:p w14:paraId="5D28277A">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四、注意事项</w:t>
      </w:r>
    </w:p>
    <w:p w14:paraId="75446012">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（一）</w:t>
      </w:r>
      <w:r>
        <w:rPr>
          <w:rFonts w:hint="eastAsia" w:ascii="宋体" w:hAnsi="宋体" w:eastAsia="宋体" w:cs="宋体"/>
          <w:bCs/>
          <w:sz w:val="24"/>
          <w:szCs w:val="24"/>
          <w:highlight w:val="none"/>
        </w:rPr>
        <w:t>被投资单位发生个人股东变动或者个人股东所持股权变动的，应当在次月15日内向主管税务机关报送股东变动信息及股东变更情况说明。</w:t>
      </w:r>
    </w:p>
    <w:p w14:paraId="68FBAA8C">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（二）</w:t>
      </w:r>
      <w:r>
        <w:rPr>
          <w:rFonts w:hint="eastAsia" w:ascii="宋体" w:hAnsi="宋体" w:eastAsia="宋体" w:cs="宋体"/>
          <w:bCs/>
          <w:sz w:val="24"/>
          <w:szCs w:val="24"/>
          <w:highlight w:val="none"/>
        </w:rPr>
        <w:t>企业发生股权交易及转增股本等事项后，应在次月15日内，将股东及其股权变化情况、股权交易前原账面记载的盈余积累数额、转增股本数额及扣缴税款情况报告主管税务机关。</w:t>
      </w:r>
    </w:p>
    <w:p w14:paraId="54B2E851">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五、涉税风险与典型案例</w:t>
      </w:r>
    </w:p>
    <w:p w14:paraId="3686A171">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楷体" w:hAnsi="楷体" w:eastAsia="楷体" w:cs="楷体"/>
          <w:i w:val="0"/>
          <w:iCs w:val="0"/>
          <w:caps w:val="0"/>
          <w:color w:val="0070C0"/>
          <w:spacing w:val="0"/>
          <w:sz w:val="24"/>
          <w:szCs w:val="24"/>
          <w:highlight w:val="none"/>
        </w:rPr>
      </w:pPr>
      <w:r>
        <w:rPr>
          <w:rFonts w:ascii="楷体" w:hAnsi="楷体" w:eastAsia="楷体" w:cs="楷体"/>
          <w:i w:val="0"/>
          <w:iCs w:val="0"/>
          <w:caps w:val="0"/>
          <w:color w:val="0070C0"/>
          <w:spacing w:val="0"/>
          <w:sz w:val="24"/>
          <w:szCs w:val="24"/>
          <w:highlight w:val="none"/>
        </w:rPr>
        <w:t>【</w:t>
      </w:r>
      <w:r>
        <w:rPr>
          <w:rFonts w:hint="eastAsia" w:ascii="宋体" w:hAnsi="宋体" w:eastAsia="宋体" w:cs="宋体"/>
          <w:i w:val="0"/>
          <w:iCs w:val="0"/>
          <w:caps w:val="0"/>
          <w:color w:val="6E6E6E"/>
          <w:spacing w:val="0"/>
          <w:sz w:val="24"/>
          <w:szCs w:val="24"/>
          <w:highlight w:val="none"/>
          <w:u w:val="single"/>
        </w:rPr>
        <w:fldChar w:fldCharType="begin"/>
      </w:r>
      <w:r>
        <w:rPr>
          <w:rFonts w:hint="eastAsia" w:ascii="宋体" w:hAnsi="宋体" w:eastAsia="宋体" w:cs="宋体"/>
          <w:i w:val="0"/>
          <w:iCs w:val="0"/>
          <w:caps w:val="0"/>
          <w:color w:val="6E6E6E"/>
          <w:spacing w:val="0"/>
          <w:sz w:val="24"/>
          <w:szCs w:val="24"/>
          <w:highlight w:val="none"/>
          <w:u w:val="single"/>
        </w:rPr>
        <w:instrText xml:space="preserve"> HYPERLINK "https://ssfb86.com/index/News/detail/newsid/15325.html" </w:instrText>
      </w:r>
      <w:r>
        <w:rPr>
          <w:rFonts w:hint="eastAsia" w:ascii="宋体" w:hAnsi="宋体" w:eastAsia="宋体" w:cs="宋体"/>
          <w:i w:val="0"/>
          <w:iCs w:val="0"/>
          <w:caps w:val="0"/>
          <w:color w:val="6E6E6E"/>
          <w:spacing w:val="0"/>
          <w:sz w:val="24"/>
          <w:szCs w:val="24"/>
          <w:highlight w:val="none"/>
          <w:u w:val="single"/>
        </w:rPr>
        <w:fldChar w:fldCharType="separate"/>
      </w:r>
      <w:r>
        <w:rPr>
          <w:rStyle w:val="8"/>
          <w:rFonts w:hint="eastAsia" w:ascii="楷体" w:hAnsi="楷体" w:eastAsia="楷体" w:cs="楷体"/>
          <w:i w:val="0"/>
          <w:iCs w:val="0"/>
          <w:caps w:val="0"/>
          <w:color w:val="0000FF"/>
          <w:spacing w:val="0"/>
          <w:sz w:val="24"/>
          <w:szCs w:val="24"/>
          <w:highlight w:val="none"/>
          <w:u w:val="single"/>
        </w:rPr>
        <w:t>税收争议</w:t>
      </w:r>
      <w:r>
        <w:rPr>
          <w:rFonts w:hint="eastAsia" w:ascii="宋体" w:hAnsi="宋体" w:eastAsia="宋体" w:cs="宋体"/>
          <w:i w:val="0"/>
          <w:iCs w:val="0"/>
          <w:caps w:val="0"/>
          <w:color w:val="6E6E6E"/>
          <w:spacing w:val="0"/>
          <w:sz w:val="24"/>
          <w:szCs w:val="24"/>
          <w:highlight w:val="none"/>
          <w:u w:val="single"/>
        </w:rPr>
        <w:fldChar w:fldCharType="end"/>
      </w:r>
      <w:r>
        <w:rPr>
          <w:rFonts w:hint="eastAsia" w:ascii="楷体" w:hAnsi="楷体" w:eastAsia="楷体" w:cs="楷体"/>
          <w:i w:val="0"/>
          <w:iCs w:val="0"/>
          <w:caps w:val="0"/>
          <w:color w:val="0070C0"/>
          <w:spacing w:val="0"/>
          <w:sz w:val="24"/>
          <w:szCs w:val="24"/>
          <w:highlight w:val="none"/>
        </w:rPr>
        <w:t>：0元股转，是否要补缴个税？】</w:t>
      </w:r>
    </w:p>
    <w:p w14:paraId="1223F1A9">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楷体" w:hAnsi="楷体" w:eastAsia="楷体" w:cs="楷体"/>
          <w:i w:val="0"/>
          <w:iCs w:val="0"/>
          <w:caps w:val="0"/>
          <w:color w:val="0000FF"/>
          <w:spacing w:val="0"/>
          <w:sz w:val="24"/>
          <w:szCs w:val="24"/>
          <w:highlight w:val="none"/>
        </w:rPr>
      </w:pPr>
      <w:r>
        <w:rPr>
          <w:rFonts w:ascii="楷体" w:hAnsi="楷体" w:eastAsia="楷体" w:cs="楷体"/>
          <w:i w:val="0"/>
          <w:iCs w:val="0"/>
          <w:caps w:val="0"/>
          <w:color w:val="0000FF"/>
          <w:spacing w:val="0"/>
          <w:sz w:val="24"/>
          <w:szCs w:val="24"/>
          <w:highlight w:val="none"/>
        </w:rPr>
        <w:t>【</w:t>
      </w:r>
      <w:r>
        <w:rPr>
          <w:rFonts w:hint="eastAsia" w:ascii="宋体" w:hAnsi="宋体" w:eastAsia="宋体" w:cs="宋体"/>
          <w:i w:val="0"/>
          <w:iCs w:val="0"/>
          <w:caps w:val="0"/>
          <w:color w:val="6E6E6E"/>
          <w:spacing w:val="0"/>
          <w:sz w:val="24"/>
          <w:szCs w:val="24"/>
          <w:highlight w:val="none"/>
          <w:u w:val="single"/>
        </w:rPr>
        <w:fldChar w:fldCharType="begin"/>
      </w:r>
      <w:r>
        <w:rPr>
          <w:rFonts w:hint="eastAsia" w:ascii="宋体" w:hAnsi="宋体" w:eastAsia="宋体" w:cs="宋体"/>
          <w:i w:val="0"/>
          <w:iCs w:val="0"/>
          <w:caps w:val="0"/>
          <w:color w:val="6E6E6E"/>
          <w:spacing w:val="0"/>
          <w:sz w:val="24"/>
          <w:szCs w:val="24"/>
          <w:highlight w:val="none"/>
          <w:u w:val="single"/>
        </w:rPr>
        <w:instrText xml:space="preserve"> HYPERLINK "https://www.ssfb86.com/index/News/detail/newsid/16478.html" </w:instrText>
      </w:r>
      <w:r>
        <w:rPr>
          <w:rFonts w:hint="eastAsia" w:ascii="宋体" w:hAnsi="宋体" w:eastAsia="宋体" w:cs="宋体"/>
          <w:i w:val="0"/>
          <w:iCs w:val="0"/>
          <w:caps w:val="0"/>
          <w:color w:val="6E6E6E"/>
          <w:spacing w:val="0"/>
          <w:sz w:val="24"/>
          <w:szCs w:val="24"/>
          <w:highlight w:val="none"/>
          <w:u w:val="single"/>
        </w:rPr>
        <w:fldChar w:fldCharType="separate"/>
      </w:r>
      <w:r>
        <w:rPr>
          <w:rStyle w:val="8"/>
          <w:rFonts w:hint="eastAsia" w:ascii="楷体" w:hAnsi="楷体" w:eastAsia="楷体" w:cs="楷体"/>
          <w:i w:val="0"/>
          <w:iCs w:val="0"/>
          <w:caps w:val="0"/>
          <w:color w:val="0000FF"/>
          <w:spacing w:val="0"/>
          <w:sz w:val="24"/>
          <w:szCs w:val="24"/>
          <w:highlight w:val="none"/>
          <w:u w:val="single"/>
        </w:rPr>
        <w:t>案例一</w:t>
      </w:r>
      <w:r>
        <w:rPr>
          <w:rFonts w:hint="eastAsia" w:ascii="宋体" w:hAnsi="宋体" w:eastAsia="宋体" w:cs="宋体"/>
          <w:i w:val="0"/>
          <w:iCs w:val="0"/>
          <w:caps w:val="0"/>
          <w:color w:val="6E6E6E"/>
          <w:spacing w:val="0"/>
          <w:sz w:val="24"/>
          <w:szCs w:val="24"/>
          <w:highlight w:val="none"/>
          <w:u w:val="single"/>
        </w:rPr>
        <w:fldChar w:fldCharType="end"/>
      </w:r>
      <w:r>
        <w:rPr>
          <w:rFonts w:hint="eastAsia" w:ascii="楷体" w:hAnsi="楷体" w:eastAsia="楷体" w:cs="楷体"/>
          <w:i w:val="0"/>
          <w:iCs w:val="0"/>
          <w:caps w:val="0"/>
          <w:color w:val="0000FF"/>
          <w:spacing w:val="0"/>
          <w:sz w:val="24"/>
          <w:szCs w:val="24"/>
          <w:highlight w:val="none"/>
        </w:rPr>
        <w:t>：王某诉上海市青浦区税务局不予退税决定及上海市税务局行政复议决定案——该案明确对赌模式下，因对赌失败而作出的业绩补偿，不是对股权转让交易总对价的调整，不改变原股权转让时已确定的应税事实。】</w:t>
      </w:r>
    </w:p>
    <w:p w14:paraId="5B6C80BC">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楷体" w:hAnsi="楷体" w:eastAsia="楷体" w:cs="楷体"/>
          <w:i w:val="0"/>
          <w:iCs w:val="0"/>
          <w:caps w:val="0"/>
          <w:color w:val="0000FF"/>
          <w:spacing w:val="0"/>
          <w:sz w:val="24"/>
          <w:szCs w:val="24"/>
          <w:highlight w:val="none"/>
          <w:lang w:val="en-US" w:eastAsia="zh-CN"/>
        </w:rPr>
      </w:pPr>
      <w:r>
        <w:rPr>
          <w:rFonts w:ascii="楷体" w:hAnsi="楷体" w:eastAsia="楷体" w:cs="楷体"/>
          <w:i w:val="0"/>
          <w:iCs w:val="0"/>
          <w:caps w:val="0"/>
          <w:color w:val="0070C0"/>
          <w:spacing w:val="0"/>
          <w:sz w:val="24"/>
          <w:szCs w:val="24"/>
          <w:highlight w:val="none"/>
        </w:rPr>
        <w:t>【</w:t>
      </w:r>
      <w:r>
        <w:rPr>
          <w:rFonts w:hint="eastAsia" w:ascii="宋体" w:hAnsi="宋体" w:eastAsia="宋体" w:cs="宋体"/>
          <w:i w:val="0"/>
          <w:iCs w:val="0"/>
          <w:caps w:val="0"/>
          <w:color w:val="6E6E6E"/>
          <w:spacing w:val="0"/>
          <w:sz w:val="24"/>
          <w:szCs w:val="24"/>
          <w:highlight w:val="none"/>
          <w:u w:val="single"/>
        </w:rPr>
        <w:fldChar w:fldCharType="begin"/>
      </w:r>
      <w:r>
        <w:rPr>
          <w:rFonts w:hint="eastAsia" w:ascii="宋体" w:hAnsi="宋体" w:eastAsia="宋体" w:cs="宋体"/>
          <w:i w:val="0"/>
          <w:iCs w:val="0"/>
          <w:caps w:val="0"/>
          <w:color w:val="6E6E6E"/>
          <w:spacing w:val="0"/>
          <w:sz w:val="24"/>
          <w:szCs w:val="24"/>
          <w:highlight w:val="none"/>
          <w:u w:val="single"/>
        </w:rPr>
        <w:instrText xml:space="preserve"> HYPERLINK "https://www.ssfb86.com/index/News/detail/newsid/16400.html" </w:instrText>
      </w:r>
      <w:r>
        <w:rPr>
          <w:rFonts w:hint="eastAsia" w:ascii="宋体" w:hAnsi="宋体" w:eastAsia="宋体" w:cs="宋体"/>
          <w:i w:val="0"/>
          <w:iCs w:val="0"/>
          <w:caps w:val="0"/>
          <w:color w:val="6E6E6E"/>
          <w:spacing w:val="0"/>
          <w:sz w:val="24"/>
          <w:szCs w:val="24"/>
          <w:highlight w:val="none"/>
          <w:u w:val="single"/>
        </w:rPr>
        <w:fldChar w:fldCharType="separate"/>
      </w:r>
      <w:r>
        <w:rPr>
          <w:rStyle w:val="8"/>
          <w:rFonts w:hint="eastAsia" w:ascii="楷体" w:hAnsi="楷体" w:eastAsia="楷体" w:cs="楷体"/>
          <w:i w:val="0"/>
          <w:iCs w:val="0"/>
          <w:caps w:val="0"/>
          <w:color w:val="0070C0"/>
          <w:spacing w:val="0"/>
          <w:sz w:val="24"/>
          <w:szCs w:val="24"/>
          <w:highlight w:val="none"/>
          <w:u w:val="single"/>
        </w:rPr>
        <w:t>税案研究</w:t>
      </w:r>
      <w:r>
        <w:rPr>
          <w:rFonts w:hint="eastAsia" w:ascii="宋体" w:hAnsi="宋体" w:eastAsia="宋体" w:cs="宋体"/>
          <w:i w:val="0"/>
          <w:iCs w:val="0"/>
          <w:caps w:val="0"/>
          <w:color w:val="6E6E6E"/>
          <w:spacing w:val="0"/>
          <w:sz w:val="24"/>
          <w:szCs w:val="24"/>
          <w:highlight w:val="none"/>
          <w:u w:val="single"/>
        </w:rPr>
        <w:fldChar w:fldCharType="end"/>
      </w:r>
      <w:r>
        <w:rPr>
          <w:rFonts w:hint="eastAsia" w:ascii="楷体" w:hAnsi="楷体" w:eastAsia="楷体" w:cs="楷体"/>
          <w:i w:val="0"/>
          <w:iCs w:val="0"/>
          <w:caps w:val="0"/>
          <w:color w:val="0070C0"/>
          <w:spacing w:val="0"/>
          <w:sz w:val="24"/>
          <w:szCs w:val="24"/>
          <w:highlight w:val="none"/>
        </w:rPr>
        <w:t>：短期内两次股转价格不同，被补税款利息5400余万元，为什么？】</w:t>
      </w:r>
    </w:p>
    <w:p w14:paraId="20A9E709">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六、办理方式</w:t>
      </w:r>
    </w:p>
    <w:p w14:paraId="7D46C511">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线上/线下</w:t>
      </w:r>
    </w:p>
    <w:p w14:paraId="34CF784B">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bookmarkStart w:id="0" w:name="OLE_LINK2"/>
      <w:r>
        <w:rPr>
          <w:rFonts w:hint="eastAsia" w:ascii="宋体" w:hAnsi="宋体" w:eastAsia="宋体" w:cs="宋体"/>
          <w:b/>
          <w:sz w:val="24"/>
          <w:szCs w:val="24"/>
          <w:highlight w:val="none"/>
          <w:lang w:val="en-US" w:eastAsia="zh-CN"/>
        </w:rPr>
        <w:t>七、办理时限</w:t>
      </w:r>
    </w:p>
    <w:p w14:paraId="0F282D24">
      <w:pPr>
        <w:pStyle w:val="2"/>
        <w:ind w:firstLine="480" w:firstLineChars="200"/>
        <w:rPr>
          <w:rFonts w:hint="default"/>
          <w:highlight w:val="none"/>
          <w:lang w:val="en-US" w:eastAsia="zh-CN"/>
        </w:rPr>
      </w:pPr>
      <w:r>
        <w:rPr>
          <w:rFonts w:hint="eastAsia" w:ascii="宋体" w:hAnsi="宋体" w:eastAsia="宋体" w:cs="宋体"/>
          <w:bCs/>
          <w:sz w:val="24"/>
          <w:szCs w:val="24"/>
          <w:highlight w:val="none"/>
        </w:rPr>
        <w:t>即时办结</w:t>
      </w:r>
    </w:p>
    <w:bookmarkEnd w:id="0"/>
    <w:p w14:paraId="3B822142">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八、操作指引</w:t>
      </w:r>
    </w:p>
    <w:p w14:paraId="274FAF4A">
      <w:pPr>
        <w:keepNext/>
        <w:keepLines/>
        <w:pageBreakBefore w:val="0"/>
        <w:kinsoku/>
        <w:wordWrap/>
        <w:bidi w:val="0"/>
        <w:snapToGrid/>
        <w:spacing w:before="157" w:beforeLines="50" w:after="157" w:afterLines="50" w:line="360" w:lineRule="auto"/>
        <w:ind w:firstLine="482" w:firstLine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（一）</w:t>
      </w:r>
      <w:r>
        <w:rPr>
          <w:rFonts w:hint="eastAsia" w:ascii="宋体" w:hAnsi="宋体" w:eastAsia="宋体" w:cs="宋体"/>
          <w:b/>
          <w:sz w:val="24"/>
          <w:szCs w:val="24"/>
          <w:highlight w:val="none"/>
        </w:rPr>
        <w:t>线上流程</w:t>
      </w:r>
    </w:p>
    <w:p w14:paraId="3466CEB2">
      <w:pPr>
        <w:pStyle w:val="9"/>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扣缴义务人</w:t>
      </w:r>
      <w:r>
        <w:rPr>
          <w:rFonts w:hint="eastAsia" w:ascii="宋体" w:hAnsi="宋体" w:eastAsia="宋体" w:cs="宋体"/>
          <w:sz w:val="24"/>
          <w:szCs w:val="24"/>
          <w:highlight w:val="none"/>
        </w:rPr>
        <w:t>登录</w:t>
      </w:r>
      <w:r>
        <w:rPr>
          <w:rFonts w:hint="eastAsia" w:ascii="宋体" w:hAnsi="宋体" w:eastAsia="宋体" w:cs="宋体"/>
          <w:bCs/>
          <w:sz w:val="24"/>
          <w:szCs w:val="24"/>
          <w:highlight w:val="none"/>
        </w:rPr>
        <w:t>自然人电子税务局（扣缴端）、自然人电子税务局（WEB端）</w:t>
      </w:r>
      <w:r>
        <w:rPr>
          <w:rFonts w:hint="eastAsia" w:ascii="宋体" w:hAnsi="宋体" w:eastAsia="宋体" w:cs="宋体"/>
          <w:sz w:val="24"/>
          <w:szCs w:val="24"/>
          <w:highlight w:val="none"/>
        </w:rPr>
        <w:t>，通过对应功能，自主完成信息填报并提交。</w:t>
      </w:r>
    </w:p>
    <w:p w14:paraId="02650782">
      <w:pPr>
        <w:keepNext/>
        <w:keepLines/>
        <w:pageBreakBefore w:val="0"/>
        <w:kinsoku/>
        <w:wordWrap/>
        <w:bidi w:val="0"/>
        <w:snapToGrid/>
        <w:spacing w:before="157" w:beforeLines="50" w:after="157" w:afterLines="50" w:line="360" w:lineRule="auto"/>
        <w:ind w:firstLine="482" w:firstLine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（二）</w:t>
      </w:r>
      <w:r>
        <w:rPr>
          <w:rFonts w:hint="eastAsia" w:ascii="宋体" w:hAnsi="宋体" w:eastAsia="宋体" w:cs="宋体"/>
          <w:b/>
          <w:sz w:val="24"/>
          <w:szCs w:val="24"/>
          <w:highlight w:val="none"/>
        </w:rPr>
        <w:t>线下流程：</w:t>
      </w:r>
    </w:p>
    <w:p w14:paraId="6BB390B3">
      <w:pPr>
        <w:pStyle w:val="9"/>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扣缴义务人</w:t>
      </w:r>
      <w:r>
        <w:rPr>
          <w:rFonts w:hint="eastAsia" w:ascii="宋体" w:hAnsi="宋体" w:eastAsia="宋体" w:cs="宋体"/>
          <w:sz w:val="24"/>
          <w:szCs w:val="24"/>
          <w:highlight w:val="none"/>
        </w:rPr>
        <w:t>在办税服务厅提交相应材料，报告相关信息</w:t>
      </w:r>
      <w:r>
        <w:rPr>
          <w:rFonts w:hint="eastAsia" w:ascii="宋体" w:hAnsi="宋体" w:eastAsia="宋体" w:cs="宋体"/>
          <w:bCs/>
          <w:sz w:val="24"/>
          <w:szCs w:val="24"/>
          <w:highlight w:val="none"/>
        </w:rPr>
        <w:t>。</w:t>
      </w:r>
    </w:p>
    <w:p w14:paraId="560AEC8D">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九、资料处理</w:t>
      </w:r>
    </w:p>
    <w:p w14:paraId="2B135B62">
      <w:pPr>
        <w:pStyle w:val="9"/>
        <w:pageBreakBefore w:val="0"/>
        <w:kinsoku/>
        <w:wordWrap/>
        <w:bidi w:val="0"/>
        <w:snapToGrid/>
        <w:spacing w:before="157" w:beforeLines="50" w:after="157" w:afterLines="50" w:line="360" w:lineRule="auto"/>
        <w:ind w:firstLine="480" w:firstLineChars="20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扣缴义务人报告自然人身份信息——股东变动报送资料清单</w:t>
      </w:r>
    </w:p>
    <w:tbl>
      <w:tblPr>
        <w:tblStyle w:val="5"/>
        <w:tblW w:w="8507" w:type="dxa"/>
        <w:tblInd w:w="1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14:paraId="5CE41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tcBorders>
              <w:top w:val="single" w:color="auto" w:sz="12" w:space="0"/>
              <w:bottom w:val="single" w:color="auto" w:sz="6" w:space="0"/>
            </w:tcBorders>
            <w:shd w:val="clear" w:color="auto" w:fill="E0E0E0"/>
            <w:noWrap w:val="0"/>
            <w:vAlign w:val="center"/>
          </w:tcPr>
          <w:p w14:paraId="03B324EB">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bookmarkStart w:id="1" w:name="_Hlk97652513"/>
            <w:r>
              <w:rPr>
                <w:rFonts w:hint="eastAsia" w:ascii="宋体" w:hAnsi="宋体" w:eastAsia="宋体" w:cs="宋体"/>
                <w:b/>
                <w:sz w:val="24"/>
                <w:szCs w:val="24"/>
                <w:highlight w:val="none"/>
              </w:rPr>
              <w:t>序号</w:t>
            </w:r>
          </w:p>
        </w:tc>
        <w:tc>
          <w:tcPr>
            <w:tcW w:w="4139" w:type="dxa"/>
            <w:tcBorders>
              <w:top w:val="single" w:color="auto" w:sz="12" w:space="0"/>
              <w:bottom w:val="single" w:color="auto" w:sz="6" w:space="0"/>
            </w:tcBorders>
            <w:shd w:val="clear" w:color="auto" w:fill="E0E0E0"/>
            <w:noWrap w:val="0"/>
            <w:vAlign w:val="center"/>
          </w:tcPr>
          <w:p w14:paraId="2A162B0C">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624" w:type="dxa"/>
            <w:tcBorders>
              <w:top w:val="single" w:color="auto" w:sz="12" w:space="0"/>
              <w:bottom w:val="single" w:color="auto" w:sz="6" w:space="0"/>
            </w:tcBorders>
            <w:shd w:val="clear" w:color="auto" w:fill="E0E0E0"/>
            <w:noWrap w:val="0"/>
            <w:vAlign w:val="center"/>
          </w:tcPr>
          <w:p w14:paraId="662A7C68">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624" w:type="dxa"/>
            <w:tcBorders>
              <w:top w:val="single" w:color="auto" w:sz="12" w:space="0"/>
              <w:bottom w:val="single" w:color="auto" w:sz="6" w:space="0"/>
            </w:tcBorders>
            <w:shd w:val="clear" w:color="auto" w:fill="E0E0E0"/>
            <w:noWrap w:val="0"/>
            <w:vAlign w:val="center"/>
          </w:tcPr>
          <w:p w14:paraId="40974ABF">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624" w:type="dxa"/>
            <w:tcBorders>
              <w:top w:val="single" w:color="auto" w:sz="12" w:space="0"/>
              <w:bottom w:val="single" w:color="auto" w:sz="6" w:space="0"/>
            </w:tcBorders>
            <w:shd w:val="clear" w:color="auto" w:fill="E0E0E0"/>
            <w:noWrap w:val="0"/>
            <w:vAlign w:val="center"/>
          </w:tcPr>
          <w:p w14:paraId="7F42375D">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624" w:type="dxa"/>
            <w:tcBorders>
              <w:top w:val="single" w:color="auto" w:sz="12" w:space="0"/>
              <w:bottom w:val="single" w:color="auto" w:sz="6" w:space="0"/>
            </w:tcBorders>
            <w:shd w:val="clear" w:color="auto" w:fill="E0E0E0"/>
            <w:noWrap w:val="0"/>
            <w:vAlign w:val="center"/>
          </w:tcPr>
          <w:p w14:paraId="1A3CB2A3">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624" w:type="dxa"/>
            <w:tcBorders>
              <w:top w:val="single" w:color="auto" w:sz="12" w:space="0"/>
              <w:bottom w:val="single" w:color="auto" w:sz="6" w:space="0"/>
            </w:tcBorders>
            <w:shd w:val="clear" w:color="auto" w:fill="E0E0E0"/>
            <w:noWrap w:val="0"/>
            <w:vAlign w:val="center"/>
          </w:tcPr>
          <w:p w14:paraId="36668ABA">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624" w:type="dxa"/>
            <w:tcBorders>
              <w:top w:val="single" w:color="auto" w:sz="12" w:space="0"/>
              <w:bottom w:val="single" w:color="auto" w:sz="6" w:space="0"/>
            </w:tcBorders>
            <w:shd w:val="clear" w:color="auto" w:fill="E0E0E0"/>
            <w:noWrap w:val="0"/>
            <w:vAlign w:val="center"/>
          </w:tcPr>
          <w:p w14:paraId="37F70FAB">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5D5A8C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tcBorders>
              <w:top w:val="single" w:color="auto" w:sz="6" w:space="0"/>
            </w:tcBorders>
            <w:noWrap w:val="0"/>
            <w:vAlign w:val="center"/>
          </w:tcPr>
          <w:p w14:paraId="174A41C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139" w:type="dxa"/>
            <w:tcBorders>
              <w:top w:val="single" w:color="auto" w:sz="6" w:space="0"/>
            </w:tcBorders>
            <w:noWrap w:val="0"/>
            <w:vAlign w:val="center"/>
          </w:tcPr>
          <w:p w14:paraId="7BC31784">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《个人所得税基础信息表（A表）》</w:t>
            </w:r>
          </w:p>
        </w:tc>
        <w:tc>
          <w:tcPr>
            <w:tcW w:w="624" w:type="dxa"/>
            <w:tcBorders>
              <w:top w:val="single" w:color="auto" w:sz="6" w:space="0"/>
            </w:tcBorders>
            <w:noWrap w:val="0"/>
            <w:vAlign w:val="center"/>
          </w:tcPr>
          <w:p w14:paraId="6FEC179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tcBorders>
            <w:noWrap w:val="0"/>
            <w:vAlign w:val="center"/>
          </w:tcPr>
          <w:p w14:paraId="10F64B1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tcBorders>
            <w:noWrap w:val="0"/>
            <w:vAlign w:val="center"/>
          </w:tcPr>
          <w:p w14:paraId="0D7E7666">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tcBorders>
            <w:noWrap w:val="0"/>
            <w:vAlign w:val="center"/>
          </w:tcPr>
          <w:p w14:paraId="3BEB608A">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tcBorders>
            <w:noWrap w:val="0"/>
            <w:vAlign w:val="center"/>
          </w:tcPr>
          <w:p w14:paraId="3A273306">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tcBorders>
            <w:noWrap w:val="0"/>
            <w:vAlign w:val="center"/>
          </w:tcPr>
          <w:p w14:paraId="1BA0548D">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0FB5B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center"/>
          </w:tcPr>
          <w:p w14:paraId="3374DA9C">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139" w:type="dxa"/>
            <w:noWrap w:val="0"/>
            <w:vAlign w:val="center"/>
          </w:tcPr>
          <w:p w14:paraId="56F737EA">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股东变更情况说明</w:t>
            </w:r>
          </w:p>
        </w:tc>
        <w:tc>
          <w:tcPr>
            <w:tcW w:w="624" w:type="dxa"/>
            <w:noWrap w:val="0"/>
            <w:vAlign w:val="center"/>
          </w:tcPr>
          <w:p w14:paraId="20CBCAC8">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center"/>
          </w:tcPr>
          <w:p w14:paraId="65841A8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center"/>
          </w:tcPr>
          <w:p w14:paraId="2C6610F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center"/>
          </w:tcPr>
          <w:p w14:paraId="6D595693">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center"/>
          </w:tcPr>
          <w:p w14:paraId="02196BDC">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center"/>
          </w:tcPr>
          <w:p w14:paraId="1528FFEF">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59909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center"/>
          </w:tcPr>
          <w:p w14:paraId="55D87603">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139" w:type="dxa"/>
            <w:noWrap w:val="0"/>
            <w:vAlign w:val="center"/>
          </w:tcPr>
          <w:p w14:paraId="1C42796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股东及其股权变化情况、股权交易前原账面记载的盈余积累数额、转增股本数额及扣缴税款情况报告</w:t>
            </w:r>
          </w:p>
        </w:tc>
        <w:tc>
          <w:tcPr>
            <w:tcW w:w="624" w:type="dxa"/>
            <w:noWrap w:val="0"/>
            <w:vAlign w:val="center"/>
          </w:tcPr>
          <w:p w14:paraId="17D36F78">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center"/>
          </w:tcPr>
          <w:p w14:paraId="10D884C9">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center"/>
          </w:tcPr>
          <w:p w14:paraId="38A6BAE6">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center"/>
          </w:tcPr>
          <w:p w14:paraId="280A12A1">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center"/>
          </w:tcPr>
          <w:p w14:paraId="407AE751">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center"/>
          </w:tcPr>
          <w:p w14:paraId="32529B29">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bookmarkEnd w:id="1"/>
    </w:tbl>
    <w:p w14:paraId="73BB9248">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021B0"/>
    <w:rsid w:val="15290E8A"/>
    <w:rsid w:val="1B2258F4"/>
    <w:rsid w:val="1F364DE2"/>
    <w:rsid w:val="3A582F7D"/>
    <w:rsid w:val="44B35FB7"/>
    <w:rsid w:val="562926C0"/>
    <w:rsid w:val="64881973"/>
    <w:rsid w:val="70981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paragraph" w:customStyle="1" w:styleId="9">
    <w:name w:val="需求正文_0"/>
    <w:basedOn w:val="10"/>
    <w:qFormat/>
    <w:uiPriority w:val="0"/>
    <w:pPr>
      <w:topLinePunct/>
      <w:ind w:firstLine="200"/>
    </w:pPr>
    <w:rPr>
      <w:kern w:val="20"/>
      <w:sz w:val="20"/>
      <w:szCs w:val="20"/>
    </w:rPr>
  </w:style>
  <w:style w:type="paragraph" w:customStyle="1" w:styleId="10">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722</Words>
  <Characters>746</Characters>
  <Lines>0</Lines>
  <Paragraphs>0</Paragraphs>
  <TotalTime>3</TotalTime>
  <ScaleCrop>false</ScaleCrop>
  <LinksUpToDate>false</LinksUpToDate>
  <CharactersWithSpaces>748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2025-02-24T01:02:00Z</dcterms:created>
  <dc:creator>tsuser</dc:creator>
  <cp:lastModifiedBy>默默</cp:lastModifiedBy>
  <dcterms:modified xsi:type="dcterms:W3CDTF">2025-07-10T03:31:05Z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46AF0D03CA0445E4BB5001C0D157291F_12</vt:lpwstr>
  </property>
</Properties>
</file>