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650B2">
      <w:pPr>
        <w:rPr>
          <w:highlight w:val="none"/>
        </w:rPr>
      </w:pPr>
    </w:p>
    <w:p w14:paraId="172F9AC9">
      <w:pPr>
        <w:pStyle w:val="2"/>
        <w:rPr>
          <w:rFonts w:hint="eastAsia" w:ascii="宋体" w:hAnsi="宋体" w:eastAsia="宋体" w:cs="宋体"/>
          <w:i w:val="0"/>
          <w:iCs w:val="0"/>
          <w:caps w:val="0"/>
          <w:spacing w:val="0"/>
          <w:kern w:val="0"/>
          <w:sz w:val="24"/>
          <w:szCs w:val="24"/>
          <w:highlight w:val="none"/>
          <w:u w:val="none"/>
          <w:shd w:val="clear" w:fill="FFFFFF"/>
          <w:lang w:val="en-US" w:eastAsia="zh-CN" w:bidi="ar"/>
        </w:rPr>
      </w:pPr>
      <w:bookmarkStart w:id="1" w:name="_GoBack"/>
      <w:r>
        <w:rPr>
          <w:rFonts w:hint="eastAsia" w:ascii="宋体" w:hAnsi="宋体" w:eastAsia="宋体" w:cs="宋体"/>
          <w:i w:val="0"/>
          <w:iCs w:val="0"/>
          <w:caps w:val="0"/>
          <w:spacing w:val="0"/>
          <w:kern w:val="0"/>
          <w:sz w:val="24"/>
          <w:szCs w:val="24"/>
          <w:highlight w:val="none"/>
          <w:u w:val="none"/>
          <w:shd w:val="clear" w:fill="FFFFFF"/>
          <w:lang w:val="en-US" w:eastAsia="zh-CN" w:bidi="ar"/>
        </w:rPr>
        <w:t>3.4  个人所得税分期缴纳报告</w:t>
      </w:r>
      <w:bookmarkEnd w:id="1"/>
      <w:r>
        <w:rPr>
          <w:rFonts w:hint="eastAsia" w:ascii="宋体" w:hAnsi="宋体" w:eastAsia="宋体" w:cs="宋体"/>
          <w:i w:val="0"/>
          <w:iCs w:val="0"/>
          <w:caps w:val="0"/>
          <w:spacing w:val="0"/>
          <w:kern w:val="0"/>
          <w:sz w:val="24"/>
          <w:szCs w:val="24"/>
          <w:highlight w:val="none"/>
          <w:u w:val="none"/>
          <w:shd w:val="clear" w:fill="FFFFFF"/>
          <w:lang w:val="en-US" w:eastAsia="zh-CN" w:bidi="ar"/>
        </w:rPr>
        <w:t>——315</w:t>
      </w:r>
    </w:p>
    <w:p w14:paraId="18ACE5B1">
      <w:pPr>
        <w:pStyle w:val="2"/>
        <w:rPr>
          <w:rFonts w:hint="eastAsia" w:ascii="宋体" w:hAnsi="宋体" w:eastAsia="宋体" w:cs="宋体"/>
          <w:i w:val="0"/>
          <w:iCs w:val="0"/>
          <w:caps w:val="0"/>
          <w:spacing w:val="0"/>
          <w:kern w:val="0"/>
          <w:sz w:val="24"/>
          <w:szCs w:val="24"/>
          <w:highlight w:val="none"/>
          <w:u w:val="none"/>
          <w:shd w:val="clear" w:fill="FFFFFF"/>
          <w:lang w:val="en-US" w:eastAsia="zh-CN" w:bidi="ar"/>
        </w:rPr>
      </w:pPr>
    </w:p>
    <w:p w14:paraId="5AF790E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一、适用情形</w:t>
      </w:r>
    </w:p>
    <w:p w14:paraId="085F44AE">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个人所得税纳税人，发生非货币性资产投资等特定业务，符合法律、法规规定条件的，可以向税务机关报告，申请分期缴纳个人所得税。</w:t>
      </w:r>
    </w:p>
    <w:p w14:paraId="6FD67B0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18AD6C16">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.《财政部 国家税务总局关于个人非货币性资产投资有关个人所得税政策的通知》（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"https://ssfb86.com/index/News/detail/newsid/1044.html"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财税〔2015〕41号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4B2F592">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.《国家税务总局关于发布《股权转让所得个人所得税管理办法（试行）》的公告》（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"https://ssfb86.com/index/News/detail/newsid/1105.html"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国家税务总局公告2014年第67号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5604B261">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．《国家税务总局关于个人非货币性资产投资有关个人所得税征管问题的公告》（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"https://ssfb86.com/index/News/detail/newsid/1023.html"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国家税务总局公告2015年第20号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A17ADE9">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.《国家税务总局关于股权奖励和转增股本个人所得税征管问题的公告》（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"https://ssfb86.com/index/News/detail/newsid/889.html" </w:instrText>
      </w:r>
      <w:r>
        <w:rPr>
          <w:rFonts w:hint="eastAsia" w:ascii="宋体" w:hAnsi="宋体" w:eastAsia="宋体" w:cs="宋体"/>
          <w:bCs/>
          <w:sz w:val="24"/>
          <w:szCs w:val="24"/>
          <w:highlight w:val="none"/>
        </w:rPr>
        <w:fldChar w:fldCharType="separate"/>
      </w:r>
      <w:r>
        <w:rPr>
          <w:rStyle w:val="8"/>
          <w:rFonts w:hint="eastAsia" w:ascii="宋体" w:hAnsi="宋体" w:eastAsia="宋体" w:cs="宋体"/>
          <w:bCs/>
          <w:sz w:val="24"/>
          <w:szCs w:val="24"/>
          <w:highlight w:val="none"/>
        </w:rPr>
        <w:t>国家税务总局公告2015年第80号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343304F">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5AF3F4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"https://ssfb86.com/uploadfile/file/20200602/1591086674422748.xls" \o "《非货币性资产投资分期缴纳个人所得税备案表》及填报说明.xls"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66CC"/>
          <w:spacing w:val="0"/>
          <w:sz w:val="24"/>
          <w:szCs w:val="24"/>
          <w:highlight w:val="none"/>
          <w:u w:val="single"/>
          <w:shd w:val="clear" w:fill="FFFFFF"/>
        </w:rPr>
        <w:t>《非货币性资产投资分期缴纳个人所得税备案表》及填报说明.xls</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69CDC9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0066CC"/>
          <w:spacing w:val="0"/>
          <w:sz w:val="24"/>
          <w:szCs w:val="24"/>
          <w:highlight w:val="none"/>
          <w:u w:val="none"/>
          <w:shd w:val="clear" w:fill="FFFFFF"/>
          <w:lang w:val="en-US" w:eastAsia="zh-CN"/>
        </w:rPr>
        <w:t>2.</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"https://ssfb86.com/uploadfile/file/20200601/1590963794680174.doc" \o "《个人所得税分期缴纳备案表（股权奖励）》及填报说明.doc"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66CC"/>
          <w:spacing w:val="0"/>
          <w:sz w:val="24"/>
          <w:szCs w:val="24"/>
          <w:highlight w:val="none"/>
          <w:u w:val="single"/>
          <w:shd w:val="clear" w:fill="FFFFFF"/>
        </w:rPr>
        <w:t>《个人所得税分期缴纳备案表（股权奖励）》及填报说明.doc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67A831DD">
      <w:pPr>
        <w:keepNext w:val="0"/>
        <w:keepLines w:val="0"/>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bCs/>
          <w:sz w:val="24"/>
          <w:szCs w:val="24"/>
          <w:highlight w:val="none"/>
          <w:lang w:val="en-US" w:eastAsia="zh-CN"/>
        </w:rPr>
        <w:t>3.</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"https://ssfb86.com/uploadfile/file/20200601/1590963842270980.doc" \o "《个人所得税分期缴纳备案表（转增股本）》及填报说明.doc"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66CC"/>
          <w:spacing w:val="0"/>
          <w:sz w:val="24"/>
          <w:szCs w:val="24"/>
          <w:highlight w:val="none"/>
          <w:u w:val="single"/>
          <w:shd w:val="clear" w:fill="FFFFFF"/>
        </w:rPr>
        <w:t>《个人所得税分期缴纳备案表（转增股本）》及填报说明.doc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351F7190">
      <w:pPr>
        <w:pStyle w:val="2"/>
        <w:rPr>
          <w:rFonts w:hint="default"/>
          <w:highlight w:val="none"/>
          <w:lang w:val="en-US" w:eastAsia="zh-CN"/>
        </w:rPr>
      </w:pPr>
    </w:p>
    <w:p w14:paraId="37728FC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1CD3CBC4">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1.纳税人非货币性资产投资需要分期缴纳个人所得税的，应于取得被投资企业股权之日的次月15日内，自行制定缴税计划并向主管税务机关报送《非货币性资产投资分期缴纳个人所得税备案表》、纳税人身份证明、能够证明非货币性资产原值及合理税费的相关资料。初次办理涉税事宜的，应一并提供《个人所得税基础信息表（B表）》。纳税人分期缴税期间提出变更原分期缴税计划的，应重新制定分期缴税计划并向主管税务机关重新报送《非货币性资产投资分期缴纳个人所得税备案表》。2015年4月1日之前发生的非货币性资产投资，期限未超过5年，尚未进行税收处理且需要分期缴纳个人所得税的，纳税人应于《国家税务总局关于个人非货币性资产投资有关个人所得税征管问题的公告》下发之日起30日内向主管税务机关办理分期缴税备案手续。</w:t>
      </w:r>
    </w:p>
    <w:p w14:paraId="7BA6CFA4">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2.获得股权奖励的企业技术人员需要分期缴纳个人所得税的，应自行制定分期缴税计划，由企业于发生股权奖励的次月15日内，向主管税务机关办理分期缴税备案手续。办理股权奖励分期缴税，企业应向主管税务机关报送高新技术企业认定证书、股东大会或董事会决议、《个人所得税分期缴纳备案表（股权奖励）》、相关技术人员参与技术活动的说明材料、企业股权奖励计划、能够证明股权或股票价格的有关材料、企业转化科技成果的说明、最近一期企业财务报表等。</w:t>
      </w:r>
    </w:p>
    <w:p w14:paraId="48BBD86D">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3.办理转增股本分期缴税，企业应向主管税务机关报送高新技术企业认定证书、股东大会或董事会决议、《个人所得税分期缴纳备案表（转增股本）》、上年度及转增股本当月企业财务报表、转增股本有关情况说明等。</w:t>
      </w:r>
    </w:p>
    <w:p w14:paraId="304B508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2EF9700A">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00FF"/>
          <w:spacing w:val="0"/>
          <w:sz w:val="24"/>
          <w:szCs w:val="24"/>
          <w:highlight w:val="none"/>
          <w:lang w:val="en-US" w:eastAsia="zh-CN"/>
        </w:rPr>
      </w:pPr>
      <w:r>
        <w:rPr>
          <w:rFonts w:hint="eastAsia" w:ascii="宋体" w:hAnsi="宋体" w:cs="宋体"/>
          <w:sz w:val="24"/>
          <w:szCs w:val="24"/>
          <w:highlight w:val="none"/>
          <w:lang w:val="en-US" w:eastAsia="zh-CN"/>
        </w:rPr>
        <w:t>整理中</w:t>
      </w:r>
      <w:r>
        <w:rPr>
          <w:rFonts w:hint="eastAsia" w:ascii="宋体" w:hAnsi="宋体" w:eastAsia="宋体" w:cs="宋体"/>
          <w:sz w:val="24"/>
          <w:szCs w:val="24"/>
          <w:highlight w:val="none"/>
          <w:lang w:val="en-US" w:eastAsia="zh-CN"/>
        </w:rPr>
        <w:t>。</w:t>
      </w:r>
    </w:p>
    <w:p w14:paraId="70B80EA7">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2F52D180">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395908B0">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15CE08C6">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即时办结</w:t>
      </w:r>
    </w:p>
    <w:bookmarkEnd w:id="0"/>
    <w:p w14:paraId="7A8D92C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22A00012">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线上流程</w:t>
      </w:r>
    </w:p>
    <w:p w14:paraId="6C6AD88E">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纳税人登录自然人电子税务局（扣缴端）、自然人电子税务局（扣缴WEB端），通过对应功能，自主完成备案信息填报并提交。</w:t>
      </w:r>
    </w:p>
    <w:p w14:paraId="43E6AC91">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自然人电子税务局（扣缴WEB端）“股权奖励个人所得税分期缴纳备案”“转增股本个人所得税分期缴纳备案”。</w:t>
      </w:r>
    </w:p>
    <w:p w14:paraId="33EA9FAA">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线下流程：</w:t>
      </w:r>
    </w:p>
    <w:p w14:paraId="0AA4F594">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纳税人在办税服务厅提交相应材料，提出个人所得税分期缴纳备案申请。</w:t>
      </w:r>
    </w:p>
    <w:p w14:paraId="083D580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6497EB15">
      <w:pPr>
        <w:keepNext/>
        <w:pageBreakBefore w:val="0"/>
        <w:tabs>
          <w:tab w:val="center" w:pos="4200"/>
        </w:tabs>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个人所得税分期缴纳报告报送资料清单</w:t>
      </w:r>
    </w:p>
    <w:p w14:paraId="227C374C">
      <w:pPr>
        <w:pageBreakBefore w:val="0"/>
        <w:widowControl/>
        <w:kinsoku/>
        <w:wordWrap/>
        <w:overflowPunct/>
        <w:topLinePunct w:val="0"/>
        <w:autoSpaceDE/>
        <w:autoSpaceDN/>
        <w:bidi w:val="0"/>
        <w:adjustRightInd/>
        <w:snapToGrid/>
        <w:spacing w:before="157" w:beforeLines="50" w:after="157" w:afterLines="50" w:line="360" w:lineRule="auto"/>
        <w:ind w:firstLine="482" w:firstLineChars="200"/>
        <w:textAlignment w:val="auto"/>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1.以非货币性资产投资选择分期纳税的纳税人：</w:t>
      </w:r>
    </w:p>
    <w:tbl>
      <w:tblPr>
        <w:tblStyle w:val="6"/>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47139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2C75940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noWrap w:val="0"/>
            <w:vAlign w:val="center"/>
          </w:tcPr>
          <w:p w14:paraId="368C86F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noWrap w:val="0"/>
            <w:vAlign w:val="center"/>
          </w:tcPr>
          <w:p w14:paraId="61FE6FD5">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noWrap w:val="0"/>
            <w:vAlign w:val="center"/>
          </w:tcPr>
          <w:p w14:paraId="24950B6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noWrap w:val="0"/>
            <w:vAlign w:val="center"/>
          </w:tcPr>
          <w:p w14:paraId="4EEE950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noWrap w:val="0"/>
            <w:vAlign w:val="center"/>
          </w:tcPr>
          <w:p w14:paraId="1DA53445">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noWrap w:val="0"/>
            <w:vAlign w:val="center"/>
          </w:tcPr>
          <w:p w14:paraId="02AB3339">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noWrap w:val="0"/>
            <w:vAlign w:val="center"/>
          </w:tcPr>
          <w:p w14:paraId="47DC73E9">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2FDEF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701007D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i/>
                <w:iCs/>
                <w:sz w:val="24"/>
                <w:szCs w:val="24"/>
                <w:highlight w:val="none"/>
              </w:rPr>
            </w:pPr>
            <w:r>
              <w:rPr>
                <w:rFonts w:hint="eastAsia" w:ascii="宋体" w:hAnsi="宋体" w:eastAsia="宋体" w:cs="宋体"/>
                <w:sz w:val="24"/>
                <w:szCs w:val="24"/>
                <w:highlight w:val="none"/>
              </w:rPr>
              <w:t>1</w:t>
            </w:r>
          </w:p>
        </w:tc>
        <w:tc>
          <w:tcPr>
            <w:tcW w:w="4139" w:type="dxa"/>
            <w:noWrap w:val="0"/>
            <w:vAlign w:val="center"/>
          </w:tcPr>
          <w:p w14:paraId="741285D4">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《非货币性资产投资分期缴纳个人所得税备案表》</w:t>
            </w:r>
          </w:p>
        </w:tc>
        <w:tc>
          <w:tcPr>
            <w:tcW w:w="624" w:type="dxa"/>
            <w:noWrap w:val="0"/>
            <w:vAlign w:val="top"/>
          </w:tcPr>
          <w:p w14:paraId="04D208CA">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08D488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66D45CDA">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7E9074F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3BEE5FC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39F9F0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083BB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0C7220E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center"/>
          </w:tcPr>
          <w:p w14:paraId="14E81D48">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投资协议原件及复印件</w:t>
            </w:r>
          </w:p>
        </w:tc>
        <w:tc>
          <w:tcPr>
            <w:tcW w:w="624" w:type="dxa"/>
            <w:noWrap w:val="0"/>
            <w:vAlign w:val="top"/>
          </w:tcPr>
          <w:p w14:paraId="3CBE86A2">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758BB80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B3158D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D2D6FF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30840F7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1170CB7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49C96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7ED1E7A6">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center"/>
          </w:tcPr>
          <w:p w14:paraId="766A7CA4">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纳税人身份证件原件</w:t>
            </w:r>
          </w:p>
        </w:tc>
        <w:tc>
          <w:tcPr>
            <w:tcW w:w="624" w:type="dxa"/>
            <w:noWrap w:val="0"/>
            <w:vAlign w:val="top"/>
          </w:tcPr>
          <w:p w14:paraId="1E5302D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B45D06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152A3DB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3E3AEC8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679ABE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2A9EF5D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45D18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33DB03F2">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noWrap w:val="0"/>
            <w:vAlign w:val="center"/>
          </w:tcPr>
          <w:p w14:paraId="40C6CE5B">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非货币性资产评估价格证明材料</w:t>
            </w:r>
          </w:p>
        </w:tc>
        <w:tc>
          <w:tcPr>
            <w:tcW w:w="624" w:type="dxa"/>
            <w:noWrap w:val="0"/>
            <w:vAlign w:val="top"/>
          </w:tcPr>
          <w:p w14:paraId="67DBC672">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360FE59">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D099F5A">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0E137AD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3C6F998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2FD8D9C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3CBF2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2BB32F88">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noWrap w:val="0"/>
            <w:vAlign w:val="center"/>
          </w:tcPr>
          <w:p w14:paraId="14BD49CD">
            <w:pPr>
              <w:pageBreakBefore w:val="0"/>
              <w:kinsoku/>
              <w:wordWrap/>
              <w:overflowPunct/>
              <w:topLinePunct w:val="0"/>
              <w:autoSpaceDE/>
              <w:autoSpaceDN/>
              <w:bidi w:val="0"/>
              <w:adjustRightInd/>
              <w:snapToGrid/>
              <w:spacing w:before="157" w:beforeLines="50" w:after="157" w:afterLines="50" w:line="360" w:lineRule="auto"/>
              <w:textAlignment w:val="auto"/>
              <w:rPr>
                <w:rFonts w:ascii="宋体" w:hAnsi="宋体" w:eastAsia="宋体" w:cs="宋体"/>
                <w:sz w:val="24"/>
                <w:szCs w:val="24"/>
                <w:highlight w:val="none"/>
              </w:rPr>
            </w:pPr>
            <w:r>
              <w:rPr>
                <w:rFonts w:hint="eastAsia" w:ascii="宋体" w:hAnsi="宋体" w:eastAsia="宋体" w:cs="宋体"/>
                <w:sz w:val="24"/>
                <w:szCs w:val="24"/>
                <w:highlight w:val="none"/>
              </w:rPr>
              <w:t>能够证明非货币性资产原值及合理税费的相关资料</w:t>
            </w:r>
          </w:p>
        </w:tc>
        <w:tc>
          <w:tcPr>
            <w:tcW w:w="624" w:type="dxa"/>
            <w:noWrap w:val="0"/>
            <w:vAlign w:val="center"/>
          </w:tcPr>
          <w:p w14:paraId="24937393">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1A6D2F5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center"/>
          </w:tcPr>
          <w:p w14:paraId="7C2E4A9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center"/>
          </w:tcPr>
          <w:p w14:paraId="3FA2F5E3">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center"/>
          </w:tcPr>
          <w:p w14:paraId="4945504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center"/>
          </w:tcPr>
          <w:p w14:paraId="5EA2169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318ED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6C45A0D0">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4139" w:type="dxa"/>
            <w:noWrap w:val="0"/>
            <w:vAlign w:val="center"/>
          </w:tcPr>
          <w:p w14:paraId="558FEAE0">
            <w:pPr>
              <w:pageBreakBefore w:val="0"/>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《个人所得税基础信息表（B表）》</w:t>
            </w:r>
          </w:p>
        </w:tc>
        <w:tc>
          <w:tcPr>
            <w:tcW w:w="624" w:type="dxa"/>
            <w:noWrap w:val="0"/>
            <w:vAlign w:val="top"/>
          </w:tcPr>
          <w:p w14:paraId="474425F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A5FBFC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0CA091E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3AF9D7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AE5F2B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00BB389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bl>
    <w:p w14:paraId="07BF38AE">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上述条件报送资料的报送条件为：</w:t>
      </w:r>
    </w:p>
    <w:p w14:paraId="6E16AD9C">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未完成自然人信息采集的纳税人应报送《个人所得税基础信息表（B表）》</w:t>
      </w:r>
    </w:p>
    <w:p w14:paraId="727181A5">
      <w:pPr>
        <w:pageBreakBefore w:val="0"/>
        <w:widowControl/>
        <w:kinsoku/>
        <w:wordWrap/>
        <w:overflowPunct/>
        <w:topLinePunct w:val="0"/>
        <w:autoSpaceDE/>
        <w:autoSpaceDN/>
        <w:bidi w:val="0"/>
        <w:adjustRightInd/>
        <w:snapToGrid/>
        <w:spacing w:before="157" w:beforeLines="50" w:after="157" w:afterLines="50" w:line="360" w:lineRule="auto"/>
        <w:ind w:firstLine="482" w:firstLineChars="200"/>
        <w:textAlignment w:val="auto"/>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2.办理股权奖励分期纳税的企业：</w:t>
      </w:r>
    </w:p>
    <w:tbl>
      <w:tblPr>
        <w:tblStyle w:val="6"/>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580"/>
        <w:gridCol w:w="668"/>
        <w:gridCol w:w="624"/>
      </w:tblGrid>
      <w:tr w14:paraId="23226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4B8D6A4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noWrap w:val="0"/>
            <w:vAlign w:val="center"/>
          </w:tcPr>
          <w:p w14:paraId="491BD1E3">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noWrap w:val="0"/>
            <w:vAlign w:val="center"/>
          </w:tcPr>
          <w:p w14:paraId="77B9279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noWrap w:val="0"/>
            <w:vAlign w:val="center"/>
          </w:tcPr>
          <w:p w14:paraId="4E9BDA5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noWrap w:val="0"/>
            <w:vAlign w:val="center"/>
          </w:tcPr>
          <w:p w14:paraId="0DDA925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580" w:type="dxa"/>
            <w:noWrap w:val="0"/>
            <w:vAlign w:val="center"/>
          </w:tcPr>
          <w:p w14:paraId="4B142F3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68" w:type="dxa"/>
            <w:noWrap w:val="0"/>
            <w:vAlign w:val="center"/>
          </w:tcPr>
          <w:p w14:paraId="10ED2F7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noWrap w:val="0"/>
            <w:vAlign w:val="center"/>
          </w:tcPr>
          <w:p w14:paraId="00E7DB5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3A248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35E7B337">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noWrap w:val="0"/>
            <w:vAlign w:val="center"/>
          </w:tcPr>
          <w:p w14:paraId="661D7E5B">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《个人所得税分期缴纳备案表（股权奖励）》</w:t>
            </w:r>
          </w:p>
        </w:tc>
        <w:tc>
          <w:tcPr>
            <w:tcW w:w="624" w:type="dxa"/>
            <w:noWrap w:val="0"/>
            <w:vAlign w:val="top"/>
          </w:tcPr>
          <w:p w14:paraId="79932E8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B170A7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78DD2DB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75F88DF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071BC12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6082DA32">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0A5E6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3A369127">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center"/>
          </w:tcPr>
          <w:p w14:paraId="3FEF5F4F">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高新技术企业认定证书原件</w:t>
            </w:r>
          </w:p>
        </w:tc>
        <w:tc>
          <w:tcPr>
            <w:tcW w:w="624" w:type="dxa"/>
            <w:noWrap w:val="0"/>
            <w:vAlign w:val="top"/>
          </w:tcPr>
          <w:p w14:paraId="71719C1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629A9B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35717CA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580" w:type="dxa"/>
            <w:noWrap w:val="0"/>
            <w:vAlign w:val="top"/>
          </w:tcPr>
          <w:p w14:paraId="1B58F47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68" w:type="dxa"/>
            <w:noWrap w:val="0"/>
            <w:vAlign w:val="top"/>
          </w:tcPr>
          <w:p w14:paraId="28C72A43">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232C6E6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12BD1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55CA01B7">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center"/>
          </w:tcPr>
          <w:p w14:paraId="7DA80AC9">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高新技术企业认定证书复印件</w:t>
            </w:r>
          </w:p>
        </w:tc>
        <w:tc>
          <w:tcPr>
            <w:tcW w:w="624" w:type="dxa"/>
            <w:noWrap w:val="0"/>
            <w:vAlign w:val="top"/>
          </w:tcPr>
          <w:p w14:paraId="1927421A">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6FBECF9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1FDE4C0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0CBBEFA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76717F99">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E26272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0B5F7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1F27079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noWrap w:val="0"/>
            <w:vAlign w:val="center"/>
          </w:tcPr>
          <w:p w14:paraId="56BDB38A">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股东大会或董事会决议复印件</w:t>
            </w:r>
          </w:p>
        </w:tc>
        <w:tc>
          <w:tcPr>
            <w:tcW w:w="624" w:type="dxa"/>
            <w:noWrap w:val="0"/>
            <w:vAlign w:val="top"/>
          </w:tcPr>
          <w:p w14:paraId="78521BB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137B9DC5">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00E56F5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66F7E1E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5630966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251684DA">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70E7D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633D17BB">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noWrap w:val="0"/>
            <w:vAlign w:val="center"/>
          </w:tcPr>
          <w:p w14:paraId="45BB4AE2">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相关技术人员参与技术活动的说明材料</w:t>
            </w:r>
          </w:p>
        </w:tc>
        <w:tc>
          <w:tcPr>
            <w:tcW w:w="624" w:type="dxa"/>
            <w:noWrap w:val="0"/>
            <w:vAlign w:val="top"/>
          </w:tcPr>
          <w:p w14:paraId="4668F6DF">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4B7312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10713BF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7327200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708ED6F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4C9D075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5676D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124C87B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4139" w:type="dxa"/>
            <w:noWrap w:val="0"/>
            <w:vAlign w:val="center"/>
          </w:tcPr>
          <w:p w14:paraId="631FEBD6">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企业股权奖励计划</w:t>
            </w:r>
          </w:p>
        </w:tc>
        <w:tc>
          <w:tcPr>
            <w:tcW w:w="624" w:type="dxa"/>
            <w:noWrap w:val="0"/>
            <w:vAlign w:val="top"/>
          </w:tcPr>
          <w:p w14:paraId="463AFFA3">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61311AE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0F7609F2">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4F9947F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67B641D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20100F0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7193D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08770B1B">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7</w:t>
            </w:r>
          </w:p>
        </w:tc>
        <w:tc>
          <w:tcPr>
            <w:tcW w:w="4139" w:type="dxa"/>
            <w:noWrap w:val="0"/>
            <w:vAlign w:val="center"/>
          </w:tcPr>
          <w:p w14:paraId="16A3BC68">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能够证明股权或股票价格的有关材料</w:t>
            </w:r>
          </w:p>
        </w:tc>
        <w:tc>
          <w:tcPr>
            <w:tcW w:w="624" w:type="dxa"/>
            <w:noWrap w:val="0"/>
            <w:vAlign w:val="top"/>
          </w:tcPr>
          <w:p w14:paraId="0E908E8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B6B885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01DABBA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0348E22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35920D0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633AA39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65B76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74FC322D">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8</w:t>
            </w:r>
          </w:p>
        </w:tc>
        <w:tc>
          <w:tcPr>
            <w:tcW w:w="4139" w:type="dxa"/>
            <w:noWrap w:val="0"/>
            <w:vAlign w:val="center"/>
          </w:tcPr>
          <w:p w14:paraId="23C11393">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企业转化科技成果的说明</w:t>
            </w:r>
          </w:p>
        </w:tc>
        <w:tc>
          <w:tcPr>
            <w:tcW w:w="624" w:type="dxa"/>
            <w:noWrap w:val="0"/>
            <w:vAlign w:val="top"/>
          </w:tcPr>
          <w:p w14:paraId="576CFDA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32750C9">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4AB9B06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7EA5DBE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72E3D93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454F71A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16570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0C108841">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9</w:t>
            </w:r>
          </w:p>
        </w:tc>
        <w:tc>
          <w:tcPr>
            <w:tcW w:w="4139" w:type="dxa"/>
            <w:noWrap w:val="0"/>
            <w:vAlign w:val="center"/>
          </w:tcPr>
          <w:p w14:paraId="0861CD2B">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最近一期企业财务报表</w:t>
            </w:r>
          </w:p>
        </w:tc>
        <w:tc>
          <w:tcPr>
            <w:tcW w:w="624" w:type="dxa"/>
            <w:noWrap w:val="0"/>
            <w:vAlign w:val="top"/>
          </w:tcPr>
          <w:p w14:paraId="39C199F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612212D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E0E3C1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7664CB65">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5C3E773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172B6D6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bl>
    <w:p w14:paraId="64231FE0">
      <w:pPr>
        <w:pageBreakBefore w:val="0"/>
        <w:widowControl/>
        <w:kinsoku/>
        <w:wordWrap/>
        <w:overflowPunct/>
        <w:topLinePunct w:val="0"/>
        <w:autoSpaceDE/>
        <w:autoSpaceDN/>
        <w:bidi w:val="0"/>
        <w:adjustRightInd/>
        <w:snapToGrid/>
        <w:spacing w:before="157" w:beforeLines="50" w:after="157" w:afterLines="50" w:line="360" w:lineRule="auto"/>
        <w:ind w:firstLine="482" w:firstLineChars="200"/>
        <w:textAlignment w:val="auto"/>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3.办理转增股本分期纳税的企业：</w:t>
      </w:r>
    </w:p>
    <w:tbl>
      <w:tblPr>
        <w:tblStyle w:val="6"/>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580"/>
        <w:gridCol w:w="668"/>
        <w:gridCol w:w="624"/>
      </w:tblGrid>
      <w:tr w14:paraId="66F0C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09A1F0E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noWrap w:val="0"/>
            <w:vAlign w:val="center"/>
          </w:tcPr>
          <w:p w14:paraId="71D434F5">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noWrap w:val="0"/>
            <w:vAlign w:val="center"/>
          </w:tcPr>
          <w:p w14:paraId="4CE62CF9">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noWrap w:val="0"/>
            <w:vAlign w:val="center"/>
          </w:tcPr>
          <w:p w14:paraId="6D3F0065">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noWrap w:val="0"/>
            <w:vAlign w:val="center"/>
          </w:tcPr>
          <w:p w14:paraId="71F0133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580" w:type="dxa"/>
            <w:noWrap w:val="0"/>
            <w:vAlign w:val="center"/>
          </w:tcPr>
          <w:p w14:paraId="1A08384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68" w:type="dxa"/>
            <w:noWrap w:val="0"/>
            <w:vAlign w:val="center"/>
          </w:tcPr>
          <w:p w14:paraId="75F5055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noWrap w:val="0"/>
            <w:vAlign w:val="center"/>
          </w:tcPr>
          <w:p w14:paraId="34622EF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586203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07F40F93">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noWrap w:val="0"/>
            <w:vAlign w:val="center"/>
          </w:tcPr>
          <w:p w14:paraId="4724E985">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《个人所得税分期缴纳备案表（转增股本）》</w:t>
            </w:r>
          </w:p>
        </w:tc>
        <w:tc>
          <w:tcPr>
            <w:tcW w:w="624" w:type="dxa"/>
            <w:noWrap w:val="0"/>
            <w:vAlign w:val="top"/>
          </w:tcPr>
          <w:p w14:paraId="4EADA33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961D77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682F3E93">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2EBF028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2317678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1DC2FD6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4A4DF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79CAB25F">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center"/>
          </w:tcPr>
          <w:p w14:paraId="67D045B8">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高新技术企业认定证书原件</w:t>
            </w:r>
          </w:p>
        </w:tc>
        <w:tc>
          <w:tcPr>
            <w:tcW w:w="624" w:type="dxa"/>
            <w:noWrap w:val="0"/>
            <w:vAlign w:val="top"/>
          </w:tcPr>
          <w:p w14:paraId="6ED7945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95C4501">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02728A7">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580" w:type="dxa"/>
            <w:noWrap w:val="0"/>
            <w:vAlign w:val="top"/>
          </w:tcPr>
          <w:p w14:paraId="508D8F15">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68" w:type="dxa"/>
            <w:noWrap w:val="0"/>
            <w:vAlign w:val="top"/>
          </w:tcPr>
          <w:p w14:paraId="26303732">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850B08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624A8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369A0EB9">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center"/>
          </w:tcPr>
          <w:p w14:paraId="03310F59">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高新技术企业认定证书复印件</w:t>
            </w:r>
          </w:p>
        </w:tc>
        <w:tc>
          <w:tcPr>
            <w:tcW w:w="624" w:type="dxa"/>
            <w:noWrap w:val="0"/>
            <w:vAlign w:val="top"/>
          </w:tcPr>
          <w:p w14:paraId="48C18B8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1DAA9D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6048C78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69A2C1CF">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01B8B74C">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136CD8F">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58FEB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54BC135E">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noWrap w:val="0"/>
            <w:vAlign w:val="center"/>
          </w:tcPr>
          <w:p w14:paraId="50433A45">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股东大会或董事会决议复印件</w:t>
            </w:r>
          </w:p>
        </w:tc>
        <w:tc>
          <w:tcPr>
            <w:tcW w:w="624" w:type="dxa"/>
            <w:noWrap w:val="0"/>
            <w:vAlign w:val="top"/>
          </w:tcPr>
          <w:p w14:paraId="13D4B379">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3E6BA2F">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5FEC41F0">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05155A7F">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1F77AC2F">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1DF45F7E">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29185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49E4A3C4">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noWrap w:val="0"/>
            <w:vAlign w:val="center"/>
          </w:tcPr>
          <w:p w14:paraId="3A94788F">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上年度及转增股本当月企业财务报表</w:t>
            </w:r>
          </w:p>
        </w:tc>
        <w:tc>
          <w:tcPr>
            <w:tcW w:w="624" w:type="dxa"/>
            <w:noWrap w:val="0"/>
            <w:vAlign w:val="top"/>
          </w:tcPr>
          <w:p w14:paraId="1293B259">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3B9CF1A">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06828FC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24E45FC3">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4BF5D7BB">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456B8DE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r w14:paraId="42DF7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center"/>
          </w:tcPr>
          <w:p w14:paraId="26A8A3E1">
            <w:pPr>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4139" w:type="dxa"/>
            <w:noWrap w:val="0"/>
            <w:vAlign w:val="center"/>
          </w:tcPr>
          <w:p w14:paraId="640DBD12">
            <w:pPr>
              <w:pageBreakBefore w:val="0"/>
              <w:widowControl/>
              <w:kinsoku/>
              <w:wordWrap/>
              <w:overflowPunct/>
              <w:topLinePunct w:val="0"/>
              <w:autoSpaceDE/>
              <w:autoSpaceDN/>
              <w:bidi w:val="0"/>
              <w:adjustRightInd/>
              <w:snapToGrid/>
              <w:spacing w:before="157" w:beforeLines="50" w:after="157" w:afterLines="50" w:line="360" w:lineRule="auto"/>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转增股本有关情况说明</w:t>
            </w:r>
          </w:p>
        </w:tc>
        <w:tc>
          <w:tcPr>
            <w:tcW w:w="624" w:type="dxa"/>
            <w:noWrap w:val="0"/>
            <w:vAlign w:val="top"/>
          </w:tcPr>
          <w:p w14:paraId="2E326F62">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C40C604">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6DE81EE8">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p>
        </w:tc>
        <w:tc>
          <w:tcPr>
            <w:tcW w:w="580" w:type="dxa"/>
            <w:noWrap w:val="0"/>
            <w:vAlign w:val="top"/>
          </w:tcPr>
          <w:p w14:paraId="48CEA266">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68" w:type="dxa"/>
            <w:noWrap w:val="0"/>
            <w:vAlign w:val="top"/>
          </w:tcPr>
          <w:p w14:paraId="199D727D">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c>
          <w:tcPr>
            <w:tcW w:w="624" w:type="dxa"/>
            <w:noWrap w:val="0"/>
            <w:vAlign w:val="top"/>
          </w:tcPr>
          <w:p w14:paraId="315DC58A">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宋体"/>
                <w:sz w:val="24"/>
                <w:szCs w:val="24"/>
                <w:highlight w:val="none"/>
              </w:rPr>
            </w:pPr>
          </w:p>
        </w:tc>
      </w:tr>
    </w:tbl>
    <w:p w14:paraId="0793C94D">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注：</w:t>
      </w:r>
      <w:r>
        <w:rPr>
          <w:rFonts w:hint="eastAsia" w:ascii="宋体" w:hAnsi="宋体" w:eastAsia="宋体" w:cs="宋体"/>
          <w:bCs/>
          <w:sz w:val="21"/>
          <w:szCs w:val="21"/>
          <w:highlight w:val="none"/>
        </w:rPr>
        <w:t>1.纳税人非货币性资产投资需要分期缴纳个人所得税的，应于取得被投资企业股权之日的次月15日内，自行制定缴税计划并向主管税务机关报送《非货币性资产投资分期缴纳个人所得税备案表》、纳税人身份证明、能够证明非货币性资产原值及合理税费的相关资料。初次办理涉税事宜的，应一并提供《个人所得税基础信息表（B表）》。纳税人分期缴税期间提出变更原分期缴税计划的，应重新制定分期缴税</w:t>
      </w:r>
      <w:r>
        <w:rPr>
          <w:rFonts w:hint="eastAsia" w:ascii="宋体" w:hAnsi="宋体" w:eastAsia="宋体" w:cs="宋体"/>
          <w:bCs/>
          <w:sz w:val="24"/>
          <w:szCs w:val="24"/>
          <w:highlight w:val="none"/>
        </w:rPr>
        <w:t>计划并向主管税务机关重新报送《非货币性资产投资分期缴纳个人所得税备案表》。2015年4月1日之前发生的非货币性资产投资，期限未超过5年，尚未进行税收处理且需要分期缴纳个人所得税的，纳税人应于《国家税务总局关于个人非货币性资产投资有关个人所得税征管问题的公告》下发之日起30日内向主管税务机关办理分期缴税备案手续。</w:t>
      </w:r>
    </w:p>
    <w:p w14:paraId="7D9A38E2">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2.获得股权奖励的企业技术人员需要分期缴纳个人所得税的，应自行制定分期缴税计划，由企业于发生股权奖励的次月15日内，向主管税务机关办理分期缴税备案手续。办理股权奖励分期缴税，企业应向主管税务机关报送高新技术企业认定证书、股东大会或董事会决议、《个人所得税分期缴纳备案表（股权奖励）》、相关技术人员参与技术活动的说明材料、企业股权奖励计划、能够证明股权或股票价格的有关材料、企业转化科技成果的说明、最近一期企业财务报表等。</w:t>
      </w:r>
    </w:p>
    <w:p w14:paraId="73559C10">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3.办理转增股本分期缴税，企业应向主管税务机关报送高新技术企业认定证书、股东大会或董事会决议、《个人所得税分期缴纳备案表（转增股本）》、上年度及转增股本当月企业财务报表、转增股本有关情况说明等。</w:t>
      </w:r>
    </w:p>
    <w:p w14:paraId="079EC9C1">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ascii="宋体" w:hAnsi="宋体" w:eastAsia="宋体" w:cs="宋体"/>
          <w:bCs/>
          <w:sz w:val="24"/>
          <w:szCs w:val="24"/>
          <w:highlight w:val="none"/>
        </w:rPr>
      </w:pPr>
      <w:r>
        <w:rPr>
          <w:rFonts w:hint="eastAsia" w:ascii="宋体" w:hAnsi="宋体" w:eastAsia="宋体" w:cs="宋体"/>
          <w:bCs/>
          <w:sz w:val="24"/>
          <w:szCs w:val="24"/>
          <w:highlight w:val="none"/>
        </w:rPr>
        <w:t>4.高新技术企业认定证书、股东大会或董事会决议的原件，主管税务机关进行形式审核后退还企业，复印件及其他有关资料税务机关留存。</w:t>
      </w:r>
    </w:p>
    <w:p w14:paraId="2712822F">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4CD37A6C">
      <w:pPr>
        <w:pageBreakBefore w:val="0"/>
        <w:kinsoku/>
        <w:wordWrap/>
        <w:overflowPunct/>
        <w:topLinePunct w:val="0"/>
        <w:autoSpaceDE/>
        <w:autoSpaceDN/>
        <w:bidi w:val="0"/>
        <w:adjustRightInd/>
        <w:snapToGrid/>
        <w:spacing w:before="157" w:beforeLines="50" w:after="157" w:afterLines="50" w:line="360" w:lineRule="auto"/>
        <w:textAlignment w:val="auto"/>
        <w:rPr>
          <w:sz w:val="24"/>
          <w:szCs w:val="24"/>
          <w:highlight w:val="none"/>
        </w:rPr>
      </w:pPr>
    </w:p>
    <w:p w14:paraId="7C1C57A7">
      <w:pPr>
        <w:pageBreakBefore w:val="0"/>
        <w:kinsoku/>
        <w:wordWrap/>
        <w:overflowPunct/>
        <w:topLinePunct w:val="0"/>
        <w:autoSpaceDE/>
        <w:autoSpaceDN/>
        <w:bidi w:val="0"/>
        <w:adjustRightInd/>
        <w:snapToGrid/>
        <w:spacing w:before="157" w:beforeLines="50" w:after="157" w:afterLines="50" w:line="360" w:lineRule="auto"/>
        <w:textAlignment w:val="auto"/>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2584D"/>
    <w:rsid w:val="25C85F88"/>
    <w:rsid w:val="27B702D4"/>
    <w:rsid w:val="34C23978"/>
    <w:rsid w:val="3BB856A1"/>
    <w:rsid w:val="49CC06D5"/>
    <w:rsid w:val="583C76BE"/>
    <w:rsid w:val="64D52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rPr>
      <w:sz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2501</Words>
  <Characters>2566</Characters>
  <Lines>0</Lines>
  <Paragraphs>0</Paragraphs>
  <TotalTime>1</TotalTime>
  <ScaleCrop>false</ScaleCrop>
  <LinksUpToDate>false</LinksUpToDate>
  <CharactersWithSpaces>2569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2025-02-27T07:03:00Z</dcterms:created>
  <dc:creator>tsuser</dc:creator>
  <cp:lastModifiedBy>默默</cp:lastModifiedBy>
  <dcterms:modified xsi:type="dcterms:W3CDTF">2025-07-10T05:48:27Z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BB63B214FD65456C9F0C03180FFAEB2A_12</vt:lpwstr>
  </property>
</Properties>
</file>