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687FF">
      <w:pPr>
        <w:pStyle w:val="2"/>
        <w:rPr>
          <w:rFonts w:hint="eastAsia"/>
          <w:highlight w:val="none"/>
        </w:rPr>
      </w:pPr>
      <w:r>
        <w:rPr>
          <w:rFonts w:hint="eastAsia"/>
          <w:highlight w:val="none"/>
        </w:rPr>
        <w:t>6.1  个人所得税（调整）核定（线下）——600</w:t>
      </w:r>
    </w:p>
    <w:p w14:paraId="2A279D5B">
      <w:pPr>
        <w:pStyle w:val="2"/>
        <w:rPr>
          <w:rFonts w:hint="eastAsia"/>
          <w:highlight w:val="none"/>
        </w:rPr>
      </w:pPr>
    </w:p>
    <w:p w14:paraId="291CD1A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3874A5CD">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bidi="ar"/>
        </w:rPr>
        <w:t>（</w:t>
      </w:r>
      <w:r>
        <w:rPr>
          <w:rFonts w:hint="eastAsia" w:ascii="宋体" w:hAnsi="宋体" w:eastAsia="宋体" w:cs="宋体"/>
          <w:sz w:val="24"/>
          <w:szCs w:val="24"/>
          <w:highlight w:val="none"/>
          <w:shd w:val="clear" w:color="auto" w:fill="FFFFFF"/>
          <w:lang w:val="en-US" w:eastAsia="zh-CN" w:bidi="ar"/>
        </w:rPr>
        <w:t>一）</w:t>
      </w:r>
      <w:r>
        <w:rPr>
          <w:rFonts w:hint="eastAsia" w:ascii="宋体" w:hAnsi="宋体" w:eastAsia="宋体" w:cs="宋体"/>
          <w:sz w:val="24"/>
          <w:szCs w:val="24"/>
          <w:highlight w:val="none"/>
          <w:shd w:val="clear" w:color="auto" w:fill="FFFFFF"/>
          <w:lang w:bidi="ar"/>
        </w:rPr>
        <w:t>个人独资企业和合伙企业、个体工商户有下列情形之一的，主管税务机关应采取核定征收方式征收个人所得税：</w:t>
      </w:r>
    </w:p>
    <w:p w14:paraId="2F60F6D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t>①企业依照国家有关规定应当设置但未设置账簿的；</w:t>
      </w:r>
    </w:p>
    <w:p w14:paraId="32731AAB">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t>②企业虽设置账簿，但账目混乱或者成本资料、收入凭证、费用凭证残缺不全，难以查账的；</w:t>
      </w:r>
    </w:p>
    <w:p w14:paraId="4E5D87D5">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t>③纳税人发生纳税义务，未按照规定的期限办理纳税申报，经税务机关责令限期申报，逾期仍不申报的。</w:t>
      </w:r>
    </w:p>
    <w:p w14:paraId="74FE02A8">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bidi="ar"/>
        </w:rPr>
        <w:t>（</w:t>
      </w:r>
      <w:r>
        <w:rPr>
          <w:rFonts w:hint="eastAsia" w:ascii="宋体" w:hAnsi="宋体" w:eastAsia="宋体" w:cs="宋体"/>
          <w:sz w:val="24"/>
          <w:szCs w:val="24"/>
          <w:highlight w:val="none"/>
          <w:shd w:val="clear" w:color="auto" w:fill="FFFFFF"/>
          <w:lang w:val="en-US" w:eastAsia="zh-CN" w:bidi="ar"/>
        </w:rPr>
        <w:t>二）</w:t>
      </w:r>
      <w:r>
        <w:rPr>
          <w:rFonts w:hint="eastAsia" w:ascii="宋体" w:hAnsi="宋体" w:eastAsia="宋体" w:cs="宋体"/>
          <w:color w:val="FF0000"/>
          <w:sz w:val="24"/>
          <w:szCs w:val="24"/>
          <w:highlight w:val="none"/>
          <w:shd w:val="clear" w:color="auto" w:fill="FFFFFF"/>
          <w:lang w:bidi="ar"/>
        </w:rPr>
        <w:t>个人所得税综合所得汇算清缴事项，对税务机关责令限期改正，在期限届满后仍不申报的纳税人，主管税务机关可依据掌握的信息核定其应纳税</w:t>
      </w:r>
      <w:r>
        <w:rPr>
          <w:rFonts w:hint="eastAsia" w:ascii="宋体" w:hAnsi="宋体" w:eastAsia="宋体" w:cs="宋体"/>
          <w:sz w:val="24"/>
          <w:szCs w:val="24"/>
          <w:highlight w:val="none"/>
          <w:shd w:val="clear" w:color="auto" w:fill="FFFFFF"/>
          <w:lang w:bidi="ar"/>
        </w:rPr>
        <w:t>额。</w:t>
      </w:r>
    </w:p>
    <w:p w14:paraId="46BBC3E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1C8C0AB9">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highlight w:val="none"/>
        </w:rPr>
      </w:pPr>
      <w:r>
        <w:rPr>
          <w:rFonts w:hint="eastAsia" w:ascii="宋体" w:hAnsi="宋体" w:eastAsia="宋体" w:cs="宋体"/>
          <w:sz w:val="24"/>
          <w:szCs w:val="24"/>
          <w:highlight w:val="none"/>
          <w:lang w:bidi="ar"/>
        </w:rPr>
        <w:t>1.《中华人民共和国个人所得税法》（</w:t>
      </w:r>
      <w:r>
        <w:rPr>
          <w:rFonts w:hint="eastAsia" w:ascii="宋体" w:hAnsi="宋体" w:eastAsia="宋体" w:cs="宋体"/>
          <w:sz w:val="24"/>
          <w:szCs w:val="24"/>
          <w:highlight w:val="none"/>
          <w:lang w:bidi="ar"/>
        </w:rPr>
        <w:fldChar w:fldCharType="begin"/>
      </w:r>
      <w:r>
        <w:rPr>
          <w:rFonts w:hint="eastAsia" w:ascii="宋体" w:hAnsi="宋体" w:eastAsia="宋体" w:cs="宋体"/>
          <w:sz w:val="24"/>
          <w:szCs w:val="24"/>
          <w:highlight w:val="none"/>
          <w:lang w:bidi="ar"/>
        </w:rPr>
        <w:instrText xml:space="preserve"> HYPERLINK "https://ssfb86.com/index/News/detail/newsid/310.html" </w:instrText>
      </w:r>
      <w:r>
        <w:rPr>
          <w:rFonts w:hint="eastAsia" w:ascii="宋体" w:hAnsi="宋体" w:eastAsia="宋体" w:cs="宋体"/>
          <w:sz w:val="24"/>
          <w:szCs w:val="24"/>
          <w:highlight w:val="none"/>
          <w:lang w:bidi="ar"/>
        </w:rPr>
        <w:fldChar w:fldCharType="separate"/>
      </w:r>
      <w:r>
        <w:rPr>
          <w:rStyle w:val="9"/>
          <w:rFonts w:hint="eastAsia" w:ascii="宋体" w:hAnsi="宋体" w:eastAsia="宋体" w:cs="宋体"/>
          <w:sz w:val="24"/>
          <w:szCs w:val="24"/>
          <w:highlight w:val="none"/>
          <w:lang w:bidi="ar"/>
        </w:rPr>
        <w:t>中华人民共和国主席令第九号</w:t>
      </w:r>
      <w:r>
        <w:rPr>
          <w:rFonts w:hint="eastAsia" w:ascii="宋体" w:hAnsi="宋体" w:eastAsia="宋体" w:cs="宋体"/>
          <w:sz w:val="24"/>
          <w:szCs w:val="24"/>
          <w:highlight w:val="none"/>
          <w:lang w:bidi="ar"/>
        </w:rPr>
        <w:fldChar w:fldCharType="end"/>
      </w:r>
      <w:r>
        <w:rPr>
          <w:rFonts w:hint="eastAsia" w:ascii="宋体" w:hAnsi="宋体" w:eastAsia="宋体" w:cs="宋体"/>
          <w:sz w:val="24"/>
          <w:szCs w:val="24"/>
          <w:highlight w:val="none"/>
          <w:lang w:bidi="ar"/>
        </w:rPr>
        <w:t>）第五条</w:t>
      </w:r>
    </w:p>
    <w:p w14:paraId="557BACD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72A5C0C7">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整理中</w:t>
      </w:r>
    </w:p>
    <w:p w14:paraId="3252CC5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0B6490C6">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lang w:eastAsia="zh-CN" w:bidi="ar"/>
        </w:rPr>
      </w:pPr>
      <w:r>
        <w:rPr>
          <w:rFonts w:hint="eastAsia" w:ascii="宋体" w:hAnsi="宋体" w:eastAsia="宋体" w:cs="宋体"/>
          <w:sz w:val="24"/>
          <w:szCs w:val="24"/>
          <w:highlight w:val="none"/>
          <w:shd w:val="clear" w:color="auto" w:fill="FFFFFF"/>
          <w:lang w:eastAsia="zh-CN" w:bidi="ar"/>
        </w:rPr>
        <w:t>（</w:t>
      </w:r>
      <w:r>
        <w:rPr>
          <w:rFonts w:hint="eastAsia" w:ascii="宋体" w:hAnsi="宋体" w:eastAsia="宋体" w:cs="宋体"/>
          <w:sz w:val="24"/>
          <w:szCs w:val="24"/>
          <w:highlight w:val="none"/>
          <w:shd w:val="clear" w:color="auto" w:fill="FFFFFF"/>
          <w:lang w:val="en-US" w:eastAsia="zh-CN" w:bidi="ar"/>
        </w:rPr>
        <w:t>一）</w:t>
      </w:r>
      <w:r>
        <w:rPr>
          <w:rFonts w:hint="eastAsia" w:ascii="宋体" w:hAnsi="宋体" w:eastAsia="宋体" w:cs="宋体"/>
          <w:sz w:val="24"/>
          <w:szCs w:val="24"/>
          <w:highlight w:val="none"/>
          <w:shd w:val="clear" w:color="auto" w:fill="FFFFFF"/>
          <w:lang w:bidi="ar"/>
        </w:rPr>
        <w:t>按照总局、省局规定，已核定纳税人涉税情形发生变化（如认定一般纳税人、收入规模以上等），不应认定为核定征收的，税务机关应及时进行征收方式调整，并做好申报辅导等相关工作</w:t>
      </w:r>
      <w:r>
        <w:rPr>
          <w:rFonts w:hint="eastAsia" w:ascii="宋体" w:hAnsi="宋体" w:eastAsia="宋体" w:cs="宋体"/>
          <w:sz w:val="24"/>
          <w:szCs w:val="24"/>
          <w:highlight w:val="none"/>
          <w:shd w:val="clear" w:color="auto" w:fill="FFFFFF"/>
          <w:lang w:eastAsia="zh-CN" w:bidi="ar"/>
        </w:rPr>
        <w:t>。</w:t>
      </w:r>
    </w:p>
    <w:p w14:paraId="1DD060BF">
      <w:pPr>
        <w:pStyle w:val="6"/>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eastAsia" w:ascii="宋体" w:hAnsi="宋体" w:cs="宋体"/>
          <w:sz w:val="21"/>
          <w:szCs w:val="21"/>
          <w:highlight w:val="none"/>
        </w:rPr>
      </w:pPr>
      <w:r>
        <w:rPr>
          <w:rFonts w:hint="eastAsia" w:ascii="宋体" w:hAnsi="宋体" w:cs="宋体"/>
          <w:kern w:val="2"/>
          <w:sz w:val="21"/>
          <w:szCs w:val="21"/>
          <w:highlight w:val="none"/>
          <w:lang w:eastAsia="zh-CN" w:bidi="ar"/>
        </w:rPr>
        <w:t>（</w:t>
      </w:r>
      <w:r>
        <w:rPr>
          <w:rFonts w:hint="eastAsia" w:ascii="宋体" w:hAnsi="宋体" w:cs="宋体"/>
          <w:kern w:val="2"/>
          <w:sz w:val="21"/>
          <w:szCs w:val="21"/>
          <w:highlight w:val="none"/>
          <w:lang w:val="en-US" w:eastAsia="zh-CN" w:bidi="ar"/>
        </w:rPr>
        <w:t>二）</w:t>
      </w:r>
      <w:r>
        <w:rPr>
          <w:rFonts w:hint="eastAsia" w:ascii="宋体" w:hAnsi="宋体" w:cs="宋体"/>
          <w:kern w:val="2"/>
          <w:sz w:val="21"/>
          <w:szCs w:val="21"/>
          <w:highlight w:val="none"/>
          <w:lang w:bidi="ar"/>
        </w:rPr>
        <w:t>加强规模较大的个人独资企业、合伙企业和个体工商户的生产、经营所得征收管理：</w:t>
      </w:r>
    </w:p>
    <w:p w14:paraId="65D17284">
      <w:pPr>
        <w:pStyle w:val="6"/>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both"/>
        <w:textAlignment w:val="auto"/>
        <w:rPr>
          <w:rFonts w:hint="eastAsia" w:ascii="宋体" w:hAnsi="宋体" w:cs="宋体"/>
          <w:sz w:val="24"/>
          <w:szCs w:val="24"/>
          <w:highlight w:val="none"/>
          <w:shd w:val="clear" w:color="auto" w:fill="FFFFFF"/>
        </w:rPr>
      </w:pPr>
      <w:r>
        <w:rPr>
          <w:rFonts w:hint="eastAsia" w:ascii="宋体" w:hAnsi="宋体" w:cs="宋体"/>
          <w:kern w:val="2"/>
          <w:sz w:val="24"/>
          <w:szCs w:val="24"/>
          <w:highlight w:val="none"/>
          <w:shd w:val="clear" w:color="auto" w:fill="FFFFFF"/>
          <w:lang w:val="en-US" w:eastAsia="zh-CN" w:bidi="ar"/>
        </w:rPr>
        <w:t>1、</w:t>
      </w:r>
      <w:r>
        <w:rPr>
          <w:rFonts w:hint="eastAsia" w:ascii="宋体" w:hAnsi="宋体" w:cs="宋体"/>
          <w:kern w:val="2"/>
          <w:sz w:val="24"/>
          <w:szCs w:val="24"/>
          <w:highlight w:val="none"/>
          <w:shd w:val="clear" w:color="auto" w:fill="FFFFFF"/>
          <w:lang w:bidi="ar"/>
        </w:rPr>
        <w:t>加强建账管理。主管税务机关应督促纳税人依照法律、行政法规的规定设置账簿。对不能设置账簿的，应按照税收征管法及其实施细则和《财政部 国家税务总局关于印发〈个人独资企业和合伙企业投资者征收个人所得税的规定〉的通知》（</w:t>
      </w:r>
      <w:r>
        <w:rPr>
          <w:rFonts w:hint="eastAsia" w:ascii="宋体" w:hAnsi="宋体" w:cs="宋体"/>
          <w:kern w:val="2"/>
          <w:sz w:val="24"/>
          <w:szCs w:val="24"/>
          <w:highlight w:val="none"/>
          <w:shd w:val="clear" w:color="auto" w:fill="FFFFFF"/>
          <w:lang w:bidi="ar"/>
        </w:rPr>
        <w:fldChar w:fldCharType="begin"/>
      </w:r>
      <w:r>
        <w:rPr>
          <w:rFonts w:hint="eastAsia" w:ascii="宋体" w:hAnsi="宋体" w:cs="宋体"/>
          <w:kern w:val="2"/>
          <w:sz w:val="24"/>
          <w:szCs w:val="24"/>
          <w:highlight w:val="none"/>
          <w:shd w:val="clear" w:color="auto" w:fill="FFFFFF"/>
          <w:lang w:bidi="ar"/>
        </w:rPr>
        <w:instrText xml:space="preserve"> HYPERLINK "https://ssfb86.com/index/News/detail/newsid/4393.html" </w:instrText>
      </w:r>
      <w:r>
        <w:rPr>
          <w:rFonts w:hint="eastAsia" w:ascii="宋体" w:hAnsi="宋体" w:cs="宋体"/>
          <w:kern w:val="2"/>
          <w:sz w:val="24"/>
          <w:szCs w:val="24"/>
          <w:highlight w:val="none"/>
          <w:shd w:val="clear" w:color="auto" w:fill="FFFFFF"/>
          <w:lang w:bidi="ar"/>
        </w:rPr>
        <w:fldChar w:fldCharType="separate"/>
      </w:r>
      <w:r>
        <w:rPr>
          <w:rStyle w:val="9"/>
          <w:rFonts w:hint="eastAsia" w:ascii="宋体" w:hAnsi="宋体" w:cs="宋体"/>
          <w:kern w:val="2"/>
          <w:sz w:val="24"/>
          <w:szCs w:val="24"/>
          <w:highlight w:val="none"/>
          <w:shd w:val="clear" w:color="auto" w:fill="FFFFFF"/>
          <w:lang w:bidi="ar"/>
        </w:rPr>
        <w:t>财税</w:t>
      </w:r>
      <w:r>
        <w:rPr>
          <w:rStyle w:val="9"/>
          <w:rFonts w:hint="eastAsia" w:ascii="宋体" w:hAnsi="宋体" w:cs="宋体"/>
          <w:kern w:val="2"/>
          <w:sz w:val="24"/>
          <w:szCs w:val="24"/>
          <w:highlight w:val="none"/>
          <w:shd w:val="clear" w:color="auto" w:fill="FFFFFF"/>
          <w:lang w:eastAsia="zh-CN" w:bidi="ar"/>
        </w:rPr>
        <w:t>〔</w:t>
      </w:r>
      <w:r>
        <w:rPr>
          <w:rStyle w:val="9"/>
          <w:rFonts w:hint="eastAsia" w:ascii="宋体" w:hAnsi="宋体" w:cs="宋体"/>
          <w:kern w:val="2"/>
          <w:sz w:val="24"/>
          <w:szCs w:val="24"/>
          <w:highlight w:val="none"/>
          <w:shd w:val="clear" w:color="auto" w:fill="FFFFFF"/>
          <w:lang w:bidi="ar"/>
        </w:rPr>
        <w:t>2000</w:t>
      </w:r>
      <w:r>
        <w:rPr>
          <w:rStyle w:val="9"/>
          <w:rFonts w:hint="eastAsia" w:ascii="宋体" w:hAnsi="宋体" w:cs="宋体"/>
          <w:kern w:val="2"/>
          <w:sz w:val="24"/>
          <w:szCs w:val="24"/>
          <w:highlight w:val="none"/>
          <w:shd w:val="clear" w:color="auto" w:fill="FFFFFF"/>
          <w:lang w:eastAsia="zh-CN" w:bidi="ar"/>
        </w:rPr>
        <w:t>〕</w:t>
      </w:r>
      <w:r>
        <w:rPr>
          <w:rStyle w:val="9"/>
          <w:rFonts w:hint="eastAsia" w:ascii="宋体" w:hAnsi="宋体" w:cs="宋体"/>
          <w:kern w:val="2"/>
          <w:sz w:val="24"/>
          <w:szCs w:val="24"/>
          <w:highlight w:val="none"/>
          <w:shd w:val="clear" w:color="auto" w:fill="FFFFFF"/>
          <w:lang w:bidi="ar"/>
        </w:rPr>
        <w:t>91号</w:t>
      </w:r>
      <w:r>
        <w:rPr>
          <w:rFonts w:hint="eastAsia" w:ascii="宋体" w:hAnsi="宋体" w:cs="宋体"/>
          <w:kern w:val="2"/>
          <w:sz w:val="24"/>
          <w:szCs w:val="24"/>
          <w:highlight w:val="none"/>
          <w:shd w:val="clear" w:color="auto" w:fill="FFFFFF"/>
          <w:lang w:bidi="ar"/>
        </w:rPr>
        <w:fldChar w:fldCharType="end"/>
      </w:r>
      <w:r>
        <w:rPr>
          <w:rFonts w:hint="eastAsia" w:ascii="宋体" w:hAnsi="宋体" w:cs="宋体"/>
          <w:kern w:val="2"/>
          <w:sz w:val="24"/>
          <w:szCs w:val="24"/>
          <w:highlight w:val="none"/>
          <w:shd w:val="clear" w:color="auto" w:fill="FFFFFF"/>
          <w:lang w:bidi="ar"/>
        </w:rPr>
        <w:t>）等有关规定，核定其应税所得率。</w:t>
      </w:r>
      <w:r>
        <w:rPr>
          <w:rFonts w:hint="eastAsia" w:ascii="宋体" w:hAnsi="宋体" w:cs="宋体"/>
          <w:color w:val="FF0000"/>
          <w:kern w:val="2"/>
          <w:sz w:val="24"/>
          <w:szCs w:val="24"/>
          <w:highlight w:val="none"/>
          <w:shd w:val="clear" w:color="auto" w:fill="FFFFFF"/>
          <w:lang w:bidi="ar"/>
        </w:rPr>
        <w:t>税务师事务所、会计师事务所、律师、资产评估和房地产估价等鉴证类中介机构不得实行核定征收个人所得税</w:t>
      </w:r>
      <w:r>
        <w:rPr>
          <w:rFonts w:hint="eastAsia" w:ascii="宋体" w:hAnsi="宋体" w:cs="宋体"/>
          <w:kern w:val="2"/>
          <w:sz w:val="24"/>
          <w:szCs w:val="24"/>
          <w:highlight w:val="none"/>
          <w:shd w:val="clear" w:color="auto" w:fill="FFFFFF"/>
          <w:lang w:bidi="ar"/>
        </w:rPr>
        <w:t>。</w:t>
      </w:r>
    </w:p>
    <w:p w14:paraId="2478E39F">
      <w:pPr>
        <w:pStyle w:val="6"/>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both"/>
        <w:textAlignment w:val="auto"/>
        <w:rPr>
          <w:rFonts w:hint="eastAsia" w:ascii="宋体" w:hAnsi="宋体" w:cs="宋体"/>
          <w:sz w:val="24"/>
          <w:szCs w:val="24"/>
          <w:highlight w:val="none"/>
          <w:shd w:val="clear" w:color="auto" w:fill="FFFFFF"/>
        </w:rPr>
      </w:pPr>
      <w:r>
        <w:rPr>
          <w:rFonts w:hint="eastAsia" w:ascii="宋体" w:hAnsi="宋体" w:cs="宋体"/>
          <w:kern w:val="2"/>
          <w:sz w:val="24"/>
          <w:szCs w:val="24"/>
          <w:highlight w:val="none"/>
          <w:shd w:val="clear" w:color="auto" w:fill="FFFFFF"/>
          <w:lang w:val="en-US" w:eastAsia="zh-CN" w:bidi="ar"/>
        </w:rPr>
        <w:t>2、</w:t>
      </w:r>
      <w:r>
        <w:rPr>
          <w:rFonts w:hint="eastAsia" w:ascii="宋体" w:hAnsi="宋体" w:cs="宋体"/>
          <w:kern w:val="2"/>
          <w:sz w:val="24"/>
          <w:szCs w:val="24"/>
          <w:highlight w:val="none"/>
          <w:shd w:val="clear" w:color="auto" w:fill="FFFFFF"/>
          <w:lang w:bidi="ar"/>
        </w:rPr>
        <w:t>按照《财政部 税务总局关于权益性投资经营所得个人所得税征收管理的公告》（</w:t>
      </w:r>
      <w:r>
        <w:rPr>
          <w:rFonts w:hint="eastAsia" w:ascii="宋体" w:hAnsi="宋体" w:cs="宋体"/>
          <w:kern w:val="2"/>
          <w:sz w:val="24"/>
          <w:szCs w:val="24"/>
          <w:highlight w:val="none"/>
          <w:shd w:val="clear" w:color="auto" w:fill="FFFFFF"/>
          <w:lang w:bidi="ar"/>
        </w:rPr>
        <w:fldChar w:fldCharType="begin"/>
      </w:r>
      <w:r>
        <w:rPr>
          <w:rFonts w:hint="eastAsia" w:ascii="宋体" w:hAnsi="宋体" w:cs="宋体"/>
          <w:kern w:val="2"/>
          <w:sz w:val="24"/>
          <w:szCs w:val="24"/>
          <w:highlight w:val="none"/>
          <w:shd w:val="clear" w:color="auto" w:fill="FFFFFF"/>
          <w:lang w:bidi="ar"/>
        </w:rPr>
        <w:instrText xml:space="preserve"> HYPERLINK "https://ssfb86.com/index/News/detail/newsid/9926.html" </w:instrText>
      </w:r>
      <w:r>
        <w:rPr>
          <w:rFonts w:hint="eastAsia" w:ascii="宋体" w:hAnsi="宋体" w:cs="宋体"/>
          <w:kern w:val="2"/>
          <w:sz w:val="24"/>
          <w:szCs w:val="24"/>
          <w:highlight w:val="none"/>
          <w:shd w:val="clear" w:color="auto" w:fill="FFFFFF"/>
          <w:lang w:bidi="ar"/>
        </w:rPr>
        <w:fldChar w:fldCharType="separate"/>
      </w:r>
      <w:r>
        <w:rPr>
          <w:rStyle w:val="9"/>
          <w:rFonts w:hint="eastAsia" w:ascii="宋体" w:hAnsi="宋体" w:cs="宋体"/>
          <w:kern w:val="2"/>
          <w:sz w:val="24"/>
          <w:szCs w:val="24"/>
          <w:highlight w:val="none"/>
          <w:shd w:val="clear" w:color="auto" w:fill="FFFFFF"/>
          <w:lang w:bidi="ar"/>
        </w:rPr>
        <w:t>财政部 税务总局公告2021年第41号</w:t>
      </w:r>
      <w:r>
        <w:rPr>
          <w:rFonts w:hint="eastAsia" w:ascii="宋体" w:hAnsi="宋体" w:cs="宋体"/>
          <w:kern w:val="2"/>
          <w:sz w:val="24"/>
          <w:szCs w:val="24"/>
          <w:highlight w:val="none"/>
          <w:shd w:val="clear" w:color="auto" w:fill="FFFFFF"/>
          <w:lang w:bidi="ar"/>
        </w:rPr>
        <w:fldChar w:fldCharType="end"/>
      </w:r>
      <w:r>
        <w:rPr>
          <w:rFonts w:hint="eastAsia" w:ascii="宋体" w:hAnsi="宋体" w:cs="宋体"/>
          <w:kern w:val="2"/>
          <w:sz w:val="24"/>
          <w:szCs w:val="24"/>
          <w:highlight w:val="none"/>
          <w:shd w:val="clear" w:color="auto" w:fill="FFFFFF"/>
          <w:lang w:bidi="ar"/>
        </w:rPr>
        <w:t>）的规定，持有股权、股票、合伙企业财产份额等权益性投资的个人独资企业、合伙企业。一律适用查账征收方式计征个人所得税。</w:t>
      </w:r>
    </w:p>
    <w:p w14:paraId="44987364">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sz w:val="24"/>
          <w:szCs w:val="24"/>
          <w:highlight w:val="none"/>
          <w:lang w:val="en-US" w:eastAsia="zh-CN"/>
        </w:rPr>
      </w:pPr>
      <w:r>
        <w:rPr>
          <w:rFonts w:hint="eastAsia" w:ascii="宋体" w:hAnsi="宋体" w:cs="宋体"/>
          <w:kern w:val="2"/>
          <w:sz w:val="24"/>
          <w:szCs w:val="24"/>
          <w:highlight w:val="none"/>
          <w:shd w:val="clear" w:color="auto" w:fill="FFFFFF"/>
          <w:lang w:val="en-US" w:eastAsia="zh-CN" w:bidi="ar"/>
        </w:rPr>
        <w:t>3、</w:t>
      </w:r>
      <w:r>
        <w:rPr>
          <w:rFonts w:hint="eastAsia" w:ascii="宋体" w:hAnsi="宋体" w:eastAsia="宋体" w:cs="宋体"/>
          <w:kern w:val="2"/>
          <w:sz w:val="24"/>
          <w:szCs w:val="24"/>
          <w:highlight w:val="none"/>
          <w:shd w:val="clear" w:color="auto" w:fill="FFFFFF"/>
          <w:lang w:val="en-US" w:eastAsia="zh-CN" w:bidi="ar"/>
        </w:rPr>
        <w:t>按照</w:t>
      </w:r>
      <w:r>
        <w:rPr>
          <w:rFonts w:hint="eastAsia" w:ascii="宋体" w:hAnsi="宋体" w:cs="宋体"/>
          <w:kern w:val="2"/>
          <w:sz w:val="24"/>
          <w:szCs w:val="24"/>
          <w:highlight w:val="none"/>
          <w:shd w:val="clear" w:color="auto" w:fill="FFFFFF"/>
          <w:lang w:bidi="ar"/>
        </w:rPr>
        <w:t>《国家互联网信息办公室 国家税务总局 国家市场监督管理总局印发〈关于进一步规范网络直播盈利行为促进行业健康发展的意见〉的通知》（</w:t>
      </w:r>
      <w:r>
        <w:rPr>
          <w:rFonts w:hint="eastAsia" w:ascii="宋体" w:hAnsi="宋体" w:cs="宋体"/>
          <w:kern w:val="2"/>
          <w:sz w:val="24"/>
          <w:szCs w:val="24"/>
          <w:highlight w:val="none"/>
          <w:shd w:val="clear" w:color="auto" w:fill="FFFFFF"/>
          <w:lang w:bidi="ar"/>
        </w:rPr>
        <w:fldChar w:fldCharType="begin"/>
      </w:r>
      <w:r>
        <w:rPr>
          <w:rFonts w:hint="eastAsia" w:ascii="宋体" w:hAnsi="宋体" w:cs="宋体"/>
          <w:kern w:val="2"/>
          <w:sz w:val="24"/>
          <w:szCs w:val="24"/>
          <w:highlight w:val="none"/>
          <w:shd w:val="clear" w:color="auto" w:fill="FFFFFF"/>
          <w:lang w:bidi="ar"/>
        </w:rPr>
        <w:instrText xml:space="preserve"> HYPERLINK "https://ssfb86.com/index/News/detail/newsid/10313.html" </w:instrText>
      </w:r>
      <w:r>
        <w:rPr>
          <w:rFonts w:hint="eastAsia" w:ascii="宋体" w:hAnsi="宋体" w:cs="宋体"/>
          <w:kern w:val="2"/>
          <w:sz w:val="24"/>
          <w:szCs w:val="24"/>
          <w:highlight w:val="none"/>
          <w:shd w:val="clear" w:color="auto" w:fill="FFFFFF"/>
          <w:lang w:bidi="ar"/>
        </w:rPr>
        <w:fldChar w:fldCharType="separate"/>
      </w:r>
      <w:r>
        <w:rPr>
          <w:rStyle w:val="9"/>
          <w:rFonts w:hint="eastAsia" w:ascii="宋体" w:hAnsi="宋体" w:cs="宋体"/>
          <w:kern w:val="2"/>
          <w:sz w:val="24"/>
          <w:szCs w:val="24"/>
          <w:highlight w:val="none"/>
          <w:shd w:val="clear" w:color="auto" w:fill="FFFFFF"/>
          <w:lang w:bidi="ar"/>
        </w:rPr>
        <w:t>税总所得发〔2022〕25号</w:t>
      </w:r>
      <w:r>
        <w:rPr>
          <w:rFonts w:hint="eastAsia" w:ascii="宋体" w:hAnsi="宋体" w:cs="宋体"/>
          <w:kern w:val="2"/>
          <w:sz w:val="24"/>
          <w:szCs w:val="24"/>
          <w:highlight w:val="none"/>
          <w:shd w:val="clear" w:color="auto" w:fill="FFFFFF"/>
          <w:lang w:bidi="ar"/>
        </w:rPr>
        <w:fldChar w:fldCharType="end"/>
      </w:r>
      <w:r>
        <w:rPr>
          <w:rFonts w:hint="eastAsia" w:ascii="宋体" w:hAnsi="宋体" w:cs="宋体"/>
          <w:kern w:val="2"/>
          <w:sz w:val="24"/>
          <w:szCs w:val="24"/>
          <w:highlight w:val="none"/>
          <w:shd w:val="clear" w:color="auto" w:fill="FFFFFF"/>
          <w:lang w:bidi="ar"/>
        </w:rPr>
        <w:t>）的规定，网络直播发布者开办的企业和个人工作室，应按照国家有关规定设置账簿，对其原则上采用查账征收方式计征所得税。</w:t>
      </w:r>
    </w:p>
    <w:p w14:paraId="6C21B5C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7EFD89EB">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highlight w:val="none"/>
          <w:lang w:val="en-US" w:eastAsia="zh-CN"/>
        </w:rPr>
      </w:pPr>
      <w:r>
        <w:rPr>
          <w:rFonts w:hint="eastAsia" w:ascii="宋体" w:hAnsi="宋体" w:cs="宋体"/>
          <w:i w:val="0"/>
          <w:iCs w:val="0"/>
          <w:caps w:val="0"/>
          <w:color w:val="0000FF"/>
          <w:spacing w:val="0"/>
          <w:sz w:val="24"/>
          <w:szCs w:val="24"/>
          <w:highlight w:val="none"/>
          <w:lang w:val="en-US" w:eastAsia="zh-CN"/>
        </w:rPr>
        <w:t>整理中</w:t>
      </w:r>
    </w:p>
    <w:p w14:paraId="3210216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23685B74">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线下</w:t>
      </w:r>
    </w:p>
    <w:p w14:paraId="4E04391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0813E75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bidi="ar"/>
        </w:rPr>
        <w:t>限时办结</w:t>
      </w:r>
      <w:r>
        <w:rPr>
          <w:rFonts w:hint="eastAsia" w:ascii="宋体" w:hAnsi="宋体" w:cs="宋体"/>
          <w:sz w:val="24"/>
          <w:szCs w:val="24"/>
          <w:highlight w:val="none"/>
          <w:lang w:eastAsia="zh-CN" w:bidi="ar"/>
        </w:rPr>
        <w:t>（</w:t>
      </w:r>
      <w:r>
        <w:rPr>
          <w:rFonts w:hint="eastAsia" w:ascii="宋体" w:hAnsi="宋体" w:eastAsia="宋体" w:cs="宋体"/>
          <w:sz w:val="24"/>
          <w:szCs w:val="24"/>
          <w:highlight w:val="none"/>
          <w:shd w:val="clear" w:color="auto" w:fill="FFFFFF"/>
          <w:lang w:bidi="ar"/>
        </w:rPr>
        <w:t>税务机关根据相关规定对符合条件的纳税人的个人所得税征收方式进行核定、调整。相关核定事项在20个工作日内办结</w:t>
      </w:r>
      <w:r>
        <w:rPr>
          <w:rFonts w:hint="eastAsia" w:ascii="宋体" w:hAnsi="宋体" w:eastAsia="宋体" w:cs="宋体"/>
          <w:sz w:val="24"/>
          <w:szCs w:val="24"/>
          <w:highlight w:val="none"/>
          <w:shd w:val="clear" w:color="auto" w:fill="FFFFFF"/>
          <w:lang w:eastAsia="zh-CN" w:bidi="ar"/>
        </w:rPr>
        <w:t>）</w:t>
      </w:r>
      <w:bookmarkEnd w:id="0"/>
    </w:p>
    <w:p w14:paraId="1BB29AE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6F43CE45">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t>主管税务机关采用下列方法核定相关征收项目应纳税额：</w:t>
      </w:r>
    </w:p>
    <w:p w14:paraId="07211A67">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fldChar w:fldCharType="begin"/>
      </w:r>
      <w:r>
        <w:rPr>
          <w:rFonts w:hint="eastAsia" w:ascii="宋体" w:hAnsi="宋体" w:eastAsia="宋体" w:cs="宋体"/>
          <w:sz w:val="24"/>
          <w:szCs w:val="24"/>
          <w:highlight w:val="none"/>
          <w:shd w:val="clear" w:color="auto" w:fill="FFFFFF"/>
          <w:lang w:bidi="ar"/>
        </w:rPr>
        <w:instrText xml:space="preserve"> = 1 \* GB3 </w:instrText>
      </w:r>
      <w:r>
        <w:rPr>
          <w:rFonts w:hint="eastAsia" w:ascii="宋体" w:hAnsi="宋体" w:eastAsia="宋体" w:cs="宋体"/>
          <w:sz w:val="24"/>
          <w:szCs w:val="24"/>
          <w:highlight w:val="none"/>
          <w:shd w:val="clear" w:color="auto" w:fill="FFFFFF"/>
          <w:lang w:bidi="ar"/>
        </w:rPr>
        <w:fldChar w:fldCharType="separate"/>
      </w:r>
      <w:r>
        <w:rPr>
          <w:rFonts w:hint="eastAsia" w:ascii="宋体" w:hAnsi="宋体" w:eastAsia="宋体" w:cs="宋体"/>
          <w:sz w:val="24"/>
          <w:szCs w:val="24"/>
          <w:highlight w:val="none"/>
          <w:shd w:val="clear" w:color="auto" w:fill="FFFFFF"/>
          <w:lang w:bidi="ar"/>
        </w:rPr>
        <w:t>①</w:t>
      </w:r>
      <w:r>
        <w:rPr>
          <w:rFonts w:hint="eastAsia" w:ascii="宋体" w:hAnsi="宋体" w:eastAsia="宋体" w:cs="宋体"/>
          <w:sz w:val="24"/>
          <w:szCs w:val="24"/>
          <w:highlight w:val="none"/>
          <w:shd w:val="clear" w:color="auto" w:fill="FFFFFF"/>
          <w:lang w:bidi="ar"/>
        </w:rPr>
        <w:fldChar w:fldCharType="end"/>
      </w:r>
      <w:r>
        <w:rPr>
          <w:rFonts w:hint="eastAsia" w:ascii="宋体" w:hAnsi="宋体" w:eastAsia="宋体" w:cs="宋体"/>
          <w:sz w:val="24"/>
          <w:szCs w:val="24"/>
          <w:highlight w:val="none"/>
          <w:shd w:val="clear" w:color="auto" w:fill="FFFFFF"/>
          <w:lang w:bidi="ar"/>
        </w:rPr>
        <w:t>参照当地同类行业或者类似行业中经营规模和收入水平相近的纳税人的税负水平核定；</w:t>
      </w:r>
    </w:p>
    <w:p w14:paraId="4795062B">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fldChar w:fldCharType="begin"/>
      </w:r>
      <w:r>
        <w:rPr>
          <w:rFonts w:hint="eastAsia" w:ascii="宋体" w:hAnsi="宋体" w:eastAsia="宋体" w:cs="宋体"/>
          <w:sz w:val="24"/>
          <w:szCs w:val="24"/>
          <w:highlight w:val="none"/>
          <w:shd w:val="clear" w:color="auto" w:fill="FFFFFF"/>
          <w:lang w:bidi="ar"/>
        </w:rPr>
        <w:instrText xml:space="preserve"> = 2 \* GB3 </w:instrText>
      </w:r>
      <w:r>
        <w:rPr>
          <w:rFonts w:hint="eastAsia" w:ascii="宋体" w:hAnsi="宋体" w:eastAsia="宋体" w:cs="宋体"/>
          <w:sz w:val="24"/>
          <w:szCs w:val="24"/>
          <w:highlight w:val="none"/>
          <w:shd w:val="clear" w:color="auto" w:fill="FFFFFF"/>
          <w:lang w:bidi="ar"/>
        </w:rPr>
        <w:fldChar w:fldCharType="separate"/>
      </w:r>
      <w:r>
        <w:rPr>
          <w:rFonts w:hint="eastAsia" w:ascii="宋体" w:hAnsi="宋体" w:eastAsia="宋体" w:cs="宋体"/>
          <w:sz w:val="24"/>
          <w:szCs w:val="24"/>
          <w:highlight w:val="none"/>
          <w:shd w:val="clear" w:color="auto" w:fill="FFFFFF"/>
          <w:lang w:bidi="ar"/>
        </w:rPr>
        <w:t>②</w:t>
      </w:r>
      <w:r>
        <w:rPr>
          <w:rFonts w:hint="eastAsia" w:ascii="宋体" w:hAnsi="宋体" w:eastAsia="宋体" w:cs="宋体"/>
          <w:sz w:val="24"/>
          <w:szCs w:val="24"/>
          <w:highlight w:val="none"/>
          <w:shd w:val="clear" w:color="auto" w:fill="FFFFFF"/>
          <w:lang w:bidi="ar"/>
        </w:rPr>
        <w:fldChar w:fldCharType="end"/>
      </w:r>
      <w:r>
        <w:rPr>
          <w:rFonts w:hint="eastAsia" w:ascii="宋体" w:hAnsi="宋体" w:eastAsia="宋体" w:cs="宋体"/>
          <w:sz w:val="24"/>
          <w:szCs w:val="24"/>
          <w:highlight w:val="none"/>
          <w:shd w:val="clear" w:color="auto" w:fill="FFFFFF"/>
          <w:lang w:bidi="ar"/>
        </w:rPr>
        <w:t>按照营业收入或者成本加合理的费用和利润的方法核定；</w:t>
      </w:r>
    </w:p>
    <w:p w14:paraId="4A1BB300">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fldChar w:fldCharType="begin"/>
      </w:r>
      <w:r>
        <w:rPr>
          <w:rFonts w:hint="eastAsia" w:ascii="宋体" w:hAnsi="宋体" w:eastAsia="宋体" w:cs="宋体"/>
          <w:sz w:val="24"/>
          <w:szCs w:val="24"/>
          <w:highlight w:val="none"/>
          <w:shd w:val="clear" w:color="auto" w:fill="FFFFFF"/>
          <w:lang w:bidi="ar"/>
        </w:rPr>
        <w:instrText xml:space="preserve"> = 3 \* GB3 </w:instrText>
      </w:r>
      <w:r>
        <w:rPr>
          <w:rFonts w:hint="eastAsia" w:ascii="宋体" w:hAnsi="宋体" w:eastAsia="宋体" w:cs="宋体"/>
          <w:sz w:val="24"/>
          <w:szCs w:val="24"/>
          <w:highlight w:val="none"/>
          <w:shd w:val="clear" w:color="auto" w:fill="FFFFFF"/>
          <w:lang w:bidi="ar"/>
        </w:rPr>
        <w:fldChar w:fldCharType="separate"/>
      </w:r>
      <w:r>
        <w:rPr>
          <w:rFonts w:hint="eastAsia" w:ascii="宋体" w:hAnsi="宋体" w:eastAsia="宋体" w:cs="宋体"/>
          <w:sz w:val="24"/>
          <w:szCs w:val="24"/>
          <w:highlight w:val="none"/>
          <w:shd w:val="clear" w:color="auto" w:fill="FFFFFF"/>
          <w:lang w:bidi="ar"/>
        </w:rPr>
        <w:t>③</w:t>
      </w:r>
      <w:r>
        <w:rPr>
          <w:rFonts w:hint="eastAsia" w:ascii="宋体" w:hAnsi="宋体" w:eastAsia="宋体" w:cs="宋体"/>
          <w:sz w:val="24"/>
          <w:szCs w:val="24"/>
          <w:highlight w:val="none"/>
          <w:shd w:val="clear" w:color="auto" w:fill="FFFFFF"/>
          <w:lang w:bidi="ar"/>
        </w:rPr>
        <w:fldChar w:fldCharType="end"/>
      </w:r>
      <w:r>
        <w:rPr>
          <w:rFonts w:hint="eastAsia" w:ascii="宋体" w:hAnsi="宋体" w:eastAsia="宋体" w:cs="宋体"/>
          <w:sz w:val="24"/>
          <w:szCs w:val="24"/>
          <w:highlight w:val="none"/>
          <w:shd w:val="clear" w:color="auto" w:fill="FFFFFF"/>
          <w:lang w:bidi="ar"/>
        </w:rPr>
        <w:t>按照耗用的原材料、燃料、动力等推算或测算核定；</w:t>
      </w:r>
    </w:p>
    <w:p w14:paraId="0277280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bidi="ar"/>
        </w:rPr>
        <w:fldChar w:fldCharType="begin"/>
      </w:r>
      <w:r>
        <w:rPr>
          <w:rFonts w:hint="eastAsia" w:ascii="宋体" w:hAnsi="宋体" w:eastAsia="宋体" w:cs="宋体"/>
          <w:sz w:val="24"/>
          <w:szCs w:val="24"/>
          <w:highlight w:val="none"/>
          <w:shd w:val="clear" w:color="auto" w:fill="FFFFFF"/>
          <w:lang w:bidi="ar"/>
        </w:rPr>
        <w:instrText xml:space="preserve"> = 4 \* GB3 </w:instrText>
      </w:r>
      <w:r>
        <w:rPr>
          <w:rFonts w:hint="eastAsia" w:ascii="宋体" w:hAnsi="宋体" w:eastAsia="宋体" w:cs="宋体"/>
          <w:sz w:val="24"/>
          <w:szCs w:val="24"/>
          <w:highlight w:val="none"/>
          <w:shd w:val="clear" w:color="auto" w:fill="FFFFFF"/>
          <w:lang w:bidi="ar"/>
        </w:rPr>
        <w:fldChar w:fldCharType="separate"/>
      </w:r>
      <w:r>
        <w:rPr>
          <w:rFonts w:hint="eastAsia" w:ascii="宋体" w:hAnsi="宋体" w:eastAsia="宋体" w:cs="宋体"/>
          <w:sz w:val="24"/>
          <w:szCs w:val="24"/>
          <w:highlight w:val="none"/>
          <w:shd w:val="clear" w:color="auto" w:fill="FFFFFF"/>
          <w:lang w:bidi="ar"/>
        </w:rPr>
        <w:t>④</w:t>
      </w:r>
      <w:r>
        <w:rPr>
          <w:rFonts w:hint="eastAsia" w:ascii="宋体" w:hAnsi="宋体" w:eastAsia="宋体" w:cs="宋体"/>
          <w:sz w:val="24"/>
          <w:szCs w:val="24"/>
          <w:highlight w:val="none"/>
          <w:shd w:val="clear" w:color="auto" w:fill="FFFFFF"/>
          <w:lang w:bidi="ar"/>
        </w:rPr>
        <w:fldChar w:fldCharType="end"/>
      </w:r>
      <w:r>
        <w:rPr>
          <w:rFonts w:hint="eastAsia" w:ascii="宋体" w:hAnsi="宋体" w:eastAsia="宋体" w:cs="宋体"/>
          <w:sz w:val="24"/>
          <w:szCs w:val="24"/>
          <w:highlight w:val="none"/>
          <w:shd w:val="clear" w:color="auto" w:fill="FFFFFF"/>
          <w:lang w:bidi="ar"/>
        </w:rPr>
        <w:t>按照其他合理方法核定。</w:t>
      </w:r>
    </w:p>
    <w:p w14:paraId="27D1698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shd w:val="clear" w:color="auto" w:fill="FFFFFF"/>
          <w:lang w:bidi="ar"/>
        </w:rPr>
        <w:t>当采用一种方法不足以正确核定应纳税所得额或应纳税额的，可以同时采用两种以上的方法核定。</w:t>
      </w:r>
    </w:p>
    <w:p w14:paraId="42D6A45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highlight w:val="none"/>
        </w:rPr>
      </w:pPr>
      <w:r>
        <w:rPr>
          <w:rFonts w:hint="eastAsia" w:ascii="宋体" w:hAnsi="宋体" w:eastAsia="宋体" w:cs="宋体"/>
          <w:b/>
          <w:sz w:val="24"/>
          <w:szCs w:val="24"/>
          <w:highlight w:val="none"/>
          <w:lang w:val="en-US" w:eastAsia="zh-CN"/>
        </w:rPr>
        <w:t>九、资料处理</w:t>
      </w:r>
    </w:p>
    <w:p w14:paraId="4D24733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sz w:val="24"/>
          <w:szCs w:val="24"/>
          <w:highlight w:val="none"/>
          <w:shd w:val="clear" w:color="auto" w:fill="FFFFFF"/>
          <w:lang w:val="en-US" w:eastAsia="zh-CN" w:bidi="ar"/>
        </w:rPr>
      </w:pPr>
      <w:r>
        <w:rPr>
          <w:rFonts w:hint="eastAsia" w:ascii="宋体" w:hAnsi="宋体" w:eastAsia="宋体" w:cs="宋体"/>
          <w:sz w:val="24"/>
          <w:szCs w:val="24"/>
          <w:highlight w:val="none"/>
          <w:shd w:val="clear" w:color="auto" w:fill="FFFFFF"/>
          <w:lang w:val="en-US" w:eastAsia="zh-CN" w:bidi="ar"/>
        </w:rPr>
        <w:t>略</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365A8"/>
    <w:rsid w:val="16842869"/>
    <w:rsid w:val="2E8E3A54"/>
    <w:rsid w:val="2EA4688E"/>
    <w:rsid w:val="2F31540D"/>
    <w:rsid w:val="3CAD3399"/>
    <w:rsid w:val="56CD66F4"/>
    <w:rsid w:val="5D5F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unhideWhenUsed/>
    <w:qFormat/>
    <w:uiPriority w:val="0"/>
    <w:pPr>
      <w:widowControl/>
      <w:spacing w:before="100" w:beforeAutospacing="1" w:after="100" w:afterAutospacing="1"/>
      <w:jc w:val="left"/>
    </w:pPr>
    <w:rPr>
      <w:rFonts w:ascii="Times New Roman" w:hAnsi="Times New Roman" w:eastAsia="宋体"/>
      <w:kern w:val="0"/>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1130</Words>
  <Characters>1152</Characters>
  <Lines>0</Lines>
  <Paragraphs>0</Paragraphs>
  <TotalTime>11</TotalTime>
  <ScaleCrop>false</ScaleCrop>
  <LinksUpToDate>false</LinksUpToDate>
  <CharactersWithSpaces>1159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2025-03-01T13:25:00Z</dcterms:created>
  <dc:creator>fzr</dc:creator>
  <cp:lastModifiedBy>默默</cp:lastModifiedBy>
  <dcterms:modified xsi:type="dcterms:W3CDTF">2025-07-10T06:16:59Z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9230AACB237543F4A2A547286AE30128_12</vt:lpwstr>
  </property>
</Properties>
</file>