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2" w:lineRule="auto"/>
        <w:rPr>
          <w:rFonts w:ascii="Arial"/>
          <w:sz w:val="21"/>
        </w:rPr>
      </w:pPr>
    </w:p>
    <w:p>
      <w:pPr>
        <w:spacing w:before="114" w:line="230" w:lineRule="auto"/>
        <w:ind w:left="47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5"/>
          <w:sz w:val="35"/>
          <w:szCs w:val="35"/>
        </w:rPr>
        <w:t>附件</w:t>
      </w:r>
      <w:r>
        <w:rPr>
          <w:rFonts w:ascii="黑体" w:hAnsi="黑体" w:eastAsia="黑体" w:cs="黑体"/>
          <w:spacing w:val="-75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5"/>
          <w:sz w:val="35"/>
          <w:szCs w:val="35"/>
        </w:rPr>
        <w:t>2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72" w:line="204" w:lineRule="auto"/>
        <w:ind w:left="1627" w:right="640" w:hanging="1045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关于《中华人民共和国增值税法实施条例</w:t>
      </w:r>
      <w:r>
        <w:rPr>
          <w:rFonts w:ascii="微软雅黑" w:hAnsi="微软雅黑" w:eastAsia="微软雅黑" w:cs="微软雅黑"/>
          <w:spacing w:val="2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spacing w:val="-12"/>
          <w:sz w:val="40"/>
          <w:szCs w:val="40"/>
        </w:rPr>
        <w:t>（征求意见稿）</w:t>
      </w:r>
      <w:r>
        <w:rPr>
          <w:rFonts w:ascii="微软雅黑" w:hAnsi="微软雅黑" w:eastAsia="微软雅黑" w:cs="微软雅黑"/>
          <w:spacing w:val="-86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spacing w:val="-12"/>
          <w:sz w:val="40"/>
          <w:szCs w:val="40"/>
        </w:rPr>
        <w:t>》</w:t>
      </w:r>
      <w:r>
        <w:rPr>
          <w:rFonts w:ascii="微软雅黑" w:hAnsi="微软雅黑" w:eastAsia="微软雅黑" w:cs="微软雅黑"/>
          <w:spacing w:val="-55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spacing w:val="-12"/>
          <w:sz w:val="40"/>
          <w:szCs w:val="40"/>
        </w:rPr>
        <w:t>的起草说明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346" w:lineRule="auto"/>
        <w:ind w:left="32" w:right="20" w:firstLine="626"/>
        <w:jc w:val="both"/>
      </w:pPr>
      <w:r>
        <w:rPr>
          <w:spacing w:val="5"/>
        </w:rPr>
        <w:t>《中华人民共和国增值税法》（</w:t>
      </w:r>
      <w:r>
        <w:rPr>
          <w:spacing w:val="-53"/>
        </w:rPr>
        <w:t xml:space="preserve"> </w:t>
      </w:r>
      <w:r>
        <w:rPr>
          <w:spacing w:val="5"/>
        </w:rPr>
        <w:t>以下简称增值税</w:t>
      </w:r>
      <w:r>
        <w:rPr>
          <w:spacing w:val="4"/>
        </w:rPr>
        <w:t>法）将</w:t>
      </w:r>
      <w:r>
        <w:t xml:space="preserve"> </w:t>
      </w:r>
      <w:r>
        <w:rPr>
          <w:spacing w:val="4"/>
        </w:rPr>
        <w:t>于</w:t>
      </w:r>
      <w:r>
        <w:rPr>
          <w:spacing w:val="-37"/>
        </w:rPr>
        <w:t xml:space="preserve"> </w:t>
      </w:r>
      <w:r>
        <w:rPr>
          <w:spacing w:val="4"/>
        </w:rPr>
        <w:t>2026</w:t>
      </w:r>
      <w:r>
        <w:rPr>
          <w:spacing w:val="-49"/>
        </w:rPr>
        <w:t xml:space="preserve"> </w:t>
      </w:r>
      <w:r>
        <w:rPr>
          <w:spacing w:val="4"/>
        </w:rPr>
        <w:t>年</w:t>
      </w:r>
      <w:r>
        <w:rPr>
          <w:spacing w:val="-36"/>
        </w:rPr>
        <w:t xml:space="preserve"> </w:t>
      </w:r>
      <w:r>
        <w:rPr>
          <w:spacing w:val="4"/>
        </w:rPr>
        <w:t>1</w:t>
      </w:r>
      <w:r>
        <w:rPr>
          <w:spacing w:val="-38"/>
        </w:rPr>
        <w:t xml:space="preserve"> </w:t>
      </w:r>
      <w:r>
        <w:rPr>
          <w:spacing w:val="4"/>
        </w:rPr>
        <w:t>月</w:t>
      </w:r>
      <w:r>
        <w:rPr>
          <w:spacing w:val="-36"/>
        </w:rPr>
        <w:t xml:space="preserve"> </w:t>
      </w:r>
      <w:r>
        <w:rPr>
          <w:spacing w:val="4"/>
        </w:rPr>
        <w:t>1 日起施行。为保障增值税法顺利实施，财</w:t>
      </w:r>
      <w:r>
        <w:t xml:space="preserve"> </w:t>
      </w:r>
      <w:r>
        <w:rPr>
          <w:spacing w:val="8"/>
        </w:rPr>
        <w:t>政部会同税务总局在广泛听取有关部门、地方、企业和专家</w:t>
      </w:r>
      <w:r>
        <w:rPr>
          <w:spacing w:val="15"/>
        </w:rPr>
        <w:t xml:space="preserve"> </w:t>
      </w:r>
      <w:r>
        <w:rPr>
          <w:spacing w:val="8"/>
        </w:rPr>
        <w:t>学者意见的基础上，研究起草了《中华人民共和国增值税法</w:t>
      </w:r>
      <w:r>
        <w:rPr>
          <w:spacing w:val="15"/>
        </w:rPr>
        <w:t xml:space="preserve"> </w:t>
      </w:r>
      <w:r>
        <w:rPr>
          <w:spacing w:val="-4"/>
        </w:rPr>
        <w:t>实施条例（征求意见稿）》（</w:t>
      </w:r>
      <w:r>
        <w:rPr>
          <w:spacing w:val="-55"/>
        </w:rPr>
        <w:t xml:space="preserve"> </w:t>
      </w:r>
      <w:r>
        <w:rPr>
          <w:spacing w:val="-4"/>
        </w:rPr>
        <w:t>以下简称条例）</w:t>
      </w:r>
      <w:r>
        <w:rPr>
          <w:spacing w:val="-5"/>
        </w:rPr>
        <w:t>。现说明如下：</w:t>
      </w:r>
    </w:p>
    <w:p>
      <w:pPr>
        <w:spacing w:before="53" w:line="228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一、制定条例的必要性</w:t>
      </w:r>
    </w:p>
    <w:p>
      <w:pPr>
        <w:pStyle w:val="2"/>
        <w:spacing w:before="212" w:line="349" w:lineRule="auto"/>
        <w:ind w:left="22" w:firstLine="640"/>
      </w:pPr>
      <w:r>
        <w:rPr>
          <w:spacing w:val="11"/>
        </w:rPr>
        <w:t>增值税是我国第一</w:t>
      </w:r>
      <w:bookmarkStart w:id="0" w:name="_GoBack"/>
      <w:bookmarkEnd w:id="0"/>
      <w:r>
        <w:rPr>
          <w:spacing w:val="11"/>
        </w:rPr>
        <w:t>大税种，</w:t>
      </w:r>
      <w:r>
        <w:rPr>
          <w:spacing w:val="11"/>
          <w:highlight w:val="yellow"/>
        </w:rPr>
        <w:t>2024</w:t>
      </w:r>
      <w:r>
        <w:rPr>
          <w:spacing w:val="-44"/>
          <w:highlight w:val="yellow"/>
        </w:rPr>
        <w:t xml:space="preserve"> </w:t>
      </w:r>
      <w:r>
        <w:rPr>
          <w:spacing w:val="11"/>
          <w:highlight w:val="yellow"/>
        </w:rPr>
        <w:t>年增值税收入约</w:t>
      </w:r>
      <w:r>
        <w:rPr>
          <w:spacing w:val="-39"/>
          <w:highlight w:val="yellow"/>
        </w:rPr>
        <w:t xml:space="preserve"> </w:t>
      </w:r>
      <w:r>
        <w:rPr>
          <w:spacing w:val="11"/>
          <w:highlight w:val="yellow"/>
        </w:rPr>
        <w:t>6.57</w:t>
      </w:r>
      <w:r>
        <w:rPr>
          <w:highlight w:val="yellow"/>
        </w:rPr>
        <w:t xml:space="preserve"> </w:t>
      </w:r>
      <w:r>
        <w:rPr>
          <w:spacing w:val="7"/>
          <w:highlight w:val="yellow"/>
        </w:rPr>
        <w:t>万亿元，</w:t>
      </w:r>
      <w:r>
        <w:rPr>
          <w:spacing w:val="-72"/>
          <w:highlight w:val="yellow"/>
        </w:rPr>
        <w:t xml:space="preserve"> </w:t>
      </w:r>
      <w:r>
        <w:rPr>
          <w:spacing w:val="7"/>
          <w:highlight w:val="yellow"/>
        </w:rPr>
        <w:t>占全部税收收入</w:t>
      </w:r>
      <w:r>
        <w:rPr>
          <w:spacing w:val="-36"/>
          <w:highlight w:val="yellow"/>
        </w:rPr>
        <w:t xml:space="preserve"> </w:t>
      </w:r>
      <w:r>
        <w:rPr>
          <w:spacing w:val="7"/>
          <w:highlight w:val="yellow"/>
        </w:rPr>
        <w:t>38%</w:t>
      </w:r>
      <w:r>
        <w:rPr>
          <w:spacing w:val="7"/>
        </w:rPr>
        <w:t>。增值税覆盖国民经济所有行</w:t>
      </w:r>
      <w:r>
        <w:t xml:space="preserve"> 业和全链条，涉及面广、影响大，关系广大纳税人切身利益。</w:t>
      </w:r>
      <w:r>
        <w:rPr>
          <w:spacing w:val="15"/>
        </w:rPr>
        <w:t xml:space="preserve"> </w:t>
      </w:r>
      <w:r>
        <w:rPr>
          <w:spacing w:val="9"/>
        </w:rPr>
        <w:t>增值税法对增值税纳税人、征税范围、税率、应纳税额、税</w:t>
      </w:r>
      <w:r>
        <w:rPr>
          <w:spacing w:val="2"/>
        </w:rPr>
        <w:t xml:space="preserve"> </w:t>
      </w:r>
      <w:r>
        <w:rPr>
          <w:spacing w:val="9"/>
        </w:rPr>
        <w:t>收优惠、征收管理等作出规定，并对国务院给予必要的立法</w:t>
      </w:r>
      <w:r>
        <w:rPr>
          <w:spacing w:val="2"/>
        </w:rPr>
        <w:t xml:space="preserve"> </w:t>
      </w:r>
      <w:r>
        <w:rPr>
          <w:spacing w:val="9"/>
        </w:rPr>
        <w:t>授权。通过制定条例，对增值税法有关规定进一步细化、明</w:t>
      </w:r>
      <w:r>
        <w:rPr>
          <w:spacing w:val="2"/>
        </w:rPr>
        <w:t xml:space="preserve"> </w:t>
      </w:r>
      <w:r>
        <w:rPr>
          <w:spacing w:val="9"/>
        </w:rPr>
        <w:t>确，对授权国务院规定的事项作出具体规定，有利于增强税</w:t>
      </w:r>
      <w:r>
        <w:rPr>
          <w:spacing w:val="2"/>
        </w:rPr>
        <w:t xml:space="preserve"> </w:t>
      </w:r>
      <w:r>
        <w:rPr>
          <w:spacing w:val="11"/>
        </w:rPr>
        <w:t>制的确定性和可操作性，形成配套衔接的增值税制度</w:t>
      </w:r>
      <w:r>
        <w:rPr>
          <w:spacing w:val="10"/>
        </w:rPr>
        <w:t>体系，</w:t>
      </w:r>
      <w:r>
        <w:t xml:space="preserve"> </w:t>
      </w:r>
      <w:r>
        <w:rPr>
          <w:spacing w:val="9"/>
        </w:rPr>
        <w:t>为增值税法顺利实施提供保障，更好落实税收法定原则。</w:t>
      </w:r>
    </w:p>
    <w:p>
      <w:pPr>
        <w:spacing w:before="51" w:line="228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二、条例的主要内容</w:t>
      </w:r>
    </w:p>
    <w:p>
      <w:pPr>
        <w:pStyle w:val="2"/>
        <w:spacing w:before="209" w:line="221" w:lineRule="auto"/>
        <w:ind w:left="671"/>
      </w:pPr>
      <w:r>
        <w:rPr>
          <w:spacing w:val="8"/>
        </w:rPr>
        <w:t>条例遵循增值税法的规定，与现行增值税制度相衔接，</w:t>
      </w:r>
    </w:p>
    <w:p>
      <w:pPr>
        <w:spacing w:line="221" w:lineRule="auto"/>
        <w:sectPr>
          <w:footerReference r:id="rId5" w:type="default"/>
          <w:pgSz w:w="11906" w:h="16839"/>
          <w:pgMar w:top="1431" w:right="1710" w:bottom="1168" w:left="1785" w:header="0" w:footer="997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338" w:lineRule="auto"/>
        <w:ind w:left="34" w:firstLine="2"/>
      </w:pPr>
      <w:r>
        <w:t>并结合实际情况和征管需要明确具体规定，包括总则、税率、</w:t>
      </w:r>
      <w:r>
        <w:rPr>
          <w:spacing w:val="8"/>
        </w:rPr>
        <w:t xml:space="preserve"> </w:t>
      </w:r>
      <w:r>
        <w:t>应纳税额、税收优惠、征收管理、附则等六章五十七条内容。</w:t>
      </w:r>
    </w:p>
    <w:p>
      <w:pPr>
        <w:pStyle w:val="2"/>
        <w:spacing w:before="46" w:line="334" w:lineRule="auto"/>
        <w:ind w:left="21" w:right="95" w:firstLine="637"/>
      </w:pPr>
      <w:r>
        <w:rPr>
          <w:rFonts w:ascii="楷体" w:hAnsi="楷体" w:eastAsia="楷体" w:cs="楷体"/>
          <w:b/>
          <w:bCs/>
          <w:spacing w:val="5"/>
        </w:rPr>
        <w:t>（</w:t>
      </w:r>
      <w:r>
        <w:rPr>
          <w:rFonts w:ascii="楷体" w:hAnsi="楷体" w:eastAsia="楷体" w:cs="楷体"/>
          <w:spacing w:val="-75"/>
        </w:rPr>
        <w:t xml:space="preserve"> </w:t>
      </w:r>
      <w:r>
        <w:rPr>
          <w:rFonts w:ascii="楷体" w:hAnsi="楷体" w:eastAsia="楷体" w:cs="楷体"/>
          <w:b/>
          <w:bCs/>
          <w:spacing w:val="5"/>
        </w:rPr>
        <w:t>一）总则。</w:t>
      </w:r>
      <w:r>
        <w:rPr>
          <w:spacing w:val="5"/>
        </w:rPr>
        <w:t>对增值税法规定的纳税人、征税范围等税</w:t>
      </w:r>
      <w:r>
        <w:t xml:space="preserve"> </w:t>
      </w:r>
      <w:r>
        <w:rPr>
          <w:spacing w:val="6"/>
        </w:rPr>
        <w:t>制要素进行细化和明确。</w:t>
      </w:r>
      <w:r>
        <w:rPr>
          <w:spacing w:val="-74"/>
        </w:rPr>
        <w:t xml:space="preserve"> </w:t>
      </w:r>
      <w:r>
        <w:rPr>
          <w:spacing w:val="6"/>
        </w:rPr>
        <w:t>一是明确应税交易中货物、服务、</w:t>
      </w:r>
      <w:r>
        <w:t xml:space="preserve"> </w:t>
      </w:r>
      <w:r>
        <w:rPr>
          <w:spacing w:val="6"/>
        </w:rPr>
        <w:t>无形资产、不动产的定义范围（第二条</w:t>
      </w:r>
      <w:r>
        <w:rPr>
          <w:spacing w:val="-68"/>
        </w:rPr>
        <w:t xml:space="preserve"> </w:t>
      </w:r>
      <w:r>
        <w:rPr>
          <w:spacing w:val="6"/>
        </w:rPr>
        <w:t>）。二</w:t>
      </w:r>
      <w:r>
        <w:rPr>
          <w:spacing w:val="5"/>
        </w:rPr>
        <w:t>是对纳税人中</w:t>
      </w:r>
      <w:r>
        <w:t xml:space="preserve"> </w:t>
      </w:r>
      <w:r>
        <w:rPr>
          <w:spacing w:val="9"/>
        </w:rPr>
        <w:t>的单位和个人、一般纳税人和小规模纳税人进行解释（第三</w:t>
      </w:r>
      <w:r>
        <w:rPr>
          <w:spacing w:val="1"/>
        </w:rPr>
        <w:t xml:space="preserve"> </w:t>
      </w:r>
      <w:r>
        <w:rPr>
          <w:spacing w:val="9"/>
        </w:rPr>
        <w:t>条、第六条、第七条）。三是明确服务、无形资产在境内消</w:t>
      </w:r>
      <w:r>
        <w:rPr>
          <w:spacing w:val="1"/>
        </w:rPr>
        <w:t xml:space="preserve"> </w:t>
      </w:r>
      <w:r>
        <w:rPr>
          <w:spacing w:val="6"/>
        </w:rPr>
        <w:t>费的情形（第四条）。</w:t>
      </w:r>
      <w:r>
        <w:rPr>
          <w:spacing w:val="-76"/>
        </w:rPr>
        <w:t xml:space="preserve"> </w:t>
      </w:r>
      <w:r>
        <w:rPr>
          <w:spacing w:val="6"/>
        </w:rPr>
        <w:t>四是明确增值税专用发票应分别注明</w:t>
      </w:r>
      <w:r>
        <w:t xml:space="preserve"> </w:t>
      </w:r>
      <w:r>
        <w:rPr>
          <w:spacing w:val="8"/>
        </w:rPr>
        <w:t>销售额和增值税税额（第五条）。</w:t>
      </w:r>
    </w:p>
    <w:p>
      <w:pPr>
        <w:pStyle w:val="2"/>
        <w:spacing w:before="219" w:line="331" w:lineRule="auto"/>
        <w:ind w:left="21" w:right="95" w:firstLine="637"/>
      </w:pPr>
      <w:r>
        <w:rPr>
          <w:rFonts w:ascii="楷体" w:hAnsi="楷体" w:eastAsia="楷体" w:cs="楷体"/>
          <w:b/>
          <w:bCs/>
          <w:spacing w:val="5"/>
        </w:rPr>
        <w:t>（</w:t>
      </w:r>
      <w:r>
        <w:rPr>
          <w:rFonts w:ascii="楷体" w:hAnsi="楷体" w:eastAsia="楷体" w:cs="楷体"/>
          <w:spacing w:val="-72"/>
        </w:rPr>
        <w:t xml:space="preserve"> </w:t>
      </w:r>
      <w:r>
        <w:rPr>
          <w:rFonts w:ascii="楷体" w:hAnsi="楷体" w:eastAsia="楷体" w:cs="楷体"/>
          <w:b/>
          <w:bCs/>
          <w:spacing w:val="5"/>
        </w:rPr>
        <w:t>二）税率</w:t>
      </w:r>
      <w:r>
        <w:rPr>
          <w:rFonts w:ascii="楷体" w:hAnsi="楷体" w:eastAsia="楷体" w:cs="楷体"/>
          <w:spacing w:val="5"/>
        </w:rPr>
        <w:t>。</w:t>
      </w:r>
      <w:r>
        <w:rPr>
          <w:spacing w:val="5"/>
        </w:rPr>
        <w:t>对增值税法规定的出口货物、跨境销售服</w:t>
      </w:r>
      <w:r>
        <w:t xml:space="preserve"> </w:t>
      </w:r>
      <w:r>
        <w:rPr>
          <w:spacing w:val="9"/>
        </w:rPr>
        <w:t>务和无形资产有关范围进行明确，对涉及多个税率、征收率</w:t>
      </w:r>
      <w:r>
        <w:rPr>
          <w:spacing w:val="3"/>
        </w:rPr>
        <w:t xml:space="preserve"> </w:t>
      </w:r>
      <w:r>
        <w:rPr>
          <w:spacing w:val="9"/>
        </w:rPr>
        <w:t>情形的适用规则作细化解释。一是明确适用零税率的出口货</w:t>
      </w:r>
      <w:r>
        <w:rPr>
          <w:spacing w:val="3"/>
        </w:rPr>
        <w:t xml:space="preserve"> </w:t>
      </w:r>
      <w:r>
        <w:rPr>
          <w:spacing w:val="9"/>
        </w:rPr>
        <w:t>物和跨境销售服务、无形资产范围（第八条、第九条）。二</w:t>
      </w:r>
      <w:r>
        <w:rPr>
          <w:spacing w:val="3"/>
        </w:rPr>
        <w:t xml:space="preserve"> </w:t>
      </w:r>
      <w:r>
        <w:rPr>
          <w:spacing w:val="9"/>
        </w:rPr>
        <w:t>是明确一项应税交易涉及多个税率、征收率时的税率、征收</w:t>
      </w:r>
      <w:r>
        <w:rPr>
          <w:spacing w:val="1"/>
        </w:rPr>
        <w:t xml:space="preserve"> </w:t>
      </w:r>
      <w:r>
        <w:rPr>
          <w:spacing w:val="7"/>
        </w:rPr>
        <w:t>率适用规则（第十条）。</w:t>
      </w:r>
    </w:p>
    <w:p>
      <w:pPr>
        <w:pStyle w:val="2"/>
        <w:spacing w:before="214" w:line="334" w:lineRule="auto"/>
        <w:ind w:left="26" w:right="92" w:firstLine="632"/>
      </w:pPr>
      <w:r>
        <w:rPr>
          <w:rFonts w:ascii="楷体" w:hAnsi="楷体" w:eastAsia="楷体" w:cs="楷体"/>
          <w:b/>
          <w:bCs/>
          <w:spacing w:val="5"/>
        </w:rPr>
        <w:t>（</w:t>
      </w:r>
      <w:r>
        <w:rPr>
          <w:rFonts w:ascii="楷体" w:hAnsi="楷体" w:eastAsia="楷体" w:cs="楷体"/>
          <w:spacing w:val="-79"/>
        </w:rPr>
        <w:t xml:space="preserve"> </w:t>
      </w:r>
      <w:r>
        <w:rPr>
          <w:rFonts w:ascii="楷体" w:hAnsi="楷体" w:eastAsia="楷体" w:cs="楷体"/>
          <w:b/>
          <w:bCs/>
          <w:spacing w:val="5"/>
        </w:rPr>
        <w:t>三）应纳税额。</w:t>
      </w:r>
      <w:r>
        <w:rPr>
          <w:spacing w:val="5"/>
        </w:rPr>
        <w:t>对增值税法规定应纳税额的相关条款</w:t>
      </w:r>
      <w:r>
        <w:t xml:space="preserve"> </w:t>
      </w:r>
      <w:r>
        <w:rPr>
          <w:spacing w:val="9"/>
        </w:rPr>
        <w:t>进行具体细化，包括进项税额的抵扣办法、抵扣规</w:t>
      </w:r>
      <w:r>
        <w:rPr>
          <w:spacing w:val="8"/>
        </w:rPr>
        <w:t>则、不得</w:t>
      </w:r>
      <w:r>
        <w:t xml:space="preserve"> </w:t>
      </w:r>
      <w:r>
        <w:rPr>
          <w:spacing w:val="9"/>
        </w:rPr>
        <w:t>抵扣的进项税额范围等。一是明确增值税进项税额</w:t>
      </w:r>
      <w:r>
        <w:rPr>
          <w:spacing w:val="8"/>
        </w:rPr>
        <w:t>抵扣办法</w:t>
      </w:r>
      <w:r>
        <w:t xml:space="preserve"> </w:t>
      </w:r>
      <w:r>
        <w:rPr>
          <w:spacing w:val="5"/>
        </w:rPr>
        <w:t>和扣税凭证范围（第十一条、第十二条</w:t>
      </w:r>
      <w:r>
        <w:rPr>
          <w:spacing w:val="-53"/>
        </w:rPr>
        <w:t xml:space="preserve"> </w:t>
      </w:r>
      <w:r>
        <w:rPr>
          <w:spacing w:val="5"/>
        </w:rPr>
        <w:t>）。二是明确因销售</w:t>
      </w:r>
      <w:r>
        <w:t xml:space="preserve"> </w:t>
      </w:r>
      <w:r>
        <w:rPr>
          <w:spacing w:val="9"/>
        </w:rPr>
        <w:t>折让、中止或者退回而退还给购买方的增值税税额、销</w:t>
      </w:r>
      <w:r>
        <w:rPr>
          <w:spacing w:val="8"/>
        </w:rPr>
        <w:t>售额</w:t>
      </w:r>
      <w:r>
        <w:t xml:space="preserve"> </w:t>
      </w:r>
      <w:r>
        <w:rPr>
          <w:spacing w:val="9"/>
        </w:rPr>
        <w:t>的扣减方法（第十三条、第十四条）。三是对价外费用</w:t>
      </w:r>
      <w:r>
        <w:rPr>
          <w:spacing w:val="8"/>
        </w:rPr>
        <w:t>、核</w:t>
      </w:r>
      <w:r>
        <w:t xml:space="preserve"> </w:t>
      </w:r>
      <w:r>
        <w:rPr>
          <w:spacing w:val="9"/>
        </w:rPr>
        <w:t>定销售额、非正常损失项目等进行细化明确（第十五条</w:t>
      </w:r>
      <w:r>
        <w:rPr>
          <w:spacing w:val="8"/>
        </w:rPr>
        <w:t>、第</w:t>
      </w:r>
    </w:p>
    <w:p>
      <w:pPr>
        <w:spacing w:line="334" w:lineRule="auto"/>
        <w:sectPr>
          <w:footerReference r:id="rId6" w:type="default"/>
          <w:pgSz w:w="11906" w:h="16839"/>
          <w:pgMar w:top="1431" w:right="1704" w:bottom="1170" w:left="1785" w:header="0" w:footer="997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0" w:line="347" w:lineRule="auto"/>
        <w:ind w:left="26" w:firstLine="13"/>
        <w:jc w:val="both"/>
      </w:pPr>
      <w:r>
        <w:rPr>
          <w:spacing w:val="5"/>
        </w:rPr>
        <w:t>十八条、第十九条）。</w:t>
      </w:r>
      <w:r>
        <w:rPr>
          <w:spacing w:val="-67"/>
        </w:rPr>
        <w:t xml:space="preserve"> </w:t>
      </w:r>
      <w:r>
        <w:rPr>
          <w:spacing w:val="5"/>
        </w:rPr>
        <w:t>四是明确贷款服务、非应税交易对应</w:t>
      </w:r>
      <w:r>
        <w:t xml:space="preserve"> </w:t>
      </w:r>
      <w:r>
        <w:rPr>
          <w:spacing w:val="1"/>
        </w:rPr>
        <w:t>进项税额不得从销项税额中抵扣（第二十条、第二十二条）。</w:t>
      </w:r>
      <w:r>
        <w:t xml:space="preserve"> </w:t>
      </w:r>
      <w:r>
        <w:rPr>
          <w:spacing w:val="9"/>
        </w:rPr>
        <w:t>五是明确购进货物、服务对应进项税额的抵扣规则（第</w:t>
      </w:r>
      <w:r>
        <w:rPr>
          <w:spacing w:val="8"/>
        </w:rPr>
        <w:t>二十</w:t>
      </w:r>
      <w:r>
        <w:t xml:space="preserve"> </w:t>
      </w:r>
      <w:r>
        <w:rPr>
          <w:spacing w:val="9"/>
        </w:rPr>
        <w:t>三条、第二十四条）。六是明确固定资产、无形资产或</w:t>
      </w:r>
      <w:r>
        <w:rPr>
          <w:spacing w:val="8"/>
        </w:rPr>
        <w:t>者不</w:t>
      </w:r>
      <w:r>
        <w:t xml:space="preserve"> </w:t>
      </w:r>
      <w:r>
        <w:rPr>
          <w:spacing w:val="8"/>
        </w:rPr>
        <w:t>动产对应进项税额的抵扣规则（第二十六条）。</w:t>
      </w:r>
    </w:p>
    <w:p>
      <w:pPr>
        <w:pStyle w:val="2"/>
        <w:spacing w:before="54" w:line="330" w:lineRule="auto"/>
        <w:ind w:left="21" w:right="101" w:firstLine="637"/>
      </w:pPr>
      <w:r>
        <w:rPr>
          <w:rFonts w:ascii="楷体" w:hAnsi="楷体" w:eastAsia="楷体" w:cs="楷体"/>
          <w:b/>
          <w:bCs/>
          <w:spacing w:val="4"/>
        </w:rPr>
        <w:t>（</w:t>
      </w:r>
      <w:r>
        <w:rPr>
          <w:rFonts w:ascii="楷体" w:hAnsi="楷体" w:eastAsia="楷体" w:cs="楷体"/>
          <w:spacing w:val="-55"/>
        </w:rPr>
        <w:t xml:space="preserve"> </w:t>
      </w:r>
      <w:r>
        <w:rPr>
          <w:rFonts w:ascii="楷体" w:hAnsi="楷体" w:eastAsia="楷体" w:cs="楷体"/>
          <w:b/>
          <w:bCs/>
          <w:spacing w:val="4"/>
        </w:rPr>
        <w:t>四）税收优惠。</w:t>
      </w:r>
      <w:r>
        <w:rPr>
          <w:spacing w:val="4"/>
        </w:rPr>
        <w:t>一是明确增值税法规定的免征增值税</w:t>
      </w:r>
      <w:r>
        <w:t xml:space="preserve"> </w:t>
      </w:r>
      <w:r>
        <w:rPr>
          <w:spacing w:val="9"/>
        </w:rPr>
        <w:t>项目的具体标准（第二十七条至第三十三条）。二是明确税</w:t>
      </w:r>
      <w:r>
        <w:rPr>
          <w:spacing w:val="3"/>
        </w:rPr>
        <w:t xml:space="preserve"> </w:t>
      </w:r>
      <w:r>
        <w:rPr>
          <w:spacing w:val="9"/>
        </w:rPr>
        <w:t>收优惠政策的适用范围、标准、条件和税收征管措施等应当</w:t>
      </w:r>
      <w:r>
        <w:rPr>
          <w:spacing w:val="3"/>
        </w:rPr>
        <w:t xml:space="preserve"> </w:t>
      </w:r>
      <w:r>
        <w:rPr>
          <w:spacing w:val="9"/>
        </w:rPr>
        <w:t>依法及时向社会公开（第三十四条）。三是对纳税人未单独</w:t>
      </w:r>
      <w:r>
        <w:rPr>
          <w:spacing w:val="3"/>
        </w:rPr>
        <w:t xml:space="preserve"> </w:t>
      </w:r>
      <w:r>
        <w:rPr>
          <w:spacing w:val="9"/>
        </w:rPr>
        <w:t>核算增值税优惠项目，或通过提供虚假材料等各种手段违法</w:t>
      </w:r>
      <w:r>
        <w:rPr>
          <w:spacing w:val="1"/>
        </w:rPr>
        <w:t xml:space="preserve"> </w:t>
      </w:r>
      <w:r>
        <w:rPr>
          <w:spacing w:val="8"/>
        </w:rPr>
        <w:t>违规享受增值税优惠的情形作出规定（第三十五条）。</w:t>
      </w:r>
    </w:p>
    <w:p>
      <w:pPr>
        <w:pStyle w:val="2"/>
        <w:spacing w:before="216" w:line="341" w:lineRule="auto"/>
        <w:ind w:left="23" w:firstLine="635"/>
      </w:pPr>
      <w:r>
        <w:rPr>
          <w:rFonts w:ascii="楷体" w:hAnsi="楷体" w:eastAsia="楷体" w:cs="楷体"/>
          <w:b/>
          <w:bCs/>
          <w:spacing w:val="5"/>
        </w:rPr>
        <w:t>（</w:t>
      </w:r>
      <w:r>
        <w:rPr>
          <w:rFonts w:ascii="楷体" w:hAnsi="楷体" w:eastAsia="楷体" w:cs="楷体"/>
          <w:spacing w:val="-79"/>
        </w:rPr>
        <w:t xml:space="preserve"> </w:t>
      </w:r>
      <w:r>
        <w:rPr>
          <w:rFonts w:ascii="楷体" w:hAnsi="楷体" w:eastAsia="楷体" w:cs="楷体"/>
          <w:b/>
          <w:bCs/>
          <w:spacing w:val="5"/>
        </w:rPr>
        <w:t>五）征收管理。</w:t>
      </w:r>
      <w:r>
        <w:rPr>
          <w:spacing w:val="5"/>
        </w:rPr>
        <w:t>对增值税法征收管理相关条款进行细</w:t>
      </w:r>
      <w:r>
        <w:t xml:space="preserve"> </w:t>
      </w:r>
      <w:r>
        <w:rPr>
          <w:spacing w:val="9"/>
        </w:rPr>
        <w:t>化规定。一是明确承包、承租、挂靠方式经营，资管产品运</w:t>
      </w:r>
      <w:r>
        <w:rPr>
          <w:spacing w:val="1"/>
        </w:rPr>
        <w:t xml:space="preserve"> </w:t>
      </w:r>
      <w:r>
        <w:rPr>
          <w:spacing w:val="9"/>
        </w:rPr>
        <w:t>营等特殊情形纳税人的规定（第三十六条）。二是明确</w:t>
      </w:r>
      <w:r>
        <w:rPr>
          <w:spacing w:val="8"/>
        </w:rPr>
        <w:t>境外</w:t>
      </w:r>
      <w:r>
        <w:t xml:space="preserve"> </w:t>
      </w:r>
      <w:r>
        <w:rPr>
          <w:spacing w:val="9"/>
        </w:rPr>
        <w:t>单位和个人向自然人出租境内不动产的，应当委托境内</w:t>
      </w:r>
      <w:r>
        <w:rPr>
          <w:spacing w:val="8"/>
        </w:rPr>
        <w:t>单位</w:t>
      </w:r>
      <w:r>
        <w:t xml:space="preserve"> </w:t>
      </w:r>
      <w:r>
        <w:rPr>
          <w:spacing w:val="9"/>
        </w:rPr>
        <w:t>或个人为境内代理人（第三十七条）。三是对增值税纳</w:t>
      </w:r>
      <w:r>
        <w:rPr>
          <w:spacing w:val="8"/>
        </w:rPr>
        <w:t>税义</w:t>
      </w:r>
      <w:r>
        <w:t xml:space="preserve"> </w:t>
      </w:r>
      <w:r>
        <w:rPr>
          <w:spacing w:val="10"/>
        </w:rPr>
        <w:t>务发生时间进一步细化解释（第四十一条至第四十四条）。</w:t>
      </w:r>
      <w:r>
        <w:rPr>
          <w:spacing w:val="13"/>
        </w:rPr>
        <w:t xml:space="preserve"> </w:t>
      </w:r>
      <w:r>
        <w:rPr>
          <w:spacing w:val="9"/>
        </w:rPr>
        <w:t>四是明确适用一般计税方法的起始时间、总机构和分支</w:t>
      </w:r>
      <w:r>
        <w:rPr>
          <w:spacing w:val="8"/>
        </w:rPr>
        <w:t>机构</w:t>
      </w:r>
      <w:r>
        <w:t xml:space="preserve"> </w:t>
      </w:r>
      <w:r>
        <w:rPr>
          <w:spacing w:val="9"/>
        </w:rPr>
        <w:t>汇总申报纳税具体情形、纳税人跨地区提供建筑服务等</w:t>
      </w:r>
      <w:r>
        <w:rPr>
          <w:spacing w:val="8"/>
        </w:rPr>
        <w:t>预缴</w:t>
      </w:r>
      <w:r>
        <w:t xml:space="preserve"> </w:t>
      </w:r>
      <w:r>
        <w:rPr>
          <w:spacing w:val="1"/>
        </w:rPr>
        <w:t xml:space="preserve">税款情形等规定（第三十八条、第四十五条至第四十九条）。 </w:t>
      </w:r>
      <w:r>
        <w:rPr>
          <w:spacing w:val="9"/>
        </w:rPr>
        <w:t>五是对退（免）税计算办法、退（免）税申报期限等作出规</w:t>
      </w:r>
      <w:r>
        <w:rPr>
          <w:spacing w:val="1"/>
        </w:rPr>
        <w:t xml:space="preserve"> </w:t>
      </w:r>
      <w:r>
        <w:rPr>
          <w:spacing w:val="7"/>
        </w:rPr>
        <w:t>定（第五十条至第五十五条）。</w:t>
      </w:r>
    </w:p>
    <w:p>
      <w:pPr>
        <w:spacing w:line="341" w:lineRule="auto"/>
        <w:sectPr>
          <w:footerReference r:id="rId7" w:type="default"/>
          <w:pgSz w:w="11906" w:h="16839"/>
          <w:pgMar w:top="1431" w:right="1696" w:bottom="1170" w:left="1785" w:header="0" w:footer="997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0" w:line="221" w:lineRule="auto"/>
        <w:ind w:left="659"/>
      </w:pPr>
      <w:r>
        <w:rPr>
          <w:rFonts w:ascii="楷体" w:hAnsi="楷体" w:eastAsia="楷体" w:cs="楷体"/>
          <w:b/>
          <w:bCs/>
          <w:spacing w:val="-3"/>
        </w:rPr>
        <w:t>（</w:t>
      </w:r>
      <w:r>
        <w:rPr>
          <w:rFonts w:ascii="楷体" w:hAnsi="楷体" w:eastAsia="楷体" w:cs="楷体"/>
          <w:spacing w:val="-61"/>
        </w:rPr>
        <w:t xml:space="preserve"> </w:t>
      </w:r>
      <w:r>
        <w:rPr>
          <w:rFonts w:ascii="楷体" w:hAnsi="楷体" w:eastAsia="楷体" w:cs="楷体"/>
          <w:b/>
          <w:bCs/>
          <w:spacing w:val="-3"/>
        </w:rPr>
        <w:t>六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b/>
          <w:bCs/>
          <w:spacing w:val="-3"/>
        </w:rPr>
        <w:t>）附则。</w:t>
      </w:r>
      <w:r>
        <w:rPr>
          <w:rFonts w:ascii="楷体" w:hAnsi="楷体" w:eastAsia="楷体" w:cs="楷体"/>
          <w:spacing w:val="-81"/>
        </w:rPr>
        <w:t xml:space="preserve"> </w:t>
      </w:r>
      <w:r>
        <w:rPr>
          <w:spacing w:val="-3"/>
        </w:rPr>
        <w:t>明确了条例施行时间（第五十七条）。</w:t>
      </w:r>
    </w:p>
    <w:sectPr>
      <w:footerReference r:id="rId8" w:type="default"/>
      <w:pgSz w:w="11906" w:h="16839"/>
      <w:pgMar w:top="1431" w:right="1785" w:bottom="1168" w:left="1785" w:header="0" w:footer="9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130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124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1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124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119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5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B223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Office_11.8.2.10158_F1E327BC-269C-435d-A152-05C5408002CA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2025-08-05T10:50:00Z</dcterms:created>
  <dc:creator>Administrator</dc:creator>
  <cp:lastModifiedBy>fzr</cp:lastModifiedBy>
  <dcterms:modified xsi:type="dcterms:W3CDTF">2025-08-11T12:47:35Z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2025-08-11T20:42:26Z</vt:filetime>
  </property>
  <property fmtid="{D5CDD505-2E9C-101B-9397-08002B2CF9AE}" pid="4" name="KSOProductBuildVer">
    <vt:lpwstr>2052-11.8.2.10158</vt:lpwstr>
  </property>
</Properties>
</file>