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73A61">
      <w:pPr>
        <w:pStyle w:val="2"/>
        <w:keepNext w:val="0"/>
        <w:keepLines w:val="0"/>
        <w:widowControl/>
        <w:suppressLineNumbers w:val="0"/>
        <w:shd w:val="clear" w:fill="FFFFFF"/>
        <w:spacing w:before="192" w:beforeAutospacing="0" w:after="192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F1115"/>
          <w:spacing w:val="0"/>
          <w:sz w:val="19"/>
          <w:szCs w:val="19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F1115"/>
          <w:spacing w:val="0"/>
          <w:sz w:val="19"/>
          <w:szCs w:val="19"/>
          <w:shd w:val="clear" w:fill="FFFFFF"/>
        </w:rPr>
        <w:t>废止文件和条款目录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"/>
        <w:gridCol w:w="6115"/>
        <w:gridCol w:w="1864"/>
      </w:tblGrid>
      <w:tr w14:paraId="77FE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92" w:type="dxa"/>
            </w:tcMar>
            <w:vAlign w:val="center"/>
          </w:tcPr>
          <w:p w14:paraId="2AD095F5">
            <w:pPr>
              <w:keepNext w:val="0"/>
              <w:keepLines w:val="0"/>
              <w:widowControl/>
              <w:suppressLineNumbers w:val="0"/>
              <w:jc w:val="left"/>
              <w:rPr>
                <w:rFonts w:ascii="var(--dsw-font-markdown-table-h" w:hAnsi="var(--dsw-font-markdown-table-h" w:eastAsia="var(--dsw-font-markdown-table-h" w:cs="var(--dsw-font-markdown-table-h"/>
                <w:b/>
                <w:bCs/>
              </w:rPr>
            </w:pPr>
            <w:r>
              <w:rPr>
                <w:rFonts w:hint="default" w:ascii="var(--dsw-font-markdown-table-h" w:hAnsi="var(--dsw-font-markdown-table-h" w:eastAsia="var(--dsw-font-markdown-table-h" w:cs="var(--dsw-font-markdown-table-h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14:paraId="5C264E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-h" w:hAnsi="var(--dsw-font-markdown-table-h" w:eastAsia="var(--dsw-font-markdown-table-h" w:cs="var(--dsw-font-markdown-table-h"/>
                <w:b/>
                <w:bCs/>
              </w:rPr>
            </w:pPr>
            <w:r>
              <w:rPr>
                <w:rFonts w:hint="default" w:ascii="var(--dsw-font-markdown-table-h" w:hAnsi="var(--dsw-font-markdown-table-h" w:eastAsia="var(--dsw-font-markdown-table-h" w:cs="var(--dsw-font-markdown-table-h"/>
                <w:b/>
                <w:bCs/>
                <w:kern w:val="0"/>
                <w:sz w:val="24"/>
                <w:szCs w:val="24"/>
                <w:lang w:val="en-US" w:eastAsia="zh-CN" w:bidi="ar"/>
              </w:rPr>
              <w:t>文件标题和条款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14:paraId="340729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-h" w:hAnsi="var(--dsw-font-markdown-table-h" w:eastAsia="var(--dsw-font-markdown-table-h" w:cs="var(--dsw-font-markdown-table-h"/>
                <w:b/>
                <w:bCs/>
              </w:rPr>
            </w:pPr>
            <w:r>
              <w:rPr>
                <w:rFonts w:hint="default" w:ascii="var(--dsw-font-markdown-table-h" w:hAnsi="var(--dsw-font-markdown-table-h" w:eastAsia="var(--dsw-font-markdown-table-h" w:cs="var(--dsw-font-markdown-table-h"/>
                <w:b/>
                <w:bCs/>
                <w:kern w:val="0"/>
                <w:sz w:val="24"/>
                <w:szCs w:val="24"/>
                <w:lang w:val="en-US" w:eastAsia="zh-CN" w:bidi="ar"/>
              </w:rPr>
              <w:t>发文字号</w:t>
            </w:r>
          </w:p>
        </w:tc>
      </w:tr>
      <w:tr w14:paraId="30FA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192" w:type="dxa"/>
            </w:tcMar>
            <w:vAlign w:val="center"/>
          </w:tcPr>
          <w:p w14:paraId="65BDE186">
            <w:pPr>
              <w:keepNext w:val="0"/>
              <w:keepLines w:val="0"/>
              <w:widowControl/>
              <w:suppressLineNumbers w:val="0"/>
              <w:jc w:val="left"/>
              <w:rPr>
                <w:rFonts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14:paraId="65E4DD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instrText xml:space="preserve"> HYPERLINK "https://www.ssfb86.com/index/News/detail/newsid/4380.html" </w:instrTex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财政部 国家税务总局关于飞机维修增值税问题的通知</w: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</w:tcPr>
          <w:p w14:paraId="4E58D7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财税〔2000〕102 号</w:t>
            </w:r>
          </w:p>
        </w:tc>
      </w:tr>
      <w:tr w14:paraId="4A7C3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192" w:type="dxa"/>
            </w:tcMar>
            <w:vAlign w:val="center"/>
          </w:tcPr>
          <w:p w14:paraId="7A2F92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14:paraId="1DE190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"https://www.ssfb86.com/index/News/detail/newsid/18911.html" </w:instrTex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财政部 国家税务总局关于铂金及其制品税收政策的通知</w: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》第一、二、三、四、八、九条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</w:tcPr>
          <w:p w14:paraId="765290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财税〔2003〕86 号</w:t>
            </w:r>
          </w:p>
        </w:tc>
      </w:tr>
      <w:tr w14:paraId="7947C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192" w:type="dxa"/>
            </w:tcMar>
            <w:vAlign w:val="center"/>
          </w:tcPr>
          <w:p w14:paraId="37A740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14:paraId="2F945A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instrText xml:space="preserve"> HYPERLINK "https://www.ssfb86.com/index/News/detail/newsid/18912.html" </w:instrTex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财政部关于铂金及铂金首饰进口税收政策的通知</w: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》第一条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</w:tcPr>
          <w:p w14:paraId="0F228D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财税〔2003〕87 号</w:t>
            </w:r>
          </w:p>
        </w:tc>
      </w:tr>
      <w:tr w14:paraId="0C74C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192" w:type="dxa"/>
            </w:tcMar>
            <w:vAlign w:val="center"/>
          </w:tcPr>
          <w:p w14:paraId="77AAED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14:paraId="27E632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instrText xml:space="preserve"> HYPERLINK "https://www.ssfb86.com/index/News/detail/newsid/3000.html" </w:instrTex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财政部 海关总署 国家税务总局关于调整钻石及上海钻石交易所有关税收政策的通知</w: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》第一、三、四、五、七条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</w:tcPr>
          <w:p w14:paraId="23D248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财税〔2006〕65 号</w:t>
            </w:r>
          </w:p>
        </w:tc>
      </w:tr>
      <w:tr w14:paraId="3609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192" w:type="dxa"/>
            </w:tcMar>
            <w:vAlign w:val="center"/>
          </w:tcPr>
          <w:p w14:paraId="4F21A4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14:paraId="609A13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instrText xml:space="preserve"> HYPERLINK "https://www.ssfb86.com/index/News/detail/newsid/2768.html" </w:instrTex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财政部 国家税务总局关于加快煤层气抽采有关税收政策问题的通知</w: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》第一条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</w:tcPr>
          <w:p w14:paraId="11804B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财税〔2007〕16 号</w:t>
            </w:r>
          </w:p>
        </w:tc>
      </w:tr>
      <w:tr w14:paraId="145D9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192" w:type="dxa"/>
            </w:tcMar>
            <w:vAlign w:val="center"/>
          </w:tcPr>
          <w:p w14:paraId="0316B7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14:paraId="34966F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instrText xml:space="preserve"> HYPERLINK "https://www.ssfb86.com/index/News/detail/newsid/975.html" </w:instrTex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财政部 国家税务总局关于新型墙体材料增值税政策的通知</w: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</w:tcPr>
          <w:p w14:paraId="542FC1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财税〔2015〕73 号</w:t>
            </w:r>
          </w:p>
        </w:tc>
      </w:tr>
      <w:tr w14:paraId="0617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192" w:type="dxa"/>
            </w:tcMar>
            <w:vAlign w:val="center"/>
          </w:tcPr>
          <w:p w14:paraId="6DD7F1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14:paraId="00CB8A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instrText xml:space="preserve"> HYPERLINK "https://www.ssfb86.com/index/News/detail/newsid/976.html" </w:instrTex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财政部 国家税务总局关于风力发电增值税政策的通知</w: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</w:tcPr>
          <w:p w14:paraId="12AC8C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财税〔2015〕74 号</w:t>
            </w:r>
          </w:p>
        </w:tc>
      </w:tr>
      <w:tr w14:paraId="7EBA0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20" w:type="dxa"/>
              <w:left w:w="0" w:type="dxa"/>
              <w:bottom w:w="120" w:type="dxa"/>
              <w:right w:w="192" w:type="dxa"/>
            </w:tcMar>
            <w:vAlign w:val="center"/>
          </w:tcPr>
          <w:p w14:paraId="0F3EEA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14:paraId="38EFA6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《财政部 国家税务总局关于全面推开营业税改征增值税试点的通知》附件 3 《</w: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instrText xml:space="preserve"> HYPERLINK "https://www.ssfb86.com/index/News/detail/newsid/7033.html" </w:instrTex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营业税改</w:t>
            </w:r>
            <w:bookmarkStart w:id="0" w:name="_GoBack"/>
            <w:bookmarkEnd w:id="0"/>
            <w:r>
              <w:rPr>
                <w:rStyle w:val="6"/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征增值税试点过渡政策的规定</w:t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》第二条第（二）项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</w:tcPr>
          <w:p w14:paraId="0419F6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ar(--dsw-font-markdown-table)" w:hAnsi="var(--dsw-font-markdown-table)" w:eastAsia="var(--dsw-font-markdown-table)" w:cs="var(--dsw-font-markdown-table)"/>
              </w:rPr>
            </w:pPr>
            <w:r>
              <w:rPr>
                <w:rFonts w:hint="default" w:ascii="var(--dsw-font-markdown-table)" w:hAnsi="var(--dsw-font-markdown-table)" w:eastAsia="var(--dsw-font-markdown-table)" w:cs="var(--dsw-font-markdown-table)"/>
                <w:kern w:val="0"/>
                <w:sz w:val="24"/>
                <w:szCs w:val="24"/>
                <w:lang w:val="en-US" w:eastAsia="zh-CN" w:bidi="ar"/>
              </w:rPr>
              <w:t>财税〔2016〕36 号</w:t>
            </w:r>
          </w:p>
        </w:tc>
      </w:tr>
    </w:tbl>
    <w:p w14:paraId="1397F8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ar(--dsw-font-markdown-table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ar(--dsw-font-markdown-tabl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574FF"/>
    <w:rsid w:val="1E6F43B1"/>
    <w:rsid w:val="44D26773"/>
    <w:rsid w:val="4F53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single"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404</Characters>
  <Lines>0</Lines>
  <Paragraphs>0</Paragraphs>
  <TotalTime>24</TotalTime>
  <ScaleCrop>false</ScaleCrop>
  <LinksUpToDate>false</LinksUpToDate>
  <CharactersWithSpaces>422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2025-10-19T06:31:00Z</dcterms:created>
  <dc:creator>tsuser</dc:creator>
  <cp:lastModifiedBy>默默</cp:lastModifiedBy>
  <dcterms:modified xsi:type="dcterms:W3CDTF">2025-10-19T08:19:41Z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C4573F32D3E6473D88338DF45F1EBFE0_12</vt:lpwstr>
  </property>
</Properties>
</file>