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565" w:type="dxa"/>
        <w:tblInd w:w="-4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790"/>
        <w:gridCol w:w="5775"/>
      </w:tblGrid>
      <w:tr w14:paraId="4C357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7" w:hRule="atLeast"/>
        </w:trPr>
        <w:tc>
          <w:tcPr>
            <w:tcW w:w="3790" w:type="dxa"/>
            <w:shd w:val="clear" w:color="auto" w:fill="auto"/>
            <w:vAlign w:val="center"/>
          </w:tcPr>
          <w:p w14:paraId="5F550576">
            <w:pPr>
              <w:keepNext w:val="0"/>
              <w:keepLines w:val="0"/>
              <w:widowControl/>
              <w:suppressLineNumbers w:val="0"/>
              <w:jc w:val="center"/>
              <w:rPr>
                <w:color w:val="C00000"/>
              </w:rPr>
            </w:pPr>
            <w:r>
              <w:rPr>
                <w:rFonts w:ascii="宋体" w:hAnsi="宋体" w:eastAsia="宋体" w:cs="宋体"/>
                <w:b/>
                <w:bCs/>
                <w:color w:val="C00000"/>
                <w:kern w:val="0"/>
                <w:sz w:val="24"/>
                <w:szCs w:val="24"/>
                <w:lang w:val="en-US" w:eastAsia="zh-CN" w:bidi="ar"/>
              </w:rPr>
              <w:t>中华人民共和国增值税法</w:t>
            </w:r>
          </w:p>
        </w:tc>
        <w:tc>
          <w:tcPr>
            <w:tcW w:w="5775" w:type="dxa"/>
            <w:shd w:val="clear" w:color="auto" w:fill="auto"/>
            <w:vAlign w:val="center"/>
          </w:tcPr>
          <w:p w14:paraId="51CFF6C5">
            <w:pPr>
              <w:keepNext w:val="0"/>
              <w:keepLines w:val="0"/>
              <w:widowControl/>
              <w:suppressLineNumbers w:val="0"/>
              <w:jc w:val="center"/>
              <w:rPr>
                <w:color w:val="C00000"/>
              </w:rPr>
            </w:pPr>
            <w:r>
              <w:rPr>
                <w:rFonts w:ascii="宋体" w:hAnsi="宋体" w:eastAsia="宋体" w:cs="宋体"/>
                <w:b/>
                <w:bCs/>
                <w:color w:val="C00000"/>
                <w:kern w:val="0"/>
                <w:sz w:val="24"/>
                <w:szCs w:val="24"/>
                <w:lang w:val="en-US" w:eastAsia="zh-CN" w:bidi="ar"/>
              </w:rPr>
              <w:t>中华人民共和国增值税法实施条例</w:t>
            </w:r>
          </w:p>
        </w:tc>
      </w:tr>
      <w:tr w14:paraId="21269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790" w:type="dxa"/>
            <w:shd w:val="clear" w:color="auto" w:fill="auto"/>
            <w:vAlign w:val="center"/>
          </w:tcPr>
          <w:p w14:paraId="7E42C734">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color w:val="1D41D5"/>
                <w:sz w:val="24"/>
                <w:szCs w:val="24"/>
              </w:rPr>
            </w:pPr>
            <w:r>
              <w:rPr>
                <w:rFonts w:hint="eastAsia" w:asciiTheme="minorEastAsia" w:hAnsiTheme="minorEastAsia" w:eastAsiaTheme="minorEastAsia" w:cstheme="minorEastAsia"/>
                <w:b/>
                <w:bCs/>
                <w:color w:val="1D41D5"/>
                <w:kern w:val="0"/>
                <w:sz w:val="24"/>
                <w:szCs w:val="24"/>
                <w:lang w:val="en-US" w:eastAsia="zh-CN" w:bidi="ar"/>
              </w:rPr>
              <w:t>第一章 总则</w:t>
            </w:r>
          </w:p>
        </w:tc>
        <w:tc>
          <w:tcPr>
            <w:tcW w:w="5775" w:type="dxa"/>
            <w:shd w:val="clear" w:color="auto" w:fill="auto"/>
            <w:vAlign w:val="center"/>
          </w:tcPr>
          <w:p w14:paraId="3FD45B06">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color w:val="1D41D5"/>
                <w:sz w:val="24"/>
                <w:szCs w:val="24"/>
              </w:rPr>
            </w:pPr>
            <w:r>
              <w:rPr>
                <w:rFonts w:hint="eastAsia" w:asciiTheme="minorEastAsia" w:hAnsiTheme="minorEastAsia" w:eastAsiaTheme="minorEastAsia" w:cstheme="minorEastAsia"/>
                <w:b/>
                <w:bCs/>
                <w:color w:val="1D41D5"/>
                <w:kern w:val="0"/>
                <w:sz w:val="24"/>
                <w:szCs w:val="24"/>
                <w:lang w:val="en-US" w:eastAsia="zh-CN" w:bidi="ar"/>
              </w:rPr>
              <w:t>第一章   总则</w:t>
            </w:r>
          </w:p>
        </w:tc>
      </w:tr>
      <w:tr w14:paraId="4744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10" w:hRule="atLeast"/>
        </w:trPr>
        <w:tc>
          <w:tcPr>
            <w:tcW w:w="3790" w:type="dxa"/>
            <w:shd w:val="clear" w:color="auto" w:fill="auto"/>
            <w:vAlign w:val="center"/>
          </w:tcPr>
          <w:p w14:paraId="49D1643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第一条 为了健全有利于高质量发展的增值税制度，规范增值税的征收和缴纳，保护纳税人的合法权益，制定本法。</w:t>
            </w:r>
          </w:p>
          <w:p w14:paraId="217ACFC0">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"https://ssfb86.com/index/News/detail/newsid/17796.html"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098AFE80">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第一条   </w:t>
            </w:r>
            <w:r>
              <w:rPr>
                <w:rFonts w:hint="eastAsia" w:ascii="宋体" w:hAnsi="宋体" w:eastAsia="宋体" w:cs="宋体"/>
                <w:i w:val="0"/>
                <w:iCs w:val="0"/>
                <w:caps w:val="0"/>
                <w:color w:val="333333"/>
                <w:spacing w:val="0"/>
                <w:sz w:val="24"/>
                <w:szCs w:val="24"/>
                <w:shd w:val="clear" w:fill="FFFFFF"/>
              </w:rPr>
              <w:t>根据《中华人民共和国增值税法》（以下简称增值税法），制定本条例。</w:t>
            </w:r>
          </w:p>
        </w:tc>
      </w:tr>
      <w:tr w14:paraId="26DC4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80" w:hRule="atLeast"/>
        </w:trPr>
        <w:tc>
          <w:tcPr>
            <w:tcW w:w="3790" w:type="dxa"/>
            <w:shd w:val="clear" w:color="auto" w:fill="auto"/>
            <w:vAlign w:val="center"/>
          </w:tcPr>
          <w:p w14:paraId="3A16EF7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第二条 增值税税收工作应当贯彻落实党和国家路线方针政策、决策部署，为国民经济和社会发展服务。</w:t>
            </w:r>
          </w:p>
          <w:p w14:paraId="776E08D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"https://ssfb86.com/index/News/detail/newsid/17796.html"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3B2B926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10DC0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790" w:type="dxa"/>
            <w:shd w:val="clear" w:color="auto" w:fill="auto"/>
            <w:vAlign w:val="top"/>
          </w:tcPr>
          <w:p w14:paraId="520CCB1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第三条 在中华人民共和国境内（以下简称境内）销售货物、服务、无形资产、不动产（以下称</w:t>
            </w:r>
            <w:r>
              <w:rPr>
                <w:rFonts w:hint="eastAsia" w:asciiTheme="minorEastAsia" w:hAnsiTheme="minorEastAsia" w:eastAsiaTheme="minorEastAsia" w:cstheme="minorEastAsia"/>
                <w:b w:val="0"/>
                <w:bCs w:val="0"/>
                <w:color w:val="000000" w:themeColor="text1"/>
                <w:kern w:val="0"/>
                <w:sz w:val="24"/>
                <w:szCs w:val="24"/>
                <w:highlight w:val="cyan"/>
                <w:lang w:val="en-US" w:eastAsia="zh-CN" w:bidi="ar"/>
                <w14:textFill>
                  <w14:solidFill>
                    <w14:schemeClr w14:val="tx1"/>
                  </w14:solidFill>
                </w14:textFill>
              </w:rPr>
              <w:t>应税交易</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），以及进口货物的单位和个人（包括个体工商户），为增值税的纳税人，应当依照本法规定缴纳增值税。</w:t>
            </w:r>
          </w:p>
          <w:p w14:paraId="0C977A5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"https://ssfb86.com/index/News/detail/newsid/17797.html"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本款相关法规汇编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p w14:paraId="7DBDA93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销售货物、服务、无形资产、不动产，是指有偿转让货物、不动产的所有权，有偿提供服务，有偿转让无</w:t>
            </w:r>
            <w:r>
              <w:rPr>
                <w:rFonts w:hint="eastAsia" w:asciiTheme="minorEastAsia" w:hAnsiTheme="minorEastAsia" w:eastAsiaTheme="minorEastAsia" w:cstheme="minorEastAsia"/>
                <w:b w:val="0"/>
                <w:bCs w:val="0"/>
                <w:color w:val="000000" w:themeColor="text1"/>
                <w:kern w:val="0"/>
                <w:sz w:val="24"/>
                <w:szCs w:val="24"/>
                <w:highlight w:val="cyan"/>
                <w:lang w:val="en-US" w:eastAsia="zh-CN" w:bidi="ar"/>
                <w14:textFill>
                  <w14:solidFill>
                    <w14:schemeClr w14:val="tx1"/>
                  </w14:solidFill>
                </w14:textFill>
              </w:rPr>
              <w:t>形资产的所有权或者使用权</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w:t>
            </w:r>
          </w:p>
          <w:p w14:paraId="1BDF1D9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"https://ssfb86.com/index/News/detail/newsid/17798.html"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本款相关法规汇编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6671902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第二条   </w:t>
            </w:r>
            <w:r>
              <w:rPr>
                <w:rFonts w:hint="eastAsia" w:ascii="宋体" w:hAnsi="宋体" w:eastAsia="宋体" w:cs="宋体"/>
                <w:i w:val="0"/>
                <w:iCs w:val="0"/>
                <w:caps w:val="0"/>
                <w:color w:val="333333"/>
                <w:spacing w:val="0"/>
                <w:sz w:val="24"/>
                <w:szCs w:val="24"/>
                <w:shd w:val="clear" w:fill="FFFFFF"/>
              </w:rPr>
              <w:t>增值税法第三条所称货物，包括有形动产、电力、热力、气体等。</w:t>
            </w:r>
          </w:p>
          <w:p w14:paraId="74B2C0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增值税法第三条所称服务，包括交通运输服务、邮政服务、电信服务、建筑服务、金融服务，</w:t>
            </w:r>
            <w:r>
              <w:rPr>
                <w:rFonts w:hint="eastAsia" w:ascii="宋体" w:hAnsi="宋体" w:eastAsia="宋体" w:cs="宋体"/>
                <w:b/>
                <w:bCs/>
                <w:i w:val="0"/>
                <w:iCs w:val="0"/>
                <w:caps w:val="0"/>
                <w:color w:val="333333"/>
                <w:spacing w:val="0"/>
                <w:sz w:val="24"/>
                <w:szCs w:val="24"/>
                <w:shd w:val="clear" w:fill="FFFFFF"/>
              </w:rPr>
              <w:t>以及</w:t>
            </w:r>
            <w:r>
              <w:rPr>
                <w:rFonts w:hint="eastAsia" w:ascii="宋体" w:hAnsi="宋体" w:eastAsia="宋体" w:cs="宋体"/>
                <w:b/>
                <w:bCs/>
                <w:i w:val="0"/>
                <w:iCs w:val="0"/>
                <w:caps w:val="0"/>
                <w:color w:val="333333"/>
                <w:spacing w:val="0"/>
                <w:sz w:val="24"/>
                <w:szCs w:val="24"/>
                <w:highlight w:val="cyan"/>
                <w:shd w:val="clear" w:fill="FFFFFF"/>
              </w:rPr>
              <w:t>信息技术服务、文化体育服务、鉴证咨询服务等</w:t>
            </w:r>
            <w:r>
              <w:rPr>
                <w:rFonts w:hint="eastAsia" w:ascii="宋体" w:hAnsi="宋体" w:eastAsia="宋体" w:cs="宋体"/>
                <w:i w:val="0"/>
                <w:iCs w:val="0"/>
                <w:caps w:val="0"/>
                <w:color w:val="333333"/>
                <w:spacing w:val="0"/>
                <w:sz w:val="24"/>
                <w:szCs w:val="24"/>
                <w:highlight w:val="cyan"/>
                <w:shd w:val="clear" w:fill="FFFFFF"/>
              </w:rPr>
              <w:t>生产生活服务</w:t>
            </w:r>
            <w:r>
              <w:rPr>
                <w:rFonts w:hint="eastAsia" w:ascii="宋体" w:hAnsi="宋体" w:eastAsia="宋体" w:cs="宋体"/>
                <w:i w:val="0"/>
                <w:iCs w:val="0"/>
                <w:caps w:val="0"/>
                <w:color w:val="333333"/>
                <w:spacing w:val="0"/>
                <w:sz w:val="24"/>
                <w:szCs w:val="24"/>
                <w:shd w:val="clear" w:fill="FFFFFF"/>
              </w:rPr>
              <w:t>。</w:t>
            </w:r>
          </w:p>
          <w:p w14:paraId="37B7CD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增值税法第三条所称无形资产，是指不具实物形态，但能带来经济利益的资产，包括</w:t>
            </w:r>
            <w:r>
              <w:rPr>
                <w:rFonts w:hint="eastAsia" w:ascii="宋体" w:hAnsi="宋体" w:eastAsia="宋体" w:cs="宋体"/>
                <w:i w:val="0"/>
                <w:iCs w:val="0"/>
                <w:caps w:val="0"/>
                <w:color w:val="333333"/>
                <w:spacing w:val="0"/>
                <w:sz w:val="24"/>
                <w:szCs w:val="24"/>
                <w:highlight w:val="cyan"/>
                <w:shd w:val="clear" w:fill="FFFFFF"/>
              </w:rPr>
              <w:t>技术、商标、著作权、商誉、自然资源使用权和其他无形资产</w:t>
            </w:r>
            <w:r>
              <w:rPr>
                <w:rFonts w:hint="eastAsia" w:ascii="宋体" w:hAnsi="宋体" w:eastAsia="宋体" w:cs="宋体"/>
                <w:i w:val="0"/>
                <w:iCs w:val="0"/>
                <w:caps w:val="0"/>
                <w:color w:val="333333"/>
                <w:spacing w:val="0"/>
                <w:sz w:val="24"/>
                <w:szCs w:val="24"/>
                <w:shd w:val="clear" w:fill="FFFFFF"/>
              </w:rPr>
              <w:t>。</w:t>
            </w:r>
          </w:p>
          <w:p w14:paraId="766B49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增值税法第三条所称不动产，是指不能移动或者移动后会引起性质、形状改变的资产，包括建筑物、构筑物等。</w:t>
            </w:r>
          </w:p>
          <w:p w14:paraId="68B972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国务院财政、税务主管部门提出货物、服务、无形资产、不动产的具体范围，</w:t>
            </w:r>
            <w:r>
              <w:rPr>
                <w:rFonts w:hint="eastAsia" w:ascii="宋体" w:hAnsi="宋体" w:eastAsia="宋体" w:cs="宋体"/>
                <w:b/>
                <w:bCs/>
                <w:i w:val="0"/>
                <w:iCs w:val="0"/>
                <w:caps w:val="0"/>
                <w:color w:val="333333"/>
                <w:spacing w:val="0"/>
                <w:sz w:val="24"/>
                <w:szCs w:val="24"/>
                <w:shd w:val="clear" w:fill="FFFFFF"/>
              </w:rPr>
              <w:t>报国务院批准后公布施行</w:t>
            </w:r>
            <w:r>
              <w:rPr>
                <w:rFonts w:hint="eastAsia" w:ascii="宋体" w:hAnsi="宋体" w:eastAsia="宋体" w:cs="宋体"/>
                <w:i w:val="0"/>
                <w:iCs w:val="0"/>
                <w:caps w:val="0"/>
                <w:color w:val="333333"/>
                <w:spacing w:val="0"/>
                <w:sz w:val="24"/>
                <w:szCs w:val="24"/>
                <w:shd w:val="clear" w:fill="FFFFFF"/>
              </w:rPr>
              <w:t>。</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lang w:eastAsia="zh-CN" w:bidi="ar"/>
                <w14:textFill>
                  <w14:solidFill>
                    <w14:schemeClr w14:val="tx1"/>
                  </w14:solidFill>
                </w14:textFill>
              </w:rPr>
              <w:t xml:space="preserve">    </w:t>
            </w: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"https://www.ssfb86.com/index/News/detail/newsid/17798.html" </w:instrText>
            </w:r>
            <w:r>
              <w:rPr>
                <w:rFonts w:hint="eastAsia" w:ascii="楷体" w:hAnsi="楷体" w:eastAsia="楷体" w:cs="楷体"/>
                <w:i w:val="0"/>
                <w:iCs w:val="0"/>
                <w:caps w:val="0"/>
                <w:color w:val="005C81"/>
                <w:spacing w:val="0"/>
                <w:sz w:val="19"/>
                <w:szCs w:val="19"/>
                <w:u w:val="none"/>
              </w:rPr>
              <w:fldChar w:fldCharType="separate"/>
            </w:r>
            <w:r>
              <w:rPr>
                <w:rStyle w:val="10"/>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cstheme="minorEastAsia"/>
                <w:b w:val="0"/>
                <w:bCs w:val="0"/>
                <w:color w:val="000000" w:themeColor="text1"/>
                <w:kern w:val="0"/>
                <w:sz w:val="24"/>
                <w:szCs w:val="24"/>
                <w:lang w:val="en-US"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第三条 </w:t>
            </w:r>
            <w:r>
              <w:rPr>
                <w:rFonts w:hint="eastAsia" w:ascii="宋体" w:hAnsi="宋体" w:eastAsia="宋体" w:cs="宋体"/>
                <w:i w:val="0"/>
                <w:iCs w:val="0"/>
                <w:caps w:val="0"/>
                <w:color w:val="333333"/>
                <w:spacing w:val="0"/>
                <w:sz w:val="24"/>
                <w:szCs w:val="24"/>
                <w:shd w:val="clear" w:fill="FFFFFF"/>
              </w:rPr>
              <w:t>增值税法第三条所称单位，包括企业、</w:t>
            </w:r>
            <w:r>
              <w:rPr>
                <w:rFonts w:hint="eastAsia" w:ascii="宋体" w:hAnsi="宋体" w:eastAsia="宋体" w:cs="宋体"/>
                <w:i w:val="0"/>
                <w:iCs w:val="0"/>
                <w:caps w:val="0"/>
                <w:color w:val="333333"/>
                <w:spacing w:val="0"/>
                <w:sz w:val="24"/>
                <w:szCs w:val="24"/>
                <w:highlight w:val="cyan"/>
                <w:shd w:val="clear" w:fill="FFFFFF"/>
              </w:rPr>
              <w:t>行政机关、事业单位、军事单位、社会组织及其他单位</w:t>
            </w:r>
            <w:r>
              <w:rPr>
                <w:rFonts w:hint="eastAsia" w:ascii="宋体" w:hAnsi="宋体" w:eastAsia="宋体" w:cs="宋体"/>
                <w:i w:val="0"/>
                <w:iCs w:val="0"/>
                <w:caps w:val="0"/>
                <w:color w:val="333333"/>
                <w:spacing w:val="0"/>
                <w:sz w:val="24"/>
                <w:szCs w:val="24"/>
                <w:shd w:val="clear" w:fill="FFFFFF"/>
              </w:rPr>
              <w:t>。</w:t>
            </w:r>
          </w:p>
          <w:p w14:paraId="3E4DAB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增值税法第三条所称个人，包括个体工商户和</w:t>
            </w:r>
            <w:r>
              <w:rPr>
                <w:rFonts w:hint="eastAsia" w:ascii="宋体" w:hAnsi="宋体" w:eastAsia="宋体" w:cs="宋体"/>
                <w:i w:val="0"/>
                <w:iCs w:val="0"/>
                <w:caps w:val="0"/>
                <w:color w:val="333333"/>
                <w:spacing w:val="0"/>
                <w:sz w:val="24"/>
                <w:szCs w:val="24"/>
                <w:highlight w:val="cyan"/>
                <w:shd w:val="clear" w:fill="FFFFFF"/>
              </w:rPr>
              <w:t>自然人</w:t>
            </w:r>
            <w:r>
              <w:rPr>
                <w:rFonts w:hint="eastAsia" w:ascii="宋体" w:hAnsi="宋体" w:eastAsia="宋体" w:cs="宋体"/>
                <w:i w:val="0"/>
                <w:iCs w:val="0"/>
                <w:caps w:val="0"/>
                <w:color w:val="333333"/>
                <w:spacing w:val="0"/>
                <w:sz w:val="24"/>
                <w:szCs w:val="24"/>
                <w:shd w:val="clear" w:fill="FFFFFF"/>
              </w:rPr>
              <w:t>。</w:t>
            </w:r>
          </w:p>
          <w:p w14:paraId="26C6CF4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p w14:paraId="46B06DA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"https://www.ssfb86.com/index/News/detail/newsid/17804.html" </w:instrText>
            </w:r>
            <w:r>
              <w:rPr>
                <w:rFonts w:hint="eastAsia" w:ascii="楷体" w:hAnsi="楷体" w:eastAsia="楷体" w:cs="楷体"/>
                <w:i w:val="0"/>
                <w:iCs w:val="0"/>
                <w:caps w:val="0"/>
                <w:color w:val="005C81"/>
                <w:spacing w:val="0"/>
                <w:sz w:val="19"/>
                <w:szCs w:val="19"/>
                <w:u w:val="none"/>
              </w:rPr>
              <w:fldChar w:fldCharType="separate"/>
            </w:r>
            <w:r>
              <w:rPr>
                <w:rStyle w:val="10"/>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lang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shd w:val="clear" w:color="auto" w:fill="auto"/>
                <w:lang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t>第三十</w:t>
            </w:r>
            <w:r>
              <w:rPr>
                <w:rFonts w:hint="eastAsia" w:asciiTheme="minorEastAsia" w:hAnsi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t>四</w:t>
            </w:r>
            <w:r>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t xml:space="preserve">条   </w:t>
            </w:r>
            <w:r>
              <w:rPr>
                <w:rFonts w:hint="eastAsia" w:ascii="宋体" w:hAnsi="宋体" w:eastAsia="宋体" w:cs="宋体"/>
                <w:i w:val="0"/>
                <w:iCs w:val="0"/>
                <w:caps w:val="0"/>
                <w:color w:val="333333"/>
                <w:spacing w:val="0"/>
                <w:sz w:val="24"/>
                <w:szCs w:val="24"/>
                <w:shd w:val="clear" w:fill="FFFFFF"/>
              </w:rPr>
              <w:t>单位以承包、承租、挂靠方式经营，承包人、承租人、挂靠人以发包人、出租人、被挂靠人名义对外经营并由发包人、出租人、被挂靠人承担相关法律责任的，发包人、出租人、被挂靠人为纳税人；其他情形下，承包人、承租人、挂靠人为纳税人。</w:t>
            </w:r>
          </w:p>
          <w:p w14:paraId="510E402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highlight w:val="cyan"/>
                <w:shd w:val="clear" w:fill="FFFFFF"/>
              </w:rPr>
              <w:t>资管产品运营过程中发生的应税交易，资管产品管理人为纳税人。</w:t>
            </w:r>
            <w:r>
              <w:rPr>
                <w:rFonts w:hint="eastAsia" w:ascii="宋体" w:hAnsi="宋体" w:eastAsia="宋体" w:cs="宋体"/>
                <w:b/>
                <w:bCs/>
                <w:i w:val="0"/>
                <w:iCs w:val="0"/>
                <w:caps w:val="0"/>
                <w:color w:val="333333"/>
                <w:spacing w:val="0"/>
                <w:sz w:val="24"/>
                <w:szCs w:val="24"/>
                <w:highlight w:val="yellow"/>
                <w:shd w:val="clear" w:fill="FFFFFF"/>
              </w:rPr>
              <w:t>法律另有规定的，从其规定</w:t>
            </w:r>
            <w:r>
              <w:rPr>
                <w:rFonts w:hint="eastAsia" w:ascii="宋体" w:hAnsi="宋体" w:eastAsia="宋体" w:cs="宋体"/>
                <w:i w:val="0"/>
                <w:iCs w:val="0"/>
                <w:caps w:val="0"/>
                <w:color w:val="333333"/>
                <w:spacing w:val="0"/>
                <w:sz w:val="24"/>
                <w:szCs w:val="24"/>
                <w:shd w:val="clear" w:fill="FFFFFF"/>
              </w:rPr>
              <w:t>。</w:t>
            </w:r>
          </w:p>
          <w:p w14:paraId="585C79E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shd w:val="clear" w:color="auto" w:fill="auto"/>
              </w:rPr>
              <w:t>【</w:t>
            </w:r>
            <w:r>
              <w:rPr>
                <w:rFonts w:hint="eastAsia" w:ascii="楷体" w:hAnsi="楷体" w:eastAsia="楷体" w:cs="楷体"/>
                <w:i w:val="0"/>
                <w:iCs w:val="0"/>
                <w:caps w:val="0"/>
                <w:color w:val="005C81"/>
                <w:spacing w:val="0"/>
                <w:sz w:val="19"/>
                <w:szCs w:val="19"/>
                <w:u w:val="none"/>
                <w:shd w:val="clear" w:color="auto" w:fill="auto"/>
              </w:rPr>
              <w:fldChar w:fldCharType="begin"/>
            </w:r>
            <w:r>
              <w:rPr>
                <w:rFonts w:hint="eastAsia" w:ascii="楷体" w:hAnsi="楷体" w:eastAsia="楷体" w:cs="楷体"/>
                <w:i w:val="0"/>
                <w:iCs w:val="0"/>
                <w:caps w:val="0"/>
                <w:color w:val="005C81"/>
                <w:spacing w:val="0"/>
                <w:sz w:val="19"/>
                <w:szCs w:val="19"/>
                <w:u w:val="none"/>
                <w:shd w:val="clear" w:color="auto" w:fill="auto"/>
              </w:rPr>
              <w:instrText xml:space="preserve"> HYPERLINK "https://www.ssfb86.com/index/News/detail/newsid/17805.html" </w:instrText>
            </w:r>
            <w:r>
              <w:rPr>
                <w:rFonts w:hint="eastAsia" w:ascii="楷体" w:hAnsi="楷体" w:eastAsia="楷体" w:cs="楷体"/>
                <w:i w:val="0"/>
                <w:iCs w:val="0"/>
                <w:caps w:val="0"/>
                <w:color w:val="005C81"/>
                <w:spacing w:val="0"/>
                <w:sz w:val="19"/>
                <w:szCs w:val="19"/>
                <w:u w:val="none"/>
                <w:shd w:val="clear" w:color="auto" w:fill="auto"/>
              </w:rPr>
              <w:fldChar w:fldCharType="separate"/>
            </w:r>
            <w:r>
              <w:rPr>
                <w:rStyle w:val="9"/>
                <w:rFonts w:hint="eastAsia" w:ascii="楷体" w:hAnsi="楷体" w:eastAsia="楷体" w:cs="楷体"/>
                <w:i w:val="0"/>
                <w:iCs w:val="0"/>
                <w:caps w:val="0"/>
                <w:spacing w:val="0"/>
                <w:sz w:val="19"/>
                <w:szCs w:val="19"/>
                <w:shd w:val="clear" w:color="auto" w:fill="auto"/>
              </w:rPr>
              <w:t>本条相关法规汇编</w:t>
            </w:r>
            <w:r>
              <w:rPr>
                <w:rFonts w:hint="eastAsia" w:ascii="楷体" w:hAnsi="楷体" w:eastAsia="楷体" w:cs="楷体"/>
                <w:i w:val="0"/>
                <w:iCs w:val="0"/>
                <w:caps w:val="0"/>
                <w:color w:val="005C81"/>
                <w:spacing w:val="0"/>
                <w:sz w:val="19"/>
                <w:szCs w:val="19"/>
                <w:u w:val="none"/>
                <w:shd w:val="clear" w:color="auto" w:fill="auto"/>
              </w:rPr>
              <w:fldChar w:fldCharType="end"/>
            </w:r>
            <w:r>
              <w:rPr>
                <w:rFonts w:hint="eastAsia" w:ascii="楷体" w:hAnsi="楷体" w:eastAsia="楷体" w:cs="楷体"/>
                <w:i w:val="0"/>
                <w:iCs w:val="0"/>
                <w:caps w:val="0"/>
                <w:color w:val="0070C0"/>
                <w:spacing w:val="0"/>
                <w:sz w:val="19"/>
                <w:szCs w:val="19"/>
                <w:shd w:val="clear" w:color="auto" w:fill="auto"/>
              </w:rPr>
              <w:t>】</w:t>
            </w:r>
          </w:p>
        </w:tc>
      </w:tr>
      <w:tr w14:paraId="784F6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3790" w:type="dxa"/>
            <w:shd w:val="clear" w:color="auto" w:fill="auto"/>
            <w:vAlign w:val="center"/>
          </w:tcPr>
          <w:p w14:paraId="1A72806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第四条 在境内发生应税交易，是指下列情形：</w:t>
            </w:r>
          </w:p>
        </w:tc>
        <w:tc>
          <w:tcPr>
            <w:tcW w:w="5775" w:type="dxa"/>
            <w:vMerge w:val="restart"/>
            <w:shd w:val="clear" w:color="auto" w:fill="auto"/>
            <w:vAlign w:val="top"/>
          </w:tcPr>
          <w:p w14:paraId="44870D3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19B6C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3790" w:type="dxa"/>
            <w:shd w:val="clear" w:color="auto" w:fill="auto"/>
            <w:vAlign w:val="center"/>
          </w:tcPr>
          <w:p w14:paraId="2EB7D35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（一）销售货物的，货物的起运地或者所在地在境内；</w:t>
            </w:r>
          </w:p>
        </w:tc>
        <w:tc>
          <w:tcPr>
            <w:tcW w:w="5775" w:type="dxa"/>
            <w:vMerge w:val="continue"/>
            <w:shd w:val="clear" w:color="auto" w:fill="auto"/>
            <w:vAlign w:val="top"/>
          </w:tcPr>
          <w:p w14:paraId="01B7322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47F59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8" w:hRule="atLeast"/>
        </w:trPr>
        <w:tc>
          <w:tcPr>
            <w:tcW w:w="3790" w:type="dxa"/>
            <w:shd w:val="clear" w:color="auto" w:fill="auto"/>
            <w:vAlign w:val="center"/>
          </w:tcPr>
          <w:p w14:paraId="5C1B336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（二）销售或者租赁不动产、转让自然资源使用权的，不动产、自然资源所在地在境内；</w:t>
            </w:r>
          </w:p>
        </w:tc>
        <w:tc>
          <w:tcPr>
            <w:tcW w:w="5775" w:type="dxa"/>
            <w:vMerge w:val="continue"/>
            <w:shd w:val="clear" w:color="auto" w:fill="auto"/>
            <w:vAlign w:val="top"/>
          </w:tcPr>
          <w:p w14:paraId="0EDBF73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37872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35" w:hRule="atLeast"/>
        </w:trPr>
        <w:tc>
          <w:tcPr>
            <w:tcW w:w="3790" w:type="dxa"/>
            <w:shd w:val="clear" w:color="auto" w:fill="auto"/>
            <w:vAlign w:val="center"/>
          </w:tcPr>
          <w:p w14:paraId="6B1DF9F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（三）销售金融商品的，金融商品</w:t>
            </w:r>
            <w:r>
              <w:rPr>
                <w:rFonts w:hint="eastAsia" w:asciiTheme="minorEastAsia" w:hAnsiTheme="minorEastAsia" w:eastAsiaTheme="minorEastAsia" w:cstheme="minorEastAsia"/>
                <w:b w:val="0"/>
                <w:bCs w:val="0"/>
                <w:color w:val="000000" w:themeColor="text1"/>
                <w:kern w:val="0"/>
                <w:sz w:val="24"/>
                <w:szCs w:val="24"/>
                <w:highlight w:val="cyan"/>
                <w:lang w:val="en-US" w:eastAsia="zh-CN" w:bidi="ar"/>
                <w14:textFill>
                  <w14:solidFill>
                    <w14:schemeClr w14:val="tx1"/>
                  </w14:solidFill>
                </w14:textFill>
              </w:rPr>
              <w:t>在境内发行，或者销售方为境内单位和个人</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w:t>
            </w:r>
          </w:p>
        </w:tc>
        <w:tc>
          <w:tcPr>
            <w:tcW w:w="5775" w:type="dxa"/>
            <w:vMerge w:val="continue"/>
            <w:shd w:val="clear" w:color="auto" w:fill="auto"/>
            <w:vAlign w:val="top"/>
          </w:tcPr>
          <w:p w14:paraId="231FBEA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58F29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25" w:hRule="atLeast"/>
        </w:trPr>
        <w:tc>
          <w:tcPr>
            <w:tcW w:w="3790" w:type="dxa"/>
            <w:shd w:val="clear" w:color="auto" w:fill="auto"/>
            <w:vAlign w:val="top"/>
          </w:tcPr>
          <w:p w14:paraId="666839B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（四）除本条第二项、第三项规定外，销售服务、无形资产的，服务、无形资产</w:t>
            </w:r>
            <w:r>
              <w:rPr>
                <w:rFonts w:hint="eastAsia" w:asciiTheme="minorEastAsia" w:hAnsiTheme="minorEastAsia" w:eastAsiaTheme="minorEastAsia" w:cstheme="minorEastAsia"/>
                <w:b w:val="0"/>
                <w:bCs w:val="0"/>
                <w:color w:val="000000" w:themeColor="text1"/>
                <w:kern w:val="0"/>
                <w:sz w:val="24"/>
                <w:szCs w:val="24"/>
                <w:highlight w:val="cyan"/>
                <w:lang w:val="en-US" w:eastAsia="zh-CN" w:bidi="ar"/>
                <w14:textFill>
                  <w14:solidFill>
                    <w14:schemeClr w14:val="tx1"/>
                  </w14:solidFill>
                </w14:textFill>
              </w:rPr>
              <w:t>在境内消费，或者销售方为境内单位和个人</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w:t>
            </w:r>
          </w:p>
          <w:p w14:paraId="60BAAD0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"https://ssfb86.com/index/News/detail/newsid/17799.html"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本条法规汇编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03E905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第四条  </w:t>
            </w:r>
            <w:r>
              <w:rPr>
                <w:rFonts w:hint="eastAsia" w:ascii="宋体" w:hAnsi="宋体" w:eastAsia="宋体" w:cs="宋体"/>
                <w:i w:val="0"/>
                <w:iCs w:val="0"/>
                <w:caps w:val="0"/>
                <w:color w:val="333333"/>
                <w:spacing w:val="0"/>
                <w:sz w:val="24"/>
                <w:szCs w:val="24"/>
                <w:shd w:val="clear" w:fill="FFFFFF"/>
              </w:rPr>
              <w:t>增值税法第四条第四项所称服务、无形资产在境内消费，是指下列情形：</w:t>
            </w:r>
          </w:p>
          <w:p w14:paraId="3D0E47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（一）境外单位或者个人向境内单位或者个人销售服务、无形资产，在境外现场消费的服务除外；</w:t>
            </w:r>
          </w:p>
          <w:p w14:paraId="7C8D8A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w:t>
            </w:r>
            <w:r>
              <w:rPr>
                <w:rFonts w:hint="eastAsia" w:ascii="宋体" w:hAnsi="宋体" w:eastAsia="宋体" w:cs="宋体"/>
                <w:i w:val="0"/>
                <w:iCs w:val="0"/>
                <w:caps w:val="0"/>
                <w:color w:val="333333"/>
                <w:spacing w:val="0"/>
                <w:sz w:val="24"/>
                <w:szCs w:val="24"/>
                <w:highlight w:val="cyan"/>
                <w:shd w:val="clear" w:fill="FFFFFF"/>
              </w:rPr>
              <w:t>境外单位或者个人销售的服务、无形资产与境内的货物、不动产、自然资源直接相关</w:t>
            </w:r>
            <w:r>
              <w:rPr>
                <w:rFonts w:hint="eastAsia" w:ascii="宋体" w:hAnsi="宋体" w:eastAsia="宋体" w:cs="宋体"/>
                <w:i w:val="0"/>
                <w:iCs w:val="0"/>
                <w:caps w:val="0"/>
                <w:color w:val="333333"/>
                <w:spacing w:val="0"/>
                <w:sz w:val="24"/>
                <w:szCs w:val="24"/>
                <w:shd w:val="clear" w:fill="FFFFFF"/>
              </w:rPr>
              <w:t>；</w:t>
            </w:r>
          </w:p>
          <w:p w14:paraId="292071D9">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rPr>
              <w:t>（三）国务院财政、税务主管部门规定的其他情形。</w:t>
            </w:r>
          </w:p>
          <w:p w14:paraId="7262A226">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p w14:paraId="3B037237">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"https://www.ssfb86.com/index/News/detail/newsid/17799.html" </w:instrText>
            </w:r>
            <w:r>
              <w:rPr>
                <w:rFonts w:hint="eastAsia" w:ascii="楷体" w:hAnsi="楷体" w:eastAsia="楷体" w:cs="楷体"/>
                <w:i w:val="0"/>
                <w:iCs w:val="0"/>
                <w:caps w:val="0"/>
                <w:color w:val="005C81"/>
                <w:spacing w:val="0"/>
                <w:sz w:val="19"/>
                <w:szCs w:val="19"/>
                <w:u w:val="none"/>
              </w:rPr>
              <w:fldChar w:fldCharType="separate"/>
            </w:r>
            <w:r>
              <w:rPr>
                <w:rStyle w:val="10"/>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28C5E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35" w:hRule="atLeast"/>
        </w:trPr>
        <w:tc>
          <w:tcPr>
            <w:tcW w:w="3790" w:type="dxa"/>
            <w:shd w:val="clear" w:color="auto" w:fill="auto"/>
            <w:vAlign w:val="center"/>
          </w:tcPr>
          <w:p w14:paraId="20BB4C4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第五条 有下列情形之一的，视同应税交易，应当依照本法规定缴纳增值税：</w:t>
            </w:r>
          </w:p>
        </w:tc>
        <w:tc>
          <w:tcPr>
            <w:tcW w:w="5775" w:type="dxa"/>
            <w:vMerge w:val="restart"/>
            <w:shd w:val="clear" w:color="auto" w:fill="auto"/>
            <w:vAlign w:val="top"/>
          </w:tcPr>
          <w:p w14:paraId="1B59DEB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5AEEC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3790" w:type="dxa"/>
            <w:shd w:val="clear" w:color="auto" w:fill="auto"/>
            <w:vAlign w:val="center"/>
          </w:tcPr>
          <w:p w14:paraId="4AFC873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（一）单位和个体工商户将自产或者委托加工的货物用于集体福利或者个人消费；</w:t>
            </w:r>
          </w:p>
        </w:tc>
        <w:tc>
          <w:tcPr>
            <w:tcW w:w="5775" w:type="dxa"/>
            <w:vMerge w:val="continue"/>
            <w:shd w:val="clear" w:color="auto" w:fill="auto"/>
            <w:vAlign w:val="center"/>
          </w:tcPr>
          <w:p w14:paraId="3D2473B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5E2B9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3790" w:type="dxa"/>
            <w:shd w:val="clear" w:color="auto" w:fill="auto"/>
            <w:vAlign w:val="center"/>
          </w:tcPr>
          <w:p w14:paraId="64139589">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（二）单位和个体工商户无偿转让货物；</w:t>
            </w:r>
          </w:p>
        </w:tc>
        <w:tc>
          <w:tcPr>
            <w:tcW w:w="5775" w:type="dxa"/>
            <w:vMerge w:val="continue"/>
            <w:shd w:val="clear" w:color="auto" w:fill="auto"/>
            <w:vAlign w:val="center"/>
          </w:tcPr>
          <w:p w14:paraId="4A40A01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62482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8" w:hRule="atLeast"/>
        </w:trPr>
        <w:tc>
          <w:tcPr>
            <w:tcW w:w="3790" w:type="dxa"/>
            <w:shd w:val="clear" w:color="auto" w:fill="auto"/>
            <w:vAlign w:val="center"/>
          </w:tcPr>
          <w:p w14:paraId="1724A29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（三）单位和</w:t>
            </w:r>
            <w:r>
              <w:rPr>
                <w:rFonts w:hint="eastAsia" w:asciiTheme="minorEastAsia" w:hAnsiTheme="minorEastAsia" w:eastAsiaTheme="minorEastAsia" w:cstheme="minorEastAsia"/>
                <w:b w:val="0"/>
                <w:bCs w:val="0"/>
                <w:color w:val="000000" w:themeColor="text1"/>
                <w:kern w:val="0"/>
                <w:sz w:val="24"/>
                <w:szCs w:val="24"/>
                <w:highlight w:val="cyan"/>
                <w:lang w:val="en-US" w:eastAsia="zh-CN" w:bidi="ar"/>
                <w14:textFill>
                  <w14:solidFill>
                    <w14:schemeClr w14:val="tx1"/>
                  </w14:solidFill>
                </w14:textFill>
              </w:rPr>
              <w:t>个人无偿转让无形资产、不动产或者金融商品</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w:t>
            </w:r>
          </w:p>
          <w:p w14:paraId="56F086B7">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"https://www.ssfb86.com/index/News/detail/newsid/17800.html"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continue"/>
            <w:shd w:val="clear" w:color="auto" w:fill="auto"/>
            <w:vAlign w:val="center"/>
          </w:tcPr>
          <w:p w14:paraId="34BA7C29">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5BE2B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4" w:hRule="atLeast"/>
        </w:trPr>
        <w:tc>
          <w:tcPr>
            <w:tcW w:w="3790" w:type="dxa"/>
            <w:shd w:val="clear" w:color="auto" w:fill="auto"/>
            <w:vAlign w:val="center"/>
          </w:tcPr>
          <w:p w14:paraId="5FAD5D93">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第六条 有下列情形之一的，不属于应税交易，不征收增值税：</w:t>
            </w:r>
          </w:p>
        </w:tc>
        <w:tc>
          <w:tcPr>
            <w:tcW w:w="5775" w:type="dxa"/>
            <w:vMerge w:val="restart"/>
            <w:shd w:val="clear" w:color="auto" w:fill="auto"/>
            <w:vAlign w:val="top"/>
          </w:tcPr>
          <w:p w14:paraId="1BCBDAF5">
            <w:pPr>
              <w:keepNext w:val="0"/>
              <w:keepLines w:val="0"/>
              <w:pageBreakBefore w:val="0"/>
              <w:widowControl/>
              <w:suppressLineNumbers w:val="0"/>
              <w:kinsoku/>
              <w:wordWrap/>
              <w:overflowPunct/>
              <w:topLinePunct w:val="0"/>
              <w:autoSpaceDE/>
              <w:autoSpaceDN/>
              <w:bidi w:val="0"/>
              <w:adjustRightInd w:val="0"/>
              <w:snapToGrid w:val="0"/>
              <w:spacing w:afterAutospacing="0"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tc>
      </w:tr>
      <w:tr w14:paraId="4821B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9" w:hRule="atLeast"/>
        </w:trPr>
        <w:tc>
          <w:tcPr>
            <w:tcW w:w="3790" w:type="dxa"/>
            <w:shd w:val="clear" w:color="auto" w:fill="auto"/>
            <w:vAlign w:val="center"/>
          </w:tcPr>
          <w:p w14:paraId="08AF88D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（一）员工为受雇单位或者雇主提供取得工资、薪金的服务；</w:t>
            </w:r>
          </w:p>
        </w:tc>
        <w:tc>
          <w:tcPr>
            <w:tcW w:w="5775" w:type="dxa"/>
            <w:vMerge w:val="continue"/>
            <w:shd w:val="clear" w:color="auto" w:fill="auto"/>
            <w:vAlign w:val="center"/>
          </w:tcPr>
          <w:p w14:paraId="34F3E067">
            <w:pPr>
              <w:keepNext w:val="0"/>
              <w:keepLines w:val="0"/>
              <w:pageBreakBefore w:val="0"/>
              <w:kinsoku/>
              <w:wordWrap/>
              <w:overflowPunct/>
              <w:topLinePunct w:val="0"/>
              <w:autoSpaceDE/>
              <w:autoSpaceDN/>
              <w:bidi w:val="0"/>
              <w:adjustRightInd w:val="0"/>
              <w:snapToGrid w:val="0"/>
              <w:spacing w:after="0" w:line="36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46ADE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 w:hRule="atLeast"/>
        </w:trPr>
        <w:tc>
          <w:tcPr>
            <w:tcW w:w="3790" w:type="dxa"/>
            <w:shd w:val="clear" w:color="auto" w:fill="auto"/>
            <w:vAlign w:val="center"/>
          </w:tcPr>
          <w:p w14:paraId="0ADF6B8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（二）收取行政事业性收费、政府性基金；</w:t>
            </w:r>
          </w:p>
        </w:tc>
        <w:tc>
          <w:tcPr>
            <w:tcW w:w="5775" w:type="dxa"/>
            <w:vMerge w:val="continue"/>
            <w:shd w:val="clear" w:color="auto" w:fill="auto"/>
            <w:vAlign w:val="center"/>
          </w:tcPr>
          <w:p w14:paraId="7FAE3539">
            <w:pPr>
              <w:keepNext w:val="0"/>
              <w:keepLines w:val="0"/>
              <w:pageBreakBefore w:val="0"/>
              <w:kinsoku/>
              <w:wordWrap/>
              <w:overflowPunct/>
              <w:topLinePunct w:val="0"/>
              <w:autoSpaceDE/>
              <w:autoSpaceDN/>
              <w:bidi w:val="0"/>
              <w:adjustRightInd w:val="0"/>
              <w:snapToGrid w:val="0"/>
              <w:spacing w:after="0" w:line="36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060B3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3790" w:type="dxa"/>
            <w:shd w:val="clear" w:color="auto" w:fill="auto"/>
            <w:vAlign w:val="center"/>
          </w:tcPr>
          <w:p w14:paraId="2CFB3D1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（三）依照法律规定被征收、征用而取得补偿；</w:t>
            </w:r>
          </w:p>
        </w:tc>
        <w:tc>
          <w:tcPr>
            <w:tcW w:w="5775" w:type="dxa"/>
            <w:vMerge w:val="continue"/>
            <w:shd w:val="clear" w:color="auto" w:fill="auto"/>
            <w:vAlign w:val="center"/>
          </w:tcPr>
          <w:p w14:paraId="43BD5687">
            <w:pPr>
              <w:keepNext w:val="0"/>
              <w:keepLines w:val="0"/>
              <w:pageBreakBefore w:val="0"/>
              <w:kinsoku/>
              <w:wordWrap/>
              <w:overflowPunct/>
              <w:topLinePunct w:val="0"/>
              <w:autoSpaceDE/>
              <w:autoSpaceDN/>
              <w:bidi w:val="0"/>
              <w:adjustRightInd w:val="0"/>
              <w:snapToGrid w:val="0"/>
              <w:spacing w:after="0" w:line="36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2244A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3790" w:type="dxa"/>
            <w:shd w:val="clear" w:color="auto" w:fill="auto"/>
            <w:vAlign w:val="center"/>
          </w:tcPr>
          <w:p w14:paraId="733FD3B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（四）取得存款利息收入。</w:t>
            </w:r>
          </w:p>
          <w:p w14:paraId="61CC15C0">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4788D7"/>
                <w:spacing w:val="0"/>
                <w:sz w:val="19"/>
                <w:szCs w:val="19"/>
                <w:u w:val="single"/>
              </w:rPr>
              <w:fldChar w:fldCharType="begin"/>
            </w:r>
            <w:r>
              <w:rPr>
                <w:rFonts w:hint="eastAsia" w:ascii="宋体" w:hAnsi="宋体" w:eastAsia="宋体" w:cs="宋体"/>
                <w:i w:val="0"/>
                <w:iCs w:val="0"/>
                <w:caps w:val="0"/>
                <w:color w:val="4788D7"/>
                <w:spacing w:val="0"/>
                <w:sz w:val="19"/>
                <w:szCs w:val="19"/>
                <w:u w:val="single"/>
              </w:rPr>
              <w:instrText xml:space="preserve"> HYPERLINK "https://www.ssfb86.com/index/News/detail/newsid/17802.html" </w:instrText>
            </w:r>
            <w:r>
              <w:rPr>
                <w:rFonts w:hint="eastAsia" w:ascii="宋体" w:hAnsi="宋体" w:eastAsia="宋体" w:cs="宋体"/>
                <w:i w:val="0"/>
                <w:iCs w:val="0"/>
                <w:caps w:val="0"/>
                <w:color w:val="4788D7"/>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4788D7"/>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continue"/>
            <w:shd w:val="clear" w:color="auto" w:fill="auto"/>
            <w:vAlign w:val="center"/>
          </w:tcPr>
          <w:p w14:paraId="1B8B29F6">
            <w:pPr>
              <w:keepNext w:val="0"/>
              <w:keepLines w:val="0"/>
              <w:pageBreakBefore w:val="0"/>
              <w:kinsoku/>
              <w:wordWrap/>
              <w:overflowPunct/>
              <w:topLinePunct w:val="0"/>
              <w:autoSpaceDE/>
              <w:autoSpaceDN/>
              <w:bidi w:val="0"/>
              <w:adjustRightInd w:val="0"/>
              <w:snapToGrid w:val="0"/>
              <w:spacing w:after="0" w:line="36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58F83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75" w:hRule="atLeast"/>
        </w:trPr>
        <w:tc>
          <w:tcPr>
            <w:tcW w:w="3790" w:type="dxa"/>
            <w:shd w:val="clear" w:color="auto" w:fill="auto"/>
            <w:vAlign w:val="center"/>
          </w:tcPr>
          <w:p w14:paraId="1DBD6CF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第七条 增值税为价外税，应税交易的销售额不包括增值税税额。增值税税额，应当按照国务院的规定在交易凭证上单独列明。</w:t>
            </w:r>
          </w:p>
          <w:p w14:paraId="3289D5E2">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"https://ssfb86.com/index/News/detail/newsid/17796.html" </w:instrText>
            </w:r>
            <w:r>
              <w:rPr>
                <w:rFonts w:hint="eastAsia" w:ascii="宋体" w:hAnsi="宋体" w:eastAsia="宋体" w:cs="宋体"/>
                <w:i w:val="0"/>
                <w:iCs w:val="0"/>
                <w:caps w:val="0"/>
                <w:color w:val="6E6E6E"/>
                <w:spacing w:val="0"/>
                <w:sz w:val="19"/>
                <w:szCs w:val="19"/>
                <w:u w:val="single"/>
              </w:rPr>
              <w:fldChar w:fldCharType="separate"/>
            </w:r>
            <w:r>
              <w:rPr>
                <w:rStyle w:val="9"/>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557A20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第五条   </w:t>
            </w:r>
            <w:r>
              <w:rPr>
                <w:rFonts w:hint="eastAsia" w:ascii="宋体" w:hAnsi="宋体" w:eastAsia="宋体" w:cs="宋体"/>
                <w:i w:val="0"/>
                <w:iCs w:val="0"/>
                <w:caps w:val="0"/>
                <w:color w:val="333333"/>
                <w:spacing w:val="0"/>
                <w:sz w:val="24"/>
                <w:szCs w:val="24"/>
                <w:shd w:val="clear" w:fill="FFFFFF"/>
              </w:rPr>
              <w:t>纳税人开具增值税专用发票，应当分别列明销售额和增值税税额。</w:t>
            </w:r>
          </w:p>
          <w:p w14:paraId="45080D92">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"https://ssfb86.com/index/News/detail/newsid/17796.html" </w:instrText>
            </w:r>
            <w:r>
              <w:rPr>
                <w:rFonts w:hint="eastAsia" w:ascii="宋体" w:hAnsi="宋体" w:eastAsia="宋体" w:cs="宋体"/>
                <w:i w:val="0"/>
                <w:iCs w:val="0"/>
                <w:caps w:val="0"/>
                <w:color w:val="6E6E6E"/>
                <w:spacing w:val="0"/>
                <w:sz w:val="19"/>
                <w:szCs w:val="19"/>
                <w:u w:val="single"/>
              </w:rPr>
              <w:fldChar w:fldCharType="separate"/>
            </w:r>
            <w:r>
              <w:rPr>
                <w:rStyle w:val="9"/>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r>
      <w:tr w14:paraId="28B9C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790" w:type="dxa"/>
            <w:shd w:val="clear" w:color="auto" w:fill="auto"/>
            <w:vAlign w:val="center"/>
          </w:tcPr>
          <w:p w14:paraId="5F0C64F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第八条 纳税人发生应税交易，应当按照一般计税方法，通过销项税额抵扣进项税额计算应纳税额的方式，计算缴纳增值税；本法另有规定的除外。</w:t>
            </w:r>
          </w:p>
        </w:tc>
        <w:tc>
          <w:tcPr>
            <w:tcW w:w="5775" w:type="dxa"/>
            <w:vMerge w:val="restart"/>
            <w:shd w:val="clear" w:color="auto" w:fill="auto"/>
            <w:vAlign w:val="top"/>
          </w:tcPr>
          <w:p w14:paraId="2CFC6BF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第六条   </w:t>
            </w:r>
            <w:r>
              <w:rPr>
                <w:rFonts w:hint="eastAsia" w:ascii="宋体" w:hAnsi="宋体" w:eastAsia="宋体" w:cs="宋体"/>
                <w:i w:val="0"/>
                <w:iCs w:val="0"/>
                <w:caps w:val="0"/>
                <w:color w:val="333333"/>
                <w:spacing w:val="0"/>
                <w:sz w:val="24"/>
                <w:szCs w:val="24"/>
                <w:shd w:val="clear" w:fill="FFFFFF"/>
              </w:rPr>
              <w:t>适用一般计税方法的纳税人为一般纳税人。</w:t>
            </w:r>
          </w:p>
          <w:p w14:paraId="062717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rPr>
              <w:t>一般纳税人实行登记制度，具体登记办法由国务院税务主管部门制定。</w:t>
            </w:r>
          </w:p>
          <w:p w14:paraId="0792819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"https://www.ssfb86.com/index/News/detail/newsid/17806.html" </w:instrText>
            </w:r>
            <w:r>
              <w:rPr>
                <w:rFonts w:hint="eastAsia" w:ascii="楷体" w:hAnsi="楷体" w:eastAsia="楷体" w:cs="楷体"/>
                <w:i w:val="0"/>
                <w:iCs w:val="0"/>
                <w:caps w:val="0"/>
                <w:color w:val="005C81"/>
                <w:spacing w:val="0"/>
                <w:sz w:val="19"/>
                <w:szCs w:val="19"/>
                <w:u w:val="none"/>
              </w:rPr>
              <w:fldChar w:fldCharType="separate"/>
            </w:r>
            <w:r>
              <w:rPr>
                <w:rStyle w:val="10"/>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5DC84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1" w:hRule="atLeast"/>
        </w:trPr>
        <w:tc>
          <w:tcPr>
            <w:tcW w:w="3790" w:type="dxa"/>
            <w:shd w:val="clear" w:color="auto" w:fill="auto"/>
            <w:vAlign w:val="center"/>
          </w:tcPr>
          <w:p w14:paraId="4E41BBC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小规模纳税人可以按照销售额和征收率计算应纳税额的简易计税方法，计算缴纳增值税。</w:t>
            </w:r>
          </w:p>
          <w:p w14:paraId="3C79C06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"https://www.ssfb86.com/index/News/detail/newsid/17809.html"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continue"/>
            <w:shd w:val="clear" w:color="auto" w:fill="auto"/>
            <w:vAlign w:val="center"/>
          </w:tcPr>
          <w:p w14:paraId="5BD66BA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301DB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6" w:hRule="atLeast"/>
        </w:trPr>
        <w:tc>
          <w:tcPr>
            <w:tcW w:w="3790" w:type="dxa"/>
            <w:shd w:val="clear" w:color="auto" w:fill="auto"/>
            <w:vAlign w:val="center"/>
          </w:tcPr>
          <w:p w14:paraId="5D2FE372">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中外合作开采海洋石油、天然气增值税的计税方法等，按照国务院的有关规定执行。</w:t>
            </w:r>
          </w:p>
        </w:tc>
        <w:tc>
          <w:tcPr>
            <w:tcW w:w="5775" w:type="dxa"/>
            <w:vMerge w:val="continue"/>
            <w:shd w:val="clear" w:color="auto" w:fill="auto"/>
            <w:vAlign w:val="center"/>
          </w:tcPr>
          <w:p w14:paraId="758B0EE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5CD2C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84" w:hRule="atLeast"/>
        </w:trPr>
        <w:tc>
          <w:tcPr>
            <w:tcW w:w="3790" w:type="dxa"/>
            <w:shd w:val="clear" w:color="auto" w:fill="auto"/>
            <w:vAlign w:val="top"/>
          </w:tcPr>
          <w:p w14:paraId="1DD99A4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第九条 本法所称小规模纳税人，是指年应征增值税销售额未超过五百万元的纳税人。</w:t>
            </w:r>
          </w:p>
          <w:p w14:paraId="15043FA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小规模纳税人会计核算健全，能够提供准确税务资料的，可以向主管税务机关办理登记，按照本法规定的一般计税方法计算缴纳增值税。</w:t>
            </w:r>
          </w:p>
          <w:p w14:paraId="10D576C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根据国民经济和社会发展的需要，国务院可以对小规模纳税人的标准作出调整，报全国人民代表大会常务委员会备案。</w:t>
            </w:r>
          </w:p>
          <w:p w14:paraId="2E54C0D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4788D7"/>
                <w:spacing w:val="0"/>
                <w:sz w:val="19"/>
                <w:szCs w:val="19"/>
                <w:u w:val="single"/>
              </w:rPr>
              <w:fldChar w:fldCharType="begin"/>
            </w:r>
            <w:r>
              <w:rPr>
                <w:rFonts w:hint="eastAsia" w:ascii="宋体" w:hAnsi="宋体" w:eastAsia="宋体" w:cs="宋体"/>
                <w:i w:val="0"/>
                <w:iCs w:val="0"/>
                <w:caps w:val="0"/>
                <w:color w:val="4788D7"/>
                <w:spacing w:val="0"/>
                <w:sz w:val="19"/>
                <w:szCs w:val="19"/>
                <w:u w:val="single"/>
              </w:rPr>
              <w:instrText xml:space="preserve"> HYPERLINK "https://www.ssfb86.com/index/News/detail/newsid/17807.html" </w:instrText>
            </w:r>
            <w:r>
              <w:rPr>
                <w:rFonts w:hint="eastAsia" w:ascii="宋体" w:hAnsi="宋体" w:eastAsia="宋体" w:cs="宋体"/>
                <w:i w:val="0"/>
                <w:iCs w:val="0"/>
                <w:caps w:val="0"/>
                <w:color w:val="4788D7"/>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4788D7"/>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57F2D3B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eastAsia="宋体" w:asciiTheme="minorEastAsia" w:hAnsi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第七条   </w:t>
            </w:r>
            <w:r>
              <w:rPr>
                <w:rFonts w:hint="eastAsia" w:ascii="宋体" w:hAnsi="宋体" w:eastAsia="宋体" w:cs="宋体"/>
                <w:i w:val="0"/>
                <w:iCs w:val="0"/>
                <w:caps w:val="0"/>
                <w:color w:val="333333"/>
                <w:spacing w:val="0"/>
                <w:sz w:val="24"/>
                <w:szCs w:val="24"/>
                <w:shd w:val="clear" w:fill="FFFFFF"/>
              </w:rPr>
              <w:t>自然人属于小规模纳税人。不经常发生应税交易且主要业务不属于应税交易范围的非企业单位，可以选择</w:t>
            </w:r>
            <w:r>
              <w:rPr>
                <w:rFonts w:hint="eastAsia" w:ascii="宋体" w:hAnsi="宋体" w:eastAsia="宋体" w:cs="宋体"/>
                <w:b/>
                <w:bCs/>
                <w:i w:val="0"/>
                <w:iCs w:val="0"/>
                <w:caps w:val="0"/>
                <w:color w:val="333333"/>
                <w:spacing w:val="0"/>
                <w:sz w:val="24"/>
                <w:szCs w:val="24"/>
                <w:shd w:val="clear" w:fill="FFFFFF"/>
              </w:rPr>
              <w:t>按照</w:t>
            </w:r>
            <w:r>
              <w:rPr>
                <w:rFonts w:hint="eastAsia" w:ascii="宋体" w:hAnsi="宋体" w:eastAsia="宋体" w:cs="宋体"/>
                <w:i w:val="0"/>
                <w:iCs w:val="0"/>
                <w:caps w:val="0"/>
                <w:color w:val="333333"/>
                <w:spacing w:val="0"/>
                <w:sz w:val="24"/>
                <w:szCs w:val="24"/>
                <w:shd w:val="clear" w:fill="FFFFFF"/>
              </w:rPr>
              <w:t>小规模纳税人纳税。</w:t>
            </w:r>
            <w:r>
              <w:rPr>
                <w:rFonts w:hint="eastAsia" w:ascii="宋体" w:hAnsi="宋体" w:eastAsia="宋体" w:cs="宋体"/>
                <w:b/>
                <w:bCs/>
                <w:i w:val="0"/>
                <w:iCs w:val="0"/>
                <w:caps w:val="0"/>
                <w:color w:val="333333"/>
                <w:spacing w:val="0"/>
                <w:sz w:val="24"/>
                <w:szCs w:val="24"/>
                <w:shd w:val="clear" w:fill="FFFFFF"/>
                <w:lang w:eastAsia="zh-CN"/>
              </w:rPr>
              <w:t>（删除讨论稿中的行政单位、军事单位）</w:t>
            </w:r>
          </w:p>
          <w:p w14:paraId="21CB23C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p w14:paraId="6112669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"https://www.ssfb86.com/index/News/detail/newsid/17807.html" </w:instrText>
            </w:r>
            <w:r>
              <w:rPr>
                <w:rFonts w:hint="eastAsia" w:ascii="楷体" w:hAnsi="楷体" w:eastAsia="楷体" w:cs="楷体"/>
                <w:i w:val="0"/>
                <w:iCs w:val="0"/>
                <w:caps w:val="0"/>
                <w:color w:val="005C81"/>
                <w:spacing w:val="0"/>
                <w:sz w:val="19"/>
                <w:szCs w:val="19"/>
                <w:u w:val="none"/>
              </w:rPr>
              <w:fldChar w:fldCharType="separate"/>
            </w:r>
            <w:r>
              <w:rPr>
                <w:rStyle w:val="10"/>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p w14:paraId="02C42DB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pPr>
          </w:p>
          <w:p w14:paraId="6E2942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Style w:val="8"/>
                <w:rFonts w:hint="eastAsia" w:ascii="宋体" w:hAnsi="宋体" w:eastAsia="宋体" w:cs="宋体"/>
                <w:i w:val="0"/>
                <w:iCs w:val="0"/>
                <w:caps w:val="0"/>
                <w:color w:val="333333"/>
                <w:spacing w:val="0"/>
                <w:sz w:val="24"/>
                <w:szCs w:val="24"/>
                <w:shd w:val="clear" w:fill="FFFFFF"/>
              </w:rPr>
              <w:t>第三十六条　</w:t>
            </w:r>
            <w:r>
              <w:rPr>
                <w:rFonts w:hint="eastAsia" w:ascii="宋体" w:hAnsi="宋体" w:eastAsia="宋体" w:cs="宋体"/>
                <w:i w:val="0"/>
                <w:iCs w:val="0"/>
                <w:caps w:val="0"/>
                <w:color w:val="333333"/>
                <w:spacing w:val="0"/>
                <w:sz w:val="24"/>
                <w:szCs w:val="24"/>
                <w:shd w:val="clear" w:fill="FFFFFF"/>
              </w:rPr>
              <w:t>除本条例另有规定外，单位和个体工商户年应征增值税销售额超过小规模纳税人标准的，应当向主管税务机关办理一般纳税人登记，并自超过小规模纳税人标准的当期起按照一般计税方法计算缴纳增值税。</w:t>
            </w:r>
          </w:p>
          <w:p w14:paraId="57CA4C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小规模纳税人符合增值税法第九条第二款规定的，可以向主管税务机关办理一般纳税人登记，并自办理登记的当期起按照一般计税方法计算缴纳增值税。</w:t>
            </w:r>
          </w:p>
          <w:p w14:paraId="58DC146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2" w:firstLineChars="200"/>
              <w:jc w:val="both"/>
              <w:textAlignment w:val="auto"/>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pPr>
            <w:r>
              <w:rPr>
                <w:rFonts w:hint="eastAsia" w:ascii="宋体" w:hAnsi="宋体" w:eastAsia="宋体" w:cs="宋体"/>
                <w:b/>
                <w:bCs/>
                <w:i w:val="0"/>
                <w:iCs w:val="0"/>
                <w:caps w:val="0"/>
                <w:color w:val="333333"/>
                <w:spacing w:val="0"/>
                <w:sz w:val="24"/>
                <w:szCs w:val="24"/>
                <w:highlight w:val="yellow"/>
                <w:shd w:val="clear" w:fill="FFFFFF"/>
              </w:rPr>
              <w:t>纳税人登记为一般纳税人后，不得转为小规模纳税人</w:t>
            </w:r>
            <w:r>
              <w:rPr>
                <w:rFonts w:hint="eastAsia" w:ascii="宋体" w:hAnsi="宋体" w:eastAsia="宋体" w:cs="宋体"/>
                <w:i w:val="0"/>
                <w:iCs w:val="0"/>
                <w:caps w:val="0"/>
                <w:color w:val="333333"/>
                <w:spacing w:val="0"/>
                <w:sz w:val="24"/>
                <w:szCs w:val="24"/>
                <w:shd w:val="clear" w:fill="FFFFFF"/>
              </w:rPr>
              <w:t>。</w:t>
            </w:r>
          </w:p>
          <w:p w14:paraId="2171DBB0">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shd w:val="clear" w:color="auto" w:fill="auto"/>
              </w:rPr>
              <w:t>【</w:t>
            </w:r>
            <w:r>
              <w:rPr>
                <w:rFonts w:hint="eastAsia" w:ascii="楷体" w:hAnsi="楷体" w:eastAsia="楷体" w:cs="楷体"/>
                <w:i w:val="0"/>
                <w:iCs w:val="0"/>
                <w:caps w:val="0"/>
                <w:color w:val="005C81"/>
                <w:spacing w:val="0"/>
                <w:sz w:val="19"/>
                <w:szCs w:val="19"/>
                <w:u w:val="none"/>
                <w:shd w:val="clear" w:color="auto" w:fill="auto"/>
              </w:rPr>
              <w:fldChar w:fldCharType="begin"/>
            </w:r>
            <w:r>
              <w:rPr>
                <w:rFonts w:hint="eastAsia" w:ascii="楷体" w:hAnsi="楷体" w:eastAsia="楷体" w:cs="楷体"/>
                <w:i w:val="0"/>
                <w:iCs w:val="0"/>
                <w:caps w:val="0"/>
                <w:color w:val="005C81"/>
                <w:spacing w:val="0"/>
                <w:sz w:val="19"/>
                <w:szCs w:val="19"/>
                <w:u w:val="none"/>
                <w:shd w:val="clear" w:color="auto" w:fill="auto"/>
              </w:rPr>
              <w:instrText xml:space="preserve"> HYPERLINK "https://www.ssfb86.com/index/News/detail/newsid/17806.html" </w:instrText>
            </w:r>
            <w:r>
              <w:rPr>
                <w:rFonts w:hint="eastAsia" w:ascii="楷体" w:hAnsi="楷体" w:eastAsia="楷体" w:cs="楷体"/>
                <w:i w:val="0"/>
                <w:iCs w:val="0"/>
                <w:caps w:val="0"/>
                <w:color w:val="005C81"/>
                <w:spacing w:val="0"/>
                <w:sz w:val="19"/>
                <w:szCs w:val="19"/>
                <w:u w:val="none"/>
                <w:shd w:val="clear" w:color="auto" w:fill="auto"/>
              </w:rPr>
              <w:fldChar w:fldCharType="separate"/>
            </w:r>
            <w:r>
              <w:rPr>
                <w:rStyle w:val="10"/>
                <w:rFonts w:hint="eastAsia" w:ascii="楷体" w:hAnsi="楷体" w:eastAsia="楷体" w:cs="楷体"/>
                <w:i w:val="0"/>
                <w:iCs w:val="0"/>
                <w:caps w:val="0"/>
                <w:spacing w:val="0"/>
                <w:sz w:val="19"/>
                <w:szCs w:val="19"/>
                <w:shd w:val="clear" w:color="auto" w:fill="auto"/>
              </w:rPr>
              <w:t>本条相关法规汇编</w:t>
            </w:r>
            <w:r>
              <w:rPr>
                <w:rFonts w:hint="eastAsia" w:ascii="楷体" w:hAnsi="楷体" w:eastAsia="楷体" w:cs="楷体"/>
                <w:i w:val="0"/>
                <w:iCs w:val="0"/>
                <w:caps w:val="0"/>
                <w:color w:val="005C81"/>
                <w:spacing w:val="0"/>
                <w:sz w:val="19"/>
                <w:szCs w:val="19"/>
                <w:u w:val="none"/>
                <w:shd w:val="clear" w:color="auto" w:fill="auto"/>
              </w:rPr>
              <w:fldChar w:fldCharType="end"/>
            </w:r>
            <w:r>
              <w:rPr>
                <w:rFonts w:hint="eastAsia" w:ascii="楷体" w:hAnsi="楷体" w:eastAsia="楷体" w:cs="楷体"/>
                <w:i w:val="0"/>
                <w:iCs w:val="0"/>
                <w:caps w:val="0"/>
                <w:color w:val="0070C0"/>
                <w:spacing w:val="0"/>
                <w:sz w:val="19"/>
                <w:szCs w:val="19"/>
                <w:shd w:val="clear" w:color="auto" w:fill="auto"/>
              </w:rPr>
              <w:t>】</w:t>
            </w:r>
          </w:p>
        </w:tc>
      </w:tr>
      <w:tr w14:paraId="48A63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790" w:type="dxa"/>
            <w:shd w:val="clear" w:color="auto" w:fill="auto"/>
            <w:vAlign w:val="center"/>
          </w:tcPr>
          <w:p w14:paraId="6030F086">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color w:val="1D41D5"/>
                <w:kern w:val="0"/>
                <w:sz w:val="24"/>
                <w:szCs w:val="24"/>
                <w:lang w:val="en-US" w:eastAsia="zh-CN" w:bidi="ar"/>
              </w:rPr>
            </w:pPr>
            <w:r>
              <w:rPr>
                <w:rFonts w:hint="eastAsia" w:asciiTheme="minorEastAsia" w:hAnsiTheme="minorEastAsia" w:eastAsiaTheme="minorEastAsia" w:cstheme="minorEastAsia"/>
                <w:b/>
                <w:bCs/>
                <w:color w:val="1D41D5"/>
                <w:kern w:val="0"/>
                <w:sz w:val="24"/>
                <w:szCs w:val="24"/>
                <w:lang w:val="en-US" w:eastAsia="zh-CN" w:bidi="ar"/>
              </w:rPr>
              <w:t>第二章 税率</w:t>
            </w:r>
          </w:p>
        </w:tc>
        <w:tc>
          <w:tcPr>
            <w:tcW w:w="5775" w:type="dxa"/>
            <w:shd w:val="clear" w:color="auto" w:fill="auto"/>
            <w:vAlign w:val="center"/>
          </w:tcPr>
          <w:p w14:paraId="468544C8">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color w:val="1D41D5"/>
                <w:kern w:val="0"/>
                <w:sz w:val="24"/>
                <w:szCs w:val="24"/>
                <w:lang w:val="en-US" w:eastAsia="zh-CN" w:bidi="ar"/>
              </w:rPr>
            </w:pPr>
            <w:r>
              <w:rPr>
                <w:rFonts w:hint="eastAsia" w:asciiTheme="minorEastAsia" w:hAnsiTheme="minorEastAsia" w:eastAsiaTheme="minorEastAsia" w:cstheme="minorEastAsia"/>
                <w:b/>
                <w:bCs/>
                <w:color w:val="1D41D5"/>
                <w:kern w:val="0"/>
                <w:sz w:val="24"/>
                <w:szCs w:val="24"/>
                <w:lang w:val="en-US" w:eastAsia="zh-CN" w:bidi="ar"/>
              </w:rPr>
              <w:t>第二章   税率</w:t>
            </w:r>
          </w:p>
        </w:tc>
      </w:tr>
      <w:tr w14:paraId="17C0A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3790" w:type="dxa"/>
            <w:shd w:val="clear" w:color="auto" w:fill="auto"/>
            <w:vAlign w:val="center"/>
          </w:tcPr>
          <w:p w14:paraId="613F80C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第十条 增值税税率：</w:t>
            </w:r>
          </w:p>
        </w:tc>
        <w:tc>
          <w:tcPr>
            <w:tcW w:w="5775" w:type="dxa"/>
            <w:vMerge w:val="restart"/>
            <w:shd w:val="clear" w:color="auto" w:fill="auto"/>
            <w:vAlign w:val="center"/>
          </w:tcPr>
          <w:p w14:paraId="658B2A70">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2FF9A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9" w:hRule="atLeast"/>
        </w:trPr>
        <w:tc>
          <w:tcPr>
            <w:tcW w:w="3790" w:type="dxa"/>
            <w:shd w:val="clear" w:color="auto" w:fill="auto"/>
            <w:vAlign w:val="center"/>
          </w:tcPr>
          <w:p w14:paraId="6D2B088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（一）纳税人销售货物、加工修理修配服务、有形动产租赁服务，进口货物，除本条第二项、第四项、第五项规定外，税率为百分之十三。</w:t>
            </w:r>
          </w:p>
          <w:p w14:paraId="65B91AC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4788D7"/>
                <w:spacing w:val="0"/>
                <w:sz w:val="19"/>
                <w:szCs w:val="19"/>
                <w:u w:val="single"/>
              </w:rPr>
              <w:fldChar w:fldCharType="begin"/>
            </w:r>
            <w:r>
              <w:rPr>
                <w:rFonts w:hint="eastAsia" w:ascii="宋体" w:hAnsi="宋体" w:eastAsia="宋体" w:cs="宋体"/>
                <w:i w:val="0"/>
                <w:iCs w:val="0"/>
                <w:caps w:val="0"/>
                <w:color w:val="4788D7"/>
                <w:spacing w:val="0"/>
                <w:sz w:val="19"/>
                <w:szCs w:val="19"/>
                <w:u w:val="single"/>
              </w:rPr>
              <w:instrText xml:space="preserve"> HYPERLINK "https://www.ssfb86.com/index/News/detail/newsid/17830.html" </w:instrText>
            </w:r>
            <w:r>
              <w:rPr>
                <w:rFonts w:hint="eastAsia" w:ascii="宋体" w:hAnsi="宋体" w:eastAsia="宋体" w:cs="宋体"/>
                <w:i w:val="0"/>
                <w:iCs w:val="0"/>
                <w:caps w:val="0"/>
                <w:color w:val="4788D7"/>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本项相关法规汇编</w:t>
            </w:r>
            <w:r>
              <w:rPr>
                <w:rFonts w:hint="eastAsia" w:ascii="宋体" w:hAnsi="宋体" w:eastAsia="宋体" w:cs="宋体"/>
                <w:i w:val="0"/>
                <w:iCs w:val="0"/>
                <w:caps w:val="0"/>
                <w:color w:val="4788D7"/>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continue"/>
            <w:shd w:val="clear" w:color="auto" w:fill="auto"/>
            <w:vAlign w:val="center"/>
          </w:tcPr>
          <w:p w14:paraId="7EFC77D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7097F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65" w:hRule="atLeast"/>
        </w:trPr>
        <w:tc>
          <w:tcPr>
            <w:tcW w:w="3790" w:type="dxa"/>
            <w:shd w:val="clear" w:color="auto" w:fill="auto"/>
            <w:vAlign w:val="center"/>
          </w:tcPr>
          <w:p w14:paraId="18B4057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（二）纳税人销售交通运输、邮政、基础电信、建筑、不动产租赁服务，销售不动产，转让土地使用权，销售或者进口下列货物，除本条第四项、第五项规定外，税率为百分之九：</w:t>
            </w:r>
          </w:p>
        </w:tc>
        <w:tc>
          <w:tcPr>
            <w:tcW w:w="5775" w:type="dxa"/>
            <w:vMerge w:val="continue"/>
            <w:shd w:val="clear" w:color="auto" w:fill="auto"/>
            <w:vAlign w:val="center"/>
          </w:tcPr>
          <w:p w14:paraId="7EB8B02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769AC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4" w:hRule="atLeast"/>
        </w:trPr>
        <w:tc>
          <w:tcPr>
            <w:tcW w:w="3790" w:type="dxa"/>
            <w:shd w:val="clear" w:color="auto" w:fill="auto"/>
            <w:vAlign w:val="center"/>
          </w:tcPr>
          <w:p w14:paraId="1A79893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1.农产品、食用植物油、食用盐；</w:t>
            </w:r>
          </w:p>
        </w:tc>
        <w:tc>
          <w:tcPr>
            <w:tcW w:w="5775" w:type="dxa"/>
            <w:vMerge w:val="continue"/>
            <w:shd w:val="clear" w:color="auto" w:fill="auto"/>
            <w:vAlign w:val="center"/>
          </w:tcPr>
          <w:p w14:paraId="46C6F9E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1DF9C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3" w:hRule="atLeast"/>
        </w:trPr>
        <w:tc>
          <w:tcPr>
            <w:tcW w:w="3790" w:type="dxa"/>
            <w:shd w:val="clear" w:color="auto" w:fill="auto"/>
            <w:vAlign w:val="center"/>
          </w:tcPr>
          <w:p w14:paraId="54540B7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2.自来水、暖气、冷气、热水、煤气、石油液化气、天然气、二甲醚、沼气、居民用煤炭制品；</w:t>
            </w:r>
          </w:p>
        </w:tc>
        <w:tc>
          <w:tcPr>
            <w:tcW w:w="5775" w:type="dxa"/>
            <w:vMerge w:val="continue"/>
            <w:shd w:val="clear" w:color="auto" w:fill="auto"/>
            <w:vAlign w:val="center"/>
          </w:tcPr>
          <w:p w14:paraId="2FA9ADC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79428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3790" w:type="dxa"/>
            <w:shd w:val="clear" w:color="auto" w:fill="auto"/>
            <w:vAlign w:val="center"/>
          </w:tcPr>
          <w:p w14:paraId="2413A4E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3.图书、报纸、杂志、音像制品、电子出版物；</w:t>
            </w:r>
          </w:p>
        </w:tc>
        <w:tc>
          <w:tcPr>
            <w:tcW w:w="5775" w:type="dxa"/>
            <w:vMerge w:val="continue"/>
            <w:shd w:val="clear" w:color="auto" w:fill="auto"/>
            <w:vAlign w:val="center"/>
          </w:tcPr>
          <w:p w14:paraId="5940C75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191DD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3790" w:type="dxa"/>
            <w:shd w:val="clear" w:color="auto" w:fill="auto"/>
            <w:vAlign w:val="center"/>
          </w:tcPr>
          <w:p w14:paraId="1CA3A119">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4.饲料、化肥、农药、农机、农膜。</w:t>
            </w:r>
          </w:p>
          <w:p w14:paraId="343091C9">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"https://www.ssfb86.com/index/News/detail/newsid/17831.html"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本项相关法规汇编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continue"/>
            <w:shd w:val="clear" w:color="auto" w:fill="auto"/>
            <w:vAlign w:val="center"/>
          </w:tcPr>
          <w:p w14:paraId="4D597F19">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0E8DC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1" w:hRule="atLeast"/>
        </w:trPr>
        <w:tc>
          <w:tcPr>
            <w:tcW w:w="3790" w:type="dxa"/>
            <w:shd w:val="clear" w:color="auto" w:fill="auto"/>
            <w:vAlign w:val="center"/>
          </w:tcPr>
          <w:p w14:paraId="778F6B6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（三）纳税人销售服务、无形资产，除本条第一项、第二项、第五项规定外，税率为百分之六。</w:t>
            </w:r>
          </w:p>
          <w:p w14:paraId="69F22B99">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"https://www.ssfb86.com/index/News/detail/newsid/17842.html"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本项相关法规汇编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continue"/>
            <w:shd w:val="clear" w:color="auto" w:fill="auto"/>
            <w:vAlign w:val="center"/>
          </w:tcPr>
          <w:p w14:paraId="40B6D936">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43CB1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trPr>
        <w:tc>
          <w:tcPr>
            <w:tcW w:w="3790" w:type="dxa"/>
            <w:shd w:val="clear" w:color="auto" w:fill="auto"/>
            <w:vAlign w:val="top"/>
          </w:tcPr>
          <w:p w14:paraId="0949500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（四）纳税人出口货物，税率为零；国务院另有规定的除外。</w:t>
            </w:r>
          </w:p>
          <w:p w14:paraId="2AC733E7">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"https://www.ssfb86.com/index/News/detail/newsid/17843.html"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本项相关法规汇编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center"/>
          </w:tcPr>
          <w:p w14:paraId="7100229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第八条   </w:t>
            </w:r>
            <w:r>
              <w:rPr>
                <w:rFonts w:hint="eastAsia" w:ascii="宋体" w:hAnsi="宋体" w:eastAsia="宋体" w:cs="宋体"/>
                <w:i w:val="0"/>
                <w:iCs w:val="0"/>
                <w:caps w:val="0"/>
                <w:color w:val="333333"/>
                <w:spacing w:val="0"/>
                <w:sz w:val="24"/>
                <w:szCs w:val="24"/>
                <w:shd w:val="clear" w:fill="FFFFFF"/>
              </w:rPr>
              <w:t>增值税法第十条第四项所称出口货物，是指向海关报关实际离境并销售给境外单位或者个人的货物，以及国务院规定的</w:t>
            </w:r>
            <w:r>
              <w:rPr>
                <w:rFonts w:hint="eastAsia" w:ascii="宋体" w:hAnsi="宋体" w:eastAsia="宋体" w:cs="宋体"/>
                <w:b/>
                <w:bCs/>
                <w:i w:val="0"/>
                <w:iCs w:val="0"/>
                <w:caps w:val="0"/>
                <w:color w:val="333333"/>
                <w:spacing w:val="0"/>
                <w:sz w:val="24"/>
                <w:szCs w:val="24"/>
                <w:shd w:val="clear" w:fill="FFFFFF"/>
              </w:rPr>
              <w:t>视同出口的货物</w:t>
            </w:r>
            <w:r>
              <w:rPr>
                <w:rFonts w:hint="eastAsia" w:ascii="宋体" w:hAnsi="宋体" w:eastAsia="宋体" w:cs="宋体"/>
                <w:i w:val="0"/>
                <w:iCs w:val="0"/>
                <w:caps w:val="0"/>
                <w:color w:val="333333"/>
                <w:spacing w:val="0"/>
                <w:sz w:val="24"/>
                <w:szCs w:val="24"/>
                <w:shd w:val="clear" w:fill="FFFFFF"/>
              </w:rPr>
              <w:t>。</w:t>
            </w:r>
          </w:p>
          <w:p w14:paraId="04B5C7D0">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4788D7"/>
                <w:spacing w:val="0"/>
                <w:sz w:val="19"/>
                <w:szCs w:val="19"/>
                <w:u w:val="single"/>
              </w:rPr>
              <w:fldChar w:fldCharType="begin"/>
            </w:r>
            <w:r>
              <w:rPr>
                <w:rFonts w:hint="eastAsia" w:ascii="宋体" w:hAnsi="宋体" w:eastAsia="宋体" w:cs="宋体"/>
                <w:i w:val="0"/>
                <w:iCs w:val="0"/>
                <w:caps w:val="0"/>
                <w:color w:val="4788D7"/>
                <w:spacing w:val="0"/>
                <w:sz w:val="19"/>
                <w:szCs w:val="19"/>
                <w:u w:val="single"/>
              </w:rPr>
              <w:instrText xml:space="preserve"> HYPERLINK "https://www.ssfb86.com/index/News/detail/newsid/17843.html" </w:instrText>
            </w:r>
            <w:r>
              <w:rPr>
                <w:rFonts w:hint="eastAsia" w:ascii="宋体" w:hAnsi="宋体" w:eastAsia="宋体" w:cs="宋体"/>
                <w:i w:val="0"/>
                <w:iCs w:val="0"/>
                <w:caps w:val="0"/>
                <w:color w:val="4788D7"/>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w:t>
            </w:r>
            <w:r>
              <w:rPr>
                <w:rStyle w:val="10"/>
                <w:rFonts w:hint="eastAsia" w:ascii="楷体" w:hAnsi="楷体" w:eastAsia="楷体" w:cs="楷体"/>
                <w:i w:val="0"/>
                <w:iCs w:val="0"/>
                <w:caps w:val="0"/>
                <w:color w:val="005C81"/>
                <w:spacing w:val="0"/>
                <w:sz w:val="19"/>
                <w:szCs w:val="19"/>
                <w:u w:val="single"/>
                <w:lang w:eastAsia="zh-CN"/>
              </w:rPr>
              <w:t>条</w:t>
            </w:r>
            <w:r>
              <w:rPr>
                <w:rStyle w:val="10"/>
                <w:rFonts w:hint="eastAsia" w:ascii="楷体" w:hAnsi="楷体" w:eastAsia="楷体" w:cs="楷体"/>
                <w:i w:val="0"/>
                <w:iCs w:val="0"/>
                <w:caps w:val="0"/>
                <w:color w:val="005C81"/>
                <w:spacing w:val="0"/>
                <w:sz w:val="19"/>
                <w:szCs w:val="19"/>
                <w:u w:val="single"/>
              </w:rPr>
              <w:t>相关法规汇编</w:t>
            </w:r>
            <w:r>
              <w:rPr>
                <w:rFonts w:hint="eastAsia" w:ascii="宋体" w:hAnsi="宋体" w:eastAsia="宋体" w:cs="宋体"/>
                <w:i w:val="0"/>
                <w:iCs w:val="0"/>
                <w:caps w:val="0"/>
                <w:color w:val="4788D7"/>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r>
      <w:tr w14:paraId="52B64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74" w:hRule="atLeast"/>
        </w:trPr>
        <w:tc>
          <w:tcPr>
            <w:tcW w:w="3790" w:type="dxa"/>
            <w:shd w:val="clear" w:color="auto" w:fill="auto"/>
            <w:vAlign w:val="top"/>
          </w:tcPr>
          <w:p w14:paraId="15AB312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（五）境内单位和个人跨境销售国务院规定范围内的服务、无形资产，税率为零。</w:t>
            </w:r>
          </w:p>
          <w:p w14:paraId="0B8C1AC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4788D7"/>
                <w:spacing w:val="0"/>
                <w:sz w:val="19"/>
                <w:szCs w:val="19"/>
                <w:u w:val="single"/>
              </w:rPr>
              <w:fldChar w:fldCharType="begin"/>
            </w:r>
            <w:r>
              <w:rPr>
                <w:rFonts w:hint="eastAsia" w:ascii="宋体" w:hAnsi="宋体" w:eastAsia="宋体" w:cs="宋体"/>
                <w:i w:val="0"/>
                <w:iCs w:val="0"/>
                <w:caps w:val="0"/>
                <w:color w:val="4788D7"/>
                <w:spacing w:val="0"/>
                <w:sz w:val="19"/>
                <w:szCs w:val="19"/>
                <w:u w:val="single"/>
              </w:rPr>
              <w:instrText xml:space="preserve"> HYPERLINK "https://www.ssfb86.com/index/News/detail/newsid/17843.html" </w:instrText>
            </w:r>
            <w:r>
              <w:rPr>
                <w:rFonts w:hint="eastAsia" w:ascii="宋体" w:hAnsi="宋体" w:eastAsia="宋体" w:cs="宋体"/>
                <w:i w:val="0"/>
                <w:iCs w:val="0"/>
                <w:caps w:val="0"/>
                <w:color w:val="4788D7"/>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本项相关法规汇编</w:t>
            </w:r>
            <w:r>
              <w:rPr>
                <w:rFonts w:hint="eastAsia" w:ascii="宋体" w:hAnsi="宋体" w:eastAsia="宋体" w:cs="宋体"/>
                <w:i w:val="0"/>
                <w:iCs w:val="0"/>
                <w:caps w:val="0"/>
                <w:color w:val="4788D7"/>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center"/>
          </w:tcPr>
          <w:p w14:paraId="3F6190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第九条  </w:t>
            </w:r>
            <w:r>
              <w:rPr>
                <w:rFonts w:hint="eastAsia" w:ascii="宋体" w:hAnsi="宋体" w:eastAsia="宋体" w:cs="宋体"/>
                <w:i w:val="0"/>
                <w:iCs w:val="0"/>
                <w:caps w:val="0"/>
                <w:color w:val="333333"/>
                <w:spacing w:val="0"/>
                <w:sz w:val="24"/>
                <w:szCs w:val="24"/>
                <w:shd w:val="clear" w:fill="FFFFFF"/>
              </w:rPr>
              <w:t>境内单位或者个人跨境销售下列服务、无形资产，税率为零：</w:t>
            </w:r>
          </w:p>
          <w:p w14:paraId="747006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（一）向境外单位销售的完全在境外消费的研发服务、合同能源管理服务、设计服务、广播影视制作和发行服务、软件服务、电路设计和测试服务、信息系统服务、业务流程管理服务、离岸服务外包业务；</w:t>
            </w:r>
          </w:p>
          <w:p w14:paraId="35AD82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（二）向境外单位转让的完全在境外使用的技术；</w:t>
            </w:r>
          </w:p>
          <w:p w14:paraId="6C961A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rPr>
              <w:t>（三）国际运输服务、航天运输服务、对外修理修配服务。</w:t>
            </w:r>
          </w:p>
          <w:p w14:paraId="7DB01ED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4788D7"/>
                <w:spacing w:val="0"/>
                <w:sz w:val="19"/>
                <w:szCs w:val="19"/>
                <w:u w:val="single"/>
              </w:rPr>
              <w:fldChar w:fldCharType="begin"/>
            </w:r>
            <w:r>
              <w:rPr>
                <w:rFonts w:hint="eastAsia" w:ascii="宋体" w:hAnsi="宋体" w:eastAsia="宋体" w:cs="宋体"/>
                <w:i w:val="0"/>
                <w:iCs w:val="0"/>
                <w:caps w:val="0"/>
                <w:color w:val="4788D7"/>
                <w:spacing w:val="0"/>
                <w:sz w:val="19"/>
                <w:szCs w:val="19"/>
                <w:u w:val="single"/>
              </w:rPr>
              <w:instrText xml:space="preserve"> HYPERLINK "https://www.ssfb86.com/index/News/detail/newsid/17843.html" </w:instrText>
            </w:r>
            <w:r>
              <w:rPr>
                <w:rFonts w:hint="eastAsia" w:ascii="宋体" w:hAnsi="宋体" w:eastAsia="宋体" w:cs="宋体"/>
                <w:i w:val="0"/>
                <w:iCs w:val="0"/>
                <w:caps w:val="0"/>
                <w:color w:val="4788D7"/>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w:t>
            </w:r>
            <w:r>
              <w:rPr>
                <w:rStyle w:val="10"/>
                <w:rFonts w:hint="eastAsia" w:ascii="楷体" w:hAnsi="楷体" w:eastAsia="楷体" w:cs="楷体"/>
                <w:i w:val="0"/>
                <w:iCs w:val="0"/>
                <w:caps w:val="0"/>
                <w:color w:val="005C81"/>
                <w:spacing w:val="0"/>
                <w:sz w:val="19"/>
                <w:szCs w:val="19"/>
                <w:u w:val="single"/>
                <w:lang w:eastAsia="zh-CN"/>
              </w:rPr>
              <w:t>条</w:t>
            </w:r>
            <w:r>
              <w:rPr>
                <w:rStyle w:val="10"/>
                <w:rFonts w:hint="eastAsia" w:ascii="楷体" w:hAnsi="楷体" w:eastAsia="楷体" w:cs="楷体"/>
                <w:i w:val="0"/>
                <w:iCs w:val="0"/>
                <w:caps w:val="0"/>
                <w:color w:val="005C81"/>
                <w:spacing w:val="0"/>
                <w:sz w:val="19"/>
                <w:szCs w:val="19"/>
                <w:u w:val="single"/>
              </w:rPr>
              <w:t>相关法规汇编</w:t>
            </w:r>
            <w:r>
              <w:rPr>
                <w:rFonts w:hint="eastAsia" w:ascii="宋体" w:hAnsi="宋体" w:eastAsia="宋体" w:cs="宋体"/>
                <w:i w:val="0"/>
                <w:iCs w:val="0"/>
                <w:caps w:val="0"/>
                <w:color w:val="4788D7"/>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r>
      <w:tr w14:paraId="1EB16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7" w:hRule="atLeast"/>
        </w:trPr>
        <w:tc>
          <w:tcPr>
            <w:tcW w:w="3790" w:type="dxa"/>
            <w:shd w:val="clear" w:color="auto" w:fill="auto"/>
            <w:vAlign w:val="center"/>
          </w:tcPr>
          <w:p w14:paraId="08ED2CF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第十一条 适用简易计税方法计算缴纳增值税的征收率为百分之三。</w:t>
            </w:r>
          </w:p>
          <w:p w14:paraId="3D0039E2">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"https://www.ssfb86.com/index/News/detail/newsid/17844.html"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restart"/>
            <w:shd w:val="clear" w:color="auto" w:fill="auto"/>
            <w:vAlign w:val="center"/>
          </w:tcPr>
          <w:p w14:paraId="65616327">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4F1A1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8" w:hRule="atLeast"/>
        </w:trPr>
        <w:tc>
          <w:tcPr>
            <w:tcW w:w="3790" w:type="dxa"/>
            <w:shd w:val="clear" w:color="auto" w:fill="auto"/>
            <w:vAlign w:val="center"/>
          </w:tcPr>
          <w:p w14:paraId="2D9A1612">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第十二条 纳税人发生两项以上应税交易涉及不同税率、征收率的，应当分别核算适用不同税率、征收率的销售额；未分别核算的，从高适用税率。</w:t>
            </w:r>
          </w:p>
          <w:p w14:paraId="77B9EEF9">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4788D7"/>
                <w:spacing w:val="0"/>
                <w:sz w:val="19"/>
                <w:szCs w:val="19"/>
                <w:u w:val="single"/>
              </w:rPr>
              <w:fldChar w:fldCharType="begin"/>
            </w:r>
            <w:r>
              <w:rPr>
                <w:rFonts w:hint="eastAsia" w:ascii="宋体" w:hAnsi="宋体" w:eastAsia="宋体" w:cs="宋体"/>
                <w:i w:val="0"/>
                <w:iCs w:val="0"/>
                <w:caps w:val="0"/>
                <w:color w:val="4788D7"/>
                <w:spacing w:val="0"/>
                <w:sz w:val="19"/>
                <w:szCs w:val="19"/>
                <w:u w:val="single"/>
              </w:rPr>
              <w:instrText xml:space="preserve"> HYPERLINK "https://www.ssfb86.com/index/News/detail/newsid/17847.html" </w:instrText>
            </w:r>
            <w:r>
              <w:rPr>
                <w:rFonts w:hint="eastAsia" w:ascii="宋体" w:hAnsi="宋体" w:eastAsia="宋体" w:cs="宋体"/>
                <w:i w:val="0"/>
                <w:iCs w:val="0"/>
                <w:caps w:val="0"/>
                <w:color w:val="4788D7"/>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4788D7"/>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continue"/>
            <w:shd w:val="clear" w:color="auto" w:fill="auto"/>
            <w:vAlign w:val="center"/>
          </w:tcPr>
          <w:p w14:paraId="37530222">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262A5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85" w:hRule="atLeast"/>
        </w:trPr>
        <w:tc>
          <w:tcPr>
            <w:tcW w:w="3790" w:type="dxa"/>
            <w:shd w:val="clear" w:color="auto" w:fill="auto"/>
            <w:vAlign w:val="top"/>
          </w:tcPr>
          <w:p w14:paraId="496623A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第十三条 纳税人发生一项应税交易涉及两个以上税率、征收率的，按照应税交易的主要业务适用税率、征收率。</w:t>
            </w:r>
          </w:p>
          <w:p w14:paraId="12E392E0">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"https://www.ssfb86.com/index/News/detail/newsid/17846.html"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center"/>
          </w:tcPr>
          <w:p w14:paraId="50F12227">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第十条   </w:t>
            </w:r>
            <w:r>
              <w:rPr>
                <w:rFonts w:hint="eastAsia" w:ascii="宋体" w:hAnsi="宋体" w:eastAsia="宋体" w:cs="宋体"/>
                <w:i w:val="0"/>
                <w:iCs w:val="0"/>
                <w:caps w:val="0"/>
                <w:color w:val="333333"/>
                <w:spacing w:val="0"/>
                <w:sz w:val="24"/>
                <w:szCs w:val="24"/>
                <w:shd w:val="clear" w:fill="FFFFFF"/>
              </w:rPr>
              <w:t>增值税法第十三条所称应税交易，应当同时符合下列条件：</w:t>
            </w:r>
          </w:p>
          <w:p w14:paraId="4C5CB6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（一）包含两个以上涉及不同税率、征收率的业务；</w:t>
            </w:r>
          </w:p>
          <w:p w14:paraId="54DBDE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（二）业务之间具有明显的主附关系。主要业务居于主体地位，体现交易的实质和目的；附属业务是主要业务的必要补充，并以主要业务的发生为前提。</w:t>
            </w:r>
          </w:p>
          <w:p w14:paraId="006A408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p w14:paraId="3C58C2D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楷体" w:hAnsi="楷体" w:eastAsia="楷体" w:cs="楷体"/>
                <w:i w:val="0"/>
                <w:iCs w:val="0"/>
                <w:caps w:val="0"/>
                <w:color w:val="0070C0"/>
                <w:spacing w:val="0"/>
                <w:sz w:val="19"/>
                <w:szCs w:val="19"/>
                <w:lang w:val="en-US" w:eastAsia="zh-CN"/>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"https://www.ssfb86.com/index/News/detail/newsid/17846.html"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r>
      <w:tr w14:paraId="6DDC7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790" w:type="dxa"/>
            <w:shd w:val="clear" w:color="auto" w:fill="auto"/>
            <w:vAlign w:val="center"/>
          </w:tcPr>
          <w:p w14:paraId="73EC982C">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color w:val="1D41D5"/>
                <w:kern w:val="0"/>
                <w:sz w:val="24"/>
                <w:szCs w:val="24"/>
                <w:lang w:val="en-US" w:eastAsia="zh-CN" w:bidi="ar"/>
              </w:rPr>
            </w:pPr>
            <w:r>
              <w:rPr>
                <w:rFonts w:hint="eastAsia" w:asciiTheme="minorEastAsia" w:hAnsiTheme="minorEastAsia" w:eastAsiaTheme="minorEastAsia" w:cstheme="minorEastAsia"/>
                <w:b/>
                <w:bCs/>
                <w:color w:val="1D41D5"/>
                <w:kern w:val="0"/>
                <w:sz w:val="24"/>
                <w:szCs w:val="24"/>
                <w:lang w:val="en-US" w:eastAsia="zh-CN" w:bidi="ar"/>
              </w:rPr>
              <w:t>第三章 应纳税额</w:t>
            </w:r>
          </w:p>
        </w:tc>
        <w:tc>
          <w:tcPr>
            <w:tcW w:w="5775" w:type="dxa"/>
            <w:shd w:val="clear" w:color="auto" w:fill="auto"/>
            <w:vAlign w:val="center"/>
          </w:tcPr>
          <w:p w14:paraId="3DD7B0FE">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color w:val="1D41D5"/>
                <w:kern w:val="0"/>
                <w:sz w:val="24"/>
                <w:szCs w:val="24"/>
                <w:lang w:val="en-US" w:eastAsia="zh-CN" w:bidi="ar"/>
              </w:rPr>
            </w:pPr>
            <w:r>
              <w:rPr>
                <w:rFonts w:hint="eastAsia" w:asciiTheme="minorEastAsia" w:hAnsiTheme="minorEastAsia" w:eastAsiaTheme="minorEastAsia" w:cstheme="minorEastAsia"/>
                <w:b/>
                <w:bCs/>
                <w:color w:val="1D41D5"/>
                <w:kern w:val="0"/>
                <w:sz w:val="24"/>
                <w:szCs w:val="24"/>
                <w:lang w:val="en-US" w:eastAsia="zh-CN" w:bidi="ar"/>
              </w:rPr>
              <w:t>第三章   应纳税额</w:t>
            </w:r>
          </w:p>
        </w:tc>
      </w:tr>
      <w:tr w14:paraId="2B6F4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8" w:hRule="atLeast"/>
        </w:trPr>
        <w:tc>
          <w:tcPr>
            <w:tcW w:w="3790" w:type="dxa"/>
            <w:shd w:val="clear" w:color="auto" w:fill="auto"/>
            <w:vAlign w:val="center"/>
          </w:tcPr>
          <w:p w14:paraId="4222F3C2">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第十四条 按照一般计税方法计算缴纳增值税的，应纳税额为当期销项税额抵扣当期进项税额后的余额。</w:t>
            </w:r>
          </w:p>
        </w:tc>
        <w:tc>
          <w:tcPr>
            <w:tcW w:w="5775" w:type="dxa"/>
            <w:shd w:val="clear" w:color="auto" w:fill="auto"/>
            <w:vAlign w:val="center"/>
          </w:tcPr>
          <w:p w14:paraId="6E365F23">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08D20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3790" w:type="dxa"/>
            <w:shd w:val="clear" w:color="auto" w:fill="auto"/>
            <w:vAlign w:val="center"/>
          </w:tcPr>
          <w:p w14:paraId="3C46A0C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按照简易计税方法计算缴纳增值税的，应纳税额为当期销售额乘以征收率。</w:t>
            </w:r>
          </w:p>
        </w:tc>
        <w:tc>
          <w:tcPr>
            <w:tcW w:w="5775" w:type="dxa"/>
            <w:shd w:val="clear" w:color="auto" w:fill="auto"/>
            <w:vAlign w:val="center"/>
          </w:tcPr>
          <w:p w14:paraId="0A5A8BD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3324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32" w:hRule="atLeast"/>
        </w:trPr>
        <w:tc>
          <w:tcPr>
            <w:tcW w:w="3790" w:type="dxa"/>
            <w:shd w:val="clear" w:color="auto" w:fill="auto"/>
            <w:vAlign w:val="center"/>
          </w:tcPr>
          <w:p w14:paraId="0CF2DCF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进口货物，按照本法规定的组成计税价格乘以适用税率计算缴纳增值税。组成计税价格，为关税计税价格加上关税和消费税；国务院另有规定的，从其规定。</w:t>
            </w:r>
          </w:p>
          <w:p w14:paraId="06BF2D8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"https://www.ssfb86.com/index/News/detail/newsid/17848.html"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本条相关法律汇编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center"/>
          </w:tcPr>
          <w:p w14:paraId="7BC79536">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0F154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3790" w:type="dxa"/>
            <w:shd w:val="clear" w:color="auto" w:fill="auto"/>
            <w:vAlign w:val="center"/>
          </w:tcPr>
          <w:p w14:paraId="22683813">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第十五条 境外单位和个人在境内发生应税交易，以购买方为扣缴义务人；按照国务院的规定委托境内代理人申报缴纳税款的除外。</w:t>
            </w:r>
          </w:p>
          <w:p w14:paraId="6E7DD617">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"https://www.ssfb86.com/index/News/detail/newsid/17808.html"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本款相关法规汇编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center"/>
          </w:tcPr>
          <w:p w14:paraId="588D30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Style w:val="8"/>
                <w:rFonts w:hint="eastAsia" w:ascii="宋体" w:hAnsi="宋体" w:eastAsia="宋体" w:cs="宋体"/>
                <w:i w:val="0"/>
                <w:iCs w:val="0"/>
                <w:caps w:val="0"/>
                <w:color w:val="333333"/>
                <w:spacing w:val="0"/>
                <w:sz w:val="24"/>
                <w:szCs w:val="24"/>
                <w:shd w:val="clear" w:fill="FFFFFF"/>
              </w:rPr>
              <w:t>第三十五条　</w:t>
            </w:r>
            <w:r>
              <w:rPr>
                <w:rFonts w:hint="eastAsia" w:ascii="宋体" w:hAnsi="宋体" w:eastAsia="宋体" w:cs="宋体"/>
                <w:b/>
                <w:bCs/>
                <w:i w:val="0"/>
                <w:iCs w:val="0"/>
                <w:caps w:val="0"/>
                <w:color w:val="333333"/>
                <w:spacing w:val="0"/>
                <w:sz w:val="24"/>
                <w:szCs w:val="24"/>
                <w:highlight w:val="yellow"/>
                <w:shd w:val="clear" w:fill="FFFFFF"/>
              </w:rPr>
              <w:t>自然人发生符合规定的应税交易，支付价款的境内单位为扣缴义务人。代扣代缴的具体操作办法，由国务院财政、税务主管部门制定。</w:t>
            </w:r>
          </w:p>
          <w:p w14:paraId="311AEB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highlight w:val="yellow"/>
                <w:shd w:val="clear" w:fill="FFFFFF"/>
              </w:rPr>
              <w:t>境外单位或者个人向自然人出租境内不动产，有境内代理人的，由境内代理人申报缴纳税款</w:t>
            </w:r>
            <w:r>
              <w:rPr>
                <w:rFonts w:hint="eastAsia" w:ascii="宋体" w:hAnsi="宋体" w:eastAsia="宋体" w:cs="宋体"/>
                <w:i w:val="0"/>
                <w:iCs w:val="0"/>
                <w:caps w:val="0"/>
                <w:color w:val="333333"/>
                <w:spacing w:val="0"/>
                <w:sz w:val="24"/>
                <w:szCs w:val="24"/>
                <w:shd w:val="clear" w:fill="FFFFFF"/>
              </w:rPr>
              <w:t>。</w:t>
            </w:r>
          </w:p>
          <w:p w14:paraId="706C4A8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"https://www.ssfb86.com/index/News/detail/newsid/17808.html" </w:instrText>
            </w:r>
            <w:r>
              <w:rPr>
                <w:rFonts w:hint="eastAsia" w:ascii="楷体" w:hAnsi="楷体" w:eastAsia="楷体" w:cs="楷体"/>
                <w:i w:val="0"/>
                <w:iCs w:val="0"/>
                <w:caps w:val="0"/>
                <w:color w:val="005C81"/>
                <w:spacing w:val="0"/>
                <w:sz w:val="19"/>
                <w:szCs w:val="19"/>
                <w:u w:val="none"/>
              </w:rPr>
              <w:fldChar w:fldCharType="separate"/>
            </w:r>
            <w:r>
              <w:rPr>
                <w:rStyle w:val="10"/>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41353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7" w:hRule="atLeast"/>
        </w:trPr>
        <w:tc>
          <w:tcPr>
            <w:tcW w:w="3790" w:type="dxa"/>
            <w:shd w:val="clear" w:color="auto" w:fill="auto"/>
            <w:vAlign w:val="center"/>
          </w:tcPr>
          <w:p w14:paraId="52C56AB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扣缴义务人依照本法规定代扣代缴税款的，按照销售额乘以税率计算应扣缴税额。</w:t>
            </w:r>
          </w:p>
          <w:p w14:paraId="358609E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"https://www.ssfb86.com/index/News/detail/newsid/17848.html"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本款相关法规汇编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center"/>
          </w:tcPr>
          <w:p w14:paraId="2626A4B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43274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7" w:hRule="atLeast"/>
        </w:trPr>
        <w:tc>
          <w:tcPr>
            <w:tcW w:w="3790" w:type="dxa"/>
            <w:shd w:val="clear" w:color="auto" w:fill="auto"/>
            <w:vAlign w:val="center"/>
          </w:tcPr>
          <w:p w14:paraId="238F425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第十六条 销项税额，是指纳税人发生应税交易，按照销售额乘以本法规定的税率计算的增值税税额。</w:t>
            </w:r>
          </w:p>
        </w:tc>
        <w:tc>
          <w:tcPr>
            <w:tcW w:w="5775" w:type="dxa"/>
            <w:shd w:val="clear" w:color="auto" w:fill="auto"/>
            <w:vAlign w:val="center"/>
          </w:tcPr>
          <w:p w14:paraId="4AC13597">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6AD81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30" w:hRule="atLeast"/>
        </w:trPr>
        <w:tc>
          <w:tcPr>
            <w:tcW w:w="3790" w:type="dxa"/>
            <w:shd w:val="clear" w:color="auto" w:fill="auto"/>
            <w:vAlign w:val="center"/>
          </w:tcPr>
          <w:p w14:paraId="3DA9700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进项税额，是指纳税人购进货物、服务、无形资产、不动产支付或者负担的增值税税额。</w:t>
            </w:r>
          </w:p>
        </w:tc>
        <w:tc>
          <w:tcPr>
            <w:tcW w:w="5775" w:type="dxa"/>
            <w:shd w:val="clear" w:color="auto" w:fill="auto"/>
            <w:vAlign w:val="center"/>
          </w:tcPr>
          <w:p w14:paraId="5B3935F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2CAFC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790" w:type="dxa"/>
            <w:vMerge w:val="restart"/>
            <w:shd w:val="clear" w:color="auto" w:fill="auto"/>
            <w:vAlign w:val="top"/>
          </w:tcPr>
          <w:p w14:paraId="7F7E8B0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纳税人应当凭法律、行政法规或者国务院规定的增值税扣税凭证从销项税额中抵扣进项税额。</w:t>
            </w:r>
          </w:p>
          <w:p w14:paraId="422FC353">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"https://www.ssfb86.com/index/News/detail/newsid/17848.html"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center"/>
          </w:tcPr>
          <w:p w14:paraId="03525A97">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第十一条  </w:t>
            </w:r>
            <w:r>
              <w:rPr>
                <w:rFonts w:hint="eastAsia" w:ascii="宋体" w:hAnsi="宋体" w:eastAsia="宋体" w:cs="宋体"/>
                <w:i w:val="0"/>
                <w:iCs w:val="0"/>
                <w:caps w:val="0"/>
                <w:color w:val="333333"/>
                <w:spacing w:val="0"/>
                <w:sz w:val="24"/>
                <w:szCs w:val="24"/>
                <w:shd w:val="clear" w:fill="FFFFFF"/>
              </w:rPr>
              <w:t>增值税法第十六条所称增值税扣税凭证，应当符合国务院税务主管部门的有关规定，具体包括增值税专用发票、海关进口增值税专用缴款书、完税凭证、农产品收购发票、农产品销售发票以及其他具有进项税额抵扣功能的扣税凭证。</w:t>
            </w:r>
          </w:p>
          <w:p w14:paraId="3D3364F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"https://www.ssfb86.com/index/News/detail/newsid/17848.html"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r>
      <w:tr w14:paraId="27BC0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1" w:hRule="atLeast"/>
        </w:trPr>
        <w:tc>
          <w:tcPr>
            <w:tcW w:w="3790" w:type="dxa"/>
            <w:vMerge w:val="continue"/>
            <w:shd w:val="clear" w:color="auto" w:fill="auto"/>
            <w:vAlign w:val="center"/>
          </w:tcPr>
          <w:p w14:paraId="6BF213D4">
            <w:pPr>
              <w:keepNext w:val="0"/>
              <w:keepLines w:val="0"/>
              <w:pageBreakBefore w:val="0"/>
              <w:kinsoku/>
              <w:wordWrap/>
              <w:overflowPunct/>
              <w:topLinePunct w:val="0"/>
              <w:autoSpaceDE/>
              <w:autoSpaceDN/>
              <w:bidi w:val="0"/>
              <w:adjustRightInd w:val="0"/>
              <w:snapToGrid w:val="0"/>
              <w:spacing w:after="0" w:line="36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c>
          <w:tcPr>
            <w:tcW w:w="5775" w:type="dxa"/>
            <w:shd w:val="clear" w:color="auto" w:fill="auto"/>
            <w:vAlign w:val="center"/>
          </w:tcPr>
          <w:p w14:paraId="3DF6807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第十二条  纳税人凭增值税扣税凭证从销项税额中抵扣的进项税额，包括：</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w:t>
            </w:r>
            <w:r>
              <w:rPr>
                <w:rFonts w:hint="eastAsia" w:asciiTheme="minorEastAsia" w:hAnsiTheme="minorEastAsia" w:eastAsiaTheme="minorEastAsia" w:cstheme="minorEastAsia"/>
                <w:b w:val="0"/>
                <w:bCs w:val="0"/>
                <w:color w:val="000000" w:themeColor="text1"/>
                <w:kern w:val="0"/>
                <w:sz w:val="24"/>
                <w:szCs w:val="24"/>
                <w:lang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（一）</w:t>
            </w:r>
            <w:r>
              <w:rPr>
                <w:rFonts w:hint="eastAsia" w:ascii="宋体" w:hAnsi="宋体" w:eastAsia="宋体" w:cs="宋体"/>
                <w:i w:val="0"/>
                <w:iCs w:val="0"/>
                <w:caps w:val="0"/>
                <w:color w:val="333333"/>
                <w:spacing w:val="0"/>
                <w:sz w:val="24"/>
                <w:szCs w:val="24"/>
                <w:shd w:val="clear" w:fill="FFFFFF"/>
              </w:rPr>
              <w:t>从销售方取得的增值税专用发票上列明的增值税税额；</w:t>
            </w:r>
          </w:p>
          <w:p w14:paraId="7B7CFAC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"https://www.ssfb86.com/index/News/detail/newsid/17861.html" </w:instrText>
            </w:r>
            <w:r>
              <w:rPr>
                <w:rFonts w:hint="eastAsia" w:ascii="楷体" w:hAnsi="楷体" w:eastAsia="楷体" w:cs="楷体"/>
                <w:i w:val="0"/>
                <w:iCs w:val="0"/>
                <w:caps w:val="0"/>
                <w:color w:val="005C81"/>
                <w:spacing w:val="0"/>
                <w:sz w:val="19"/>
                <w:szCs w:val="19"/>
                <w:u w:val="none"/>
              </w:rPr>
              <w:fldChar w:fldCharType="separate"/>
            </w:r>
            <w:r>
              <w:rPr>
                <w:rStyle w:val="10"/>
                <w:rFonts w:hint="eastAsia" w:ascii="楷体" w:hAnsi="楷体" w:eastAsia="楷体" w:cs="楷体"/>
                <w:i w:val="0"/>
                <w:iCs w:val="0"/>
                <w:caps w:val="0"/>
                <w:spacing w:val="0"/>
                <w:sz w:val="19"/>
                <w:szCs w:val="19"/>
              </w:rPr>
              <w:t>本</w:t>
            </w:r>
            <w:r>
              <w:rPr>
                <w:rStyle w:val="10"/>
                <w:rFonts w:hint="eastAsia" w:ascii="楷体" w:hAnsi="楷体" w:eastAsia="楷体" w:cs="楷体"/>
                <w:i w:val="0"/>
                <w:iCs w:val="0"/>
                <w:caps w:val="0"/>
                <w:spacing w:val="0"/>
                <w:sz w:val="19"/>
                <w:szCs w:val="19"/>
                <w:lang w:val="en-US" w:eastAsia="zh-CN"/>
              </w:rPr>
              <w:t>项</w:t>
            </w:r>
            <w:r>
              <w:rPr>
                <w:rStyle w:val="10"/>
                <w:rFonts w:hint="eastAsia" w:ascii="楷体" w:hAnsi="楷体" w:eastAsia="楷体" w:cs="楷体"/>
                <w:i w:val="0"/>
                <w:iCs w:val="0"/>
                <w:caps w:val="0"/>
                <w:spacing w:val="0"/>
                <w:sz w:val="19"/>
                <w:szCs w:val="19"/>
              </w:rPr>
              <w:t>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lang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（二）从海关取得的海关进口增值税专用缴款书上注明的增值税税额；</w:t>
            </w:r>
          </w:p>
          <w:p w14:paraId="7243BAC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"https://www.ssfb86.com/index/News/detail/newsid/17862.html" </w:instrText>
            </w:r>
            <w:r>
              <w:rPr>
                <w:rFonts w:hint="eastAsia" w:ascii="楷体" w:hAnsi="楷体" w:eastAsia="楷体" w:cs="楷体"/>
                <w:i w:val="0"/>
                <w:iCs w:val="0"/>
                <w:caps w:val="0"/>
                <w:color w:val="005C81"/>
                <w:spacing w:val="0"/>
                <w:sz w:val="19"/>
                <w:szCs w:val="19"/>
                <w:u w:val="none"/>
              </w:rPr>
              <w:fldChar w:fldCharType="separate"/>
            </w:r>
            <w:r>
              <w:rPr>
                <w:rStyle w:val="10"/>
                <w:rFonts w:hint="eastAsia" w:ascii="楷体" w:hAnsi="楷体" w:eastAsia="楷体" w:cs="楷体"/>
                <w:i w:val="0"/>
                <w:iCs w:val="0"/>
                <w:caps w:val="0"/>
                <w:spacing w:val="0"/>
                <w:sz w:val="19"/>
                <w:szCs w:val="19"/>
              </w:rPr>
              <w:t>本</w:t>
            </w:r>
            <w:r>
              <w:rPr>
                <w:rStyle w:val="10"/>
                <w:rFonts w:hint="eastAsia" w:ascii="楷体" w:hAnsi="楷体" w:eastAsia="楷体" w:cs="楷体"/>
                <w:i w:val="0"/>
                <w:iCs w:val="0"/>
                <w:caps w:val="0"/>
                <w:spacing w:val="0"/>
                <w:sz w:val="19"/>
                <w:szCs w:val="19"/>
                <w:lang w:val="en-US" w:eastAsia="zh-CN"/>
              </w:rPr>
              <w:t>项</w:t>
            </w:r>
            <w:r>
              <w:rPr>
                <w:rStyle w:val="10"/>
                <w:rFonts w:hint="eastAsia" w:ascii="楷体" w:hAnsi="楷体" w:eastAsia="楷体" w:cs="楷体"/>
                <w:i w:val="0"/>
                <w:iCs w:val="0"/>
                <w:caps w:val="0"/>
                <w:spacing w:val="0"/>
                <w:sz w:val="19"/>
                <w:szCs w:val="19"/>
              </w:rPr>
              <w:t>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lang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（三）</w:t>
            </w:r>
            <w:r>
              <w:rPr>
                <w:rFonts w:hint="eastAsia" w:ascii="宋体" w:hAnsi="宋体" w:eastAsia="宋体" w:cs="宋体"/>
                <w:i w:val="0"/>
                <w:iCs w:val="0"/>
                <w:caps w:val="0"/>
                <w:color w:val="333333"/>
                <w:spacing w:val="0"/>
                <w:sz w:val="24"/>
                <w:szCs w:val="24"/>
                <w:shd w:val="clear" w:fill="FFFFFF"/>
              </w:rPr>
              <w:t>自境外单位或者个人购进服务、无形资产或者境内不动产取得的完税凭证上列明的增值税税额；</w:t>
            </w:r>
          </w:p>
          <w:p w14:paraId="75F550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"https://www.ssfb86.com/index/News/detail/newsid/17863.html" </w:instrText>
            </w:r>
            <w:r>
              <w:rPr>
                <w:rFonts w:hint="eastAsia" w:ascii="楷体" w:hAnsi="楷体" w:eastAsia="楷体" w:cs="楷体"/>
                <w:i w:val="0"/>
                <w:iCs w:val="0"/>
                <w:caps w:val="0"/>
                <w:color w:val="005C81"/>
                <w:spacing w:val="0"/>
                <w:sz w:val="19"/>
                <w:szCs w:val="19"/>
                <w:u w:val="none"/>
              </w:rPr>
              <w:fldChar w:fldCharType="separate"/>
            </w:r>
            <w:r>
              <w:rPr>
                <w:rStyle w:val="10"/>
                <w:rFonts w:hint="eastAsia" w:ascii="楷体" w:hAnsi="楷体" w:eastAsia="楷体" w:cs="楷体"/>
                <w:i w:val="0"/>
                <w:iCs w:val="0"/>
                <w:caps w:val="0"/>
                <w:spacing w:val="0"/>
                <w:sz w:val="19"/>
                <w:szCs w:val="19"/>
              </w:rPr>
              <w:t>本</w:t>
            </w:r>
            <w:r>
              <w:rPr>
                <w:rStyle w:val="10"/>
                <w:rFonts w:hint="eastAsia" w:ascii="楷体" w:hAnsi="楷体" w:eastAsia="楷体" w:cs="楷体"/>
                <w:i w:val="0"/>
                <w:iCs w:val="0"/>
                <w:caps w:val="0"/>
                <w:spacing w:val="0"/>
                <w:sz w:val="19"/>
                <w:szCs w:val="19"/>
                <w:lang w:val="en-US" w:eastAsia="zh-CN"/>
              </w:rPr>
              <w:t>项</w:t>
            </w:r>
            <w:r>
              <w:rPr>
                <w:rStyle w:val="10"/>
                <w:rFonts w:hint="eastAsia" w:ascii="楷体" w:hAnsi="楷体" w:eastAsia="楷体" w:cs="楷体"/>
                <w:i w:val="0"/>
                <w:iCs w:val="0"/>
                <w:caps w:val="0"/>
                <w:spacing w:val="0"/>
                <w:sz w:val="19"/>
                <w:szCs w:val="19"/>
              </w:rPr>
              <w:t>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lang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（四）</w:t>
            </w:r>
            <w:r>
              <w:rPr>
                <w:rFonts w:hint="eastAsia" w:ascii="宋体" w:hAnsi="宋体" w:eastAsia="宋体" w:cs="宋体"/>
                <w:i w:val="0"/>
                <w:iCs w:val="0"/>
                <w:caps w:val="0"/>
                <w:color w:val="333333"/>
                <w:spacing w:val="0"/>
                <w:sz w:val="24"/>
                <w:szCs w:val="24"/>
                <w:shd w:val="clear" w:fill="FFFFFF"/>
              </w:rPr>
              <w:t>购进农产品时，除取得增值税专用发票或者海关进口增值税专用缴款书外，按照农产品收购发票或者农产品销售发票计算的进项税额，国务院另有规定的除外；</w:t>
            </w:r>
          </w:p>
          <w:p w14:paraId="1A1987E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"https://www.ssfb86.com/index/News/detail/newsid/17864.html" </w:instrText>
            </w:r>
            <w:r>
              <w:rPr>
                <w:rFonts w:hint="eastAsia" w:ascii="楷体" w:hAnsi="楷体" w:eastAsia="楷体" w:cs="楷体"/>
                <w:i w:val="0"/>
                <w:iCs w:val="0"/>
                <w:caps w:val="0"/>
                <w:color w:val="005C81"/>
                <w:spacing w:val="0"/>
                <w:sz w:val="19"/>
                <w:szCs w:val="19"/>
                <w:u w:val="none"/>
              </w:rPr>
              <w:fldChar w:fldCharType="separate"/>
            </w:r>
            <w:r>
              <w:rPr>
                <w:rStyle w:val="10"/>
                <w:rFonts w:hint="eastAsia" w:ascii="楷体" w:hAnsi="楷体" w:eastAsia="楷体" w:cs="楷体"/>
                <w:i w:val="0"/>
                <w:iCs w:val="0"/>
                <w:caps w:val="0"/>
                <w:spacing w:val="0"/>
                <w:sz w:val="19"/>
                <w:szCs w:val="19"/>
              </w:rPr>
              <w:t>本</w:t>
            </w:r>
            <w:r>
              <w:rPr>
                <w:rStyle w:val="10"/>
                <w:rFonts w:hint="eastAsia" w:ascii="楷体" w:hAnsi="楷体" w:eastAsia="楷体" w:cs="楷体"/>
                <w:i w:val="0"/>
                <w:iCs w:val="0"/>
                <w:caps w:val="0"/>
                <w:spacing w:val="0"/>
                <w:sz w:val="19"/>
                <w:szCs w:val="19"/>
                <w:lang w:val="en-US" w:eastAsia="zh-CN"/>
              </w:rPr>
              <w:t>项</w:t>
            </w:r>
            <w:r>
              <w:rPr>
                <w:rStyle w:val="10"/>
                <w:rFonts w:hint="eastAsia" w:ascii="楷体" w:hAnsi="楷体" w:eastAsia="楷体" w:cs="楷体"/>
                <w:i w:val="0"/>
                <w:iCs w:val="0"/>
                <w:caps w:val="0"/>
                <w:spacing w:val="0"/>
                <w:sz w:val="19"/>
                <w:szCs w:val="19"/>
              </w:rPr>
              <w:t>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lang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（五）</w:t>
            </w:r>
            <w:r>
              <w:rPr>
                <w:rFonts w:hint="eastAsia" w:ascii="宋体" w:hAnsi="宋体" w:eastAsia="宋体" w:cs="宋体"/>
                <w:i w:val="0"/>
                <w:iCs w:val="0"/>
                <w:caps w:val="0"/>
                <w:color w:val="333333"/>
                <w:spacing w:val="0"/>
                <w:sz w:val="24"/>
                <w:szCs w:val="24"/>
                <w:shd w:val="clear" w:fill="FFFFFF"/>
              </w:rPr>
              <w:t>从销售方取得的其他增值税扣税凭证上列明或者包含的增值税税额。</w:t>
            </w:r>
          </w:p>
          <w:p w14:paraId="0AB0F8D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"https://www.ssfb86.com/index/News/detail/newsid/17865.html" </w:instrText>
            </w:r>
            <w:r>
              <w:rPr>
                <w:rFonts w:hint="eastAsia" w:ascii="楷体" w:hAnsi="楷体" w:eastAsia="楷体" w:cs="楷体"/>
                <w:i w:val="0"/>
                <w:iCs w:val="0"/>
                <w:caps w:val="0"/>
                <w:color w:val="005C81"/>
                <w:spacing w:val="0"/>
                <w:sz w:val="19"/>
                <w:szCs w:val="19"/>
                <w:u w:val="none"/>
              </w:rPr>
              <w:fldChar w:fldCharType="separate"/>
            </w:r>
            <w:r>
              <w:rPr>
                <w:rStyle w:val="10"/>
                <w:rFonts w:hint="eastAsia" w:ascii="楷体" w:hAnsi="楷体" w:eastAsia="楷体" w:cs="楷体"/>
                <w:i w:val="0"/>
                <w:iCs w:val="0"/>
                <w:caps w:val="0"/>
                <w:spacing w:val="0"/>
                <w:sz w:val="19"/>
                <w:szCs w:val="19"/>
              </w:rPr>
              <w:t>本</w:t>
            </w:r>
            <w:r>
              <w:rPr>
                <w:rStyle w:val="10"/>
                <w:rFonts w:hint="eastAsia" w:ascii="楷体" w:hAnsi="楷体" w:eastAsia="楷体" w:cs="楷体"/>
                <w:i w:val="0"/>
                <w:iCs w:val="0"/>
                <w:caps w:val="0"/>
                <w:spacing w:val="0"/>
                <w:sz w:val="19"/>
                <w:szCs w:val="19"/>
                <w:lang w:val="en-US" w:eastAsia="zh-CN"/>
              </w:rPr>
              <w:t>项</w:t>
            </w:r>
            <w:r>
              <w:rPr>
                <w:rStyle w:val="10"/>
                <w:rFonts w:hint="eastAsia" w:ascii="楷体" w:hAnsi="楷体" w:eastAsia="楷体" w:cs="楷体"/>
                <w:i w:val="0"/>
                <w:iCs w:val="0"/>
                <w:caps w:val="0"/>
                <w:spacing w:val="0"/>
                <w:sz w:val="19"/>
                <w:szCs w:val="19"/>
              </w:rPr>
              <w:t>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24232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790" w:type="dxa"/>
            <w:vMerge w:val="restart"/>
            <w:shd w:val="clear" w:color="auto" w:fill="auto"/>
            <w:vAlign w:val="top"/>
          </w:tcPr>
          <w:p w14:paraId="2D90148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第十七条 销售额，是指纳税人发生应税交易取得的与之相关的价款，包括货币和非货币形式的经济利益对应的全部价款，不包括按照一般计税方法计算的销项税额和按照简易计税方法计算的应纳税额。</w:t>
            </w:r>
          </w:p>
          <w:p w14:paraId="7FF5154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"https://www.ssfb86.com/index/News/detail/newsid/17849.html"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center"/>
          </w:tcPr>
          <w:p w14:paraId="5E5D657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t xml:space="preserve">第十五条  </w:t>
            </w:r>
            <w:r>
              <w:rPr>
                <w:rFonts w:hint="eastAsia" w:ascii="宋体" w:hAnsi="宋体" w:eastAsia="宋体" w:cs="宋体"/>
                <w:i w:val="0"/>
                <w:iCs w:val="0"/>
                <w:caps w:val="0"/>
                <w:color w:val="333333"/>
                <w:spacing w:val="0"/>
                <w:sz w:val="24"/>
                <w:szCs w:val="24"/>
                <w:shd w:val="clear" w:fill="FFFFFF"/>
              </w:rPr>
              <w:t>增值税法第十七条所称全部价款，不包括纳税人代为收取的下列税费或者款项：</w:t>
            </w:r>
            <w:r>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shd w:val="clear" w:color="auto" w:fill="auto"/>
                <w:lang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t>（一）</w:t>
            </w:r>
            <w:r>
              <w:rPr>
                <w:rFonts w:hint="eastAsia" w:ascii="宋体" w:hAnsi="宋体" w:eastAsia="宋体" w:cs="宋体"/>
                <w:i w:val="0"/>
                <w:iCs w:val="0"/>
                <w:caps w:val="0"/>
                <w:color w:val="333333"/>
                <w:spacing w:val="0"/>
                <w:sz w:val="24"/>
                <w:szCs w:val="24"/>
                <w:shd w:val="clear" w:fill="FFFFFF"/>
              </w:rPr>
              <w:t>政府性基金或者行政事业性收费；</w:t>
            </w:r>
            <w:r>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shd w:val="clear" w:color="auto" w:fill="auto"/>
                <w:lang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t>（二）</w:t>
            </w:r>
            <w:r>
              <w:rPr>
                <w:rFonts w:hint="eastAsia" w:ascii="宋体" w:hAnsi="宋体" w:eastAsia="宋体" w:cs="宋体"/>
                <w:i w:val="0"/>
                <w:iCs w:val="0"/>
                <w:caps w:val="0"/>
                <w:color w:val="333333"/>
                <w:spacing w:val="0"/>
                <w:sz w:val="24"/>
                <w:szCs w:val="24"/>
                <w:shd w:val="clear" w:fill="FFFFFF"/>
              </w:rPr>
              <w:t>受托加工应征消费税的消费品所产生的消费税；</w:t>
            </w:r>
            <w:r>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shd w:val="clear" w:color="auto" w:fill="auto"/>
                <w:lang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t>（三）</w:t>
            </w:r>
            <w:r>
              <w:rPr>
                <w:rFonts w:hint="eastAsia" w:ascii="宋体" w:hAnsi="宋体" w:eastAsia="宋体" w:cs="宋体"/>
                <w:i w:val="0"/>
                <w:iCs w:val="0"/>
                <w:caps w:val="0"/>
                <w:color w:val="333333"/>
                <w:spacing w:val="0"/>
                <w:sz w:val="24"/>
                <w:szCs w:val="24"/>
                <w:shd w:val="clear" w:fill="FFFFFF"/>
              </w:rPr>
              <w:t>车辆购置税、</w:t>
            </w:r>
            <w:r>
              <w:rPr>
                <w:rFonts w:hint="eastAsia" w:ascii="宋体" w:hAnsi="宋体" w:eastAsia="宋体" w:cs="宋体"/>
                <w:b/>
                <w:bCs/>
                <w:i w:val="0"/>
                <w:iCs w:val="0"/>
                <w:caps w:val="0"/>
                <w:color w:val="333333"/>
                <w:spacing w:val="0"/>
                <w:sz w:val="24"/>
                <w:szCs w:val="24"/>
                <w:shd w:val="clear" w:fill="FFFFFF"/>
              </w:rPr>
              <w:t>车船税</w:t>
            </w:r>
            <w:r>
              <w:rPr>
                <w:rFonts w:hint="eastAsia" w:ascii="宋体" w:hAnsi="宋体" w:eastAsia="宋体" w:cs="宋体"/>
                <w:i w:val="0"/>
                <w:iCs w:val="0"/>
                <w:caps w:val="0"/>
                <w:color w:val="333333"/>
                <w:spacing w:val="0"/>
                <w:sz w:val="24"/>
                <w:szCs w:val="24"/>
                <w:shd w:val="clear" w:fill="FFFFFF"/>
              </w:rPr>
              <w:t>；</w:t>
            </w:r>
            <w:r>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shd w:val="clear" w:color="auto" w:fill="auto"/>
                <w:lang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t>（四）</w:t>
            </w:r>
            <w:r>
              <w:rPr>
                <w:rFonts w:hint="eastAsia" w:ascii="宋体" w:hAnsi="宋体" w:eastAsia="宋体" w:cs="宋体"/>
                <w:i w:val="0"/>
                <w:iCs w:val="0"/>
                <w:caps w:val="0"/>
                <w:color w:val="333333"/>
                <w:spacing w:val="0"/>
                <w:sz w:val="24"/>
                <w:szCs w:val="24"/>
                <w:shd w:val="clear" w:fill="FFFFFF"/>
              </w:rPr>
              <w:t>以委托方名义开具发票代委托方收取的款项。</w:t>
            </w:r>
          </w:p>
          <w:p w14:paraId="1296A13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shd w:val="clear" w:color="auto" w:fill="auto"/>
              </w:rPr>
              <w:t>【</w:t>
            </w:r>
            <w:r>
              <w:rPr>
                <w:rFonts w:hint="eastAsia" w:ascii="楷体" w:hAnsi="楷体" w:eastAsia="楷体" w:cs="楷体"/>
                <w:i w:val="0"/>
                <w:iCs w:val="0"/>
                <w:caps w:val="0"/>
                <w:color w:val="005C81"/>
                <w:spacing w:val="0"/>
                <w:sz w:val="19"/>
                <w:szCs w:val="19"/>
                <w:u w:val="none"/>
                <w:shd w:val="clear" w:color="auto" w:fill="auto"/>
              </w:rPr>
              <w:fldChar w:fldCharType="begin"/>
            </w:r>
            <w:r>
              <w:rPr>
                <w:rFonts w:hint="eastAsia" w:ascii="楷体" w:hAnsi="楷体" w:eastAsia="楷体" w:cs="楷体"/>
                <w:i w:val="0"/>
                <w:iCs w:val="0"/>
                <w:caps w:val="0"/>
                <w:color w:val="005C81"/>
                <w:spacing w:val="0"/>
                <w:sz w:val="19"/>
                <w:szCs w:val="19"/>
                <w:u w:val="none"/>
                <w:shd w:val="clear" w:color="auto" w:fill="auto"/>
              </w:rPr>
              <w:instrText xml:space="preserve"> HYPERLINK "https://www.ssfb86.com/index/News/detail/newsid/17850.html" </w:instrText>
            </w:r>
            <w:r>
              <w:rPr>
                <w:rFonts w:hint="eastAsia" w:ascii="楷体" w:hAnsi="楷体" w:eastAsia="楷体" w:cs="楷体"/>
                <w:i w:val="0"/>
                <w:iCs w:val="0"/>
                <w:caps w:val="0"/>
                <w:color w:val="005C81"/>
                <w:spacing w:val="0"/>
                <w:sz w:val="19"/>
                <w:szCs w:val="19"/>
                <w:u w:val="none"/>
                <w:shd w:val="clear" w:color="auto" w:fill="auto"/>
              </w:rPr>
              <w:fldChar w:fldCharType="separate"/>
            </w:r>
            <w:r>
              <w:rPr>
                <w:rStyle w:val="10"/>
                <w:rFonts w:hint="eastAsia" w:ascii="楷体" w:hAnsi="楷体" w:eastAsia="楷体" w:cs="楷体"/>
                <w:i w:val="0"/>
                <w:iCs w:val="0"/>
                <w:caps w:val="0"/>
                <w:spacing w:val="0"/>
                <w:sz w:val="19"/>
                <w:szCs w:val="19"/>
                <w:shd w:val="clear" w:color="auto" w:fill="auto"/>
              </w:rPr>
              <w:t>本条相关法规汇编</w:t>
            </w:r>
            <w:r>
              <w:rPr>
                <w:rFonts w:hint="eastAsia" w:ascii="楷体" w:hAnsi="楷体" w:eastAsia="楷体" w:cs="楷体"/>
                <w:i w:val="0"/>
                <w:iCs w:val="0"/>
                <w:caps w:val="0"/>
                <w:color w:val="005C81"/>
                <w:spacing w:val="0"/>
                <w:sz w:val="19"/>
                <w:szCs w:val="19"/>
                <w:u w:val="none"/>
                <w:shd w:val="clear" w:color="auto" w:fill="auto"/>
              </w:rPr>
              <w:fldChar w:fldCharType="end"/>
            </w:r>
            <w:r>
              <w:rPr>
                <w:rFonts w:hint="eastAsia" w:ascii="楷体" w:hAnsi="楷体" w:eastAsia="楷体" w:cs="楷体"/>
                <w:i w:val="0"/>
                <w:iCs w:val="0"/>
                <w:caps w:val="0"/>
                <w:color w:val="0070C0"/>
                <w:spacing w:val="0"/>
                <w:sz w:val="19"/>
                <w:szCs w:val="19"/>
                <w:shd w:val="clear" w:color="auto" w:fill="auto"/>
              </w:rPr>
              <w:t>】</w:t>
            </w:r>
          </w:p>
        </w:tc>
      </w:tr>
      <w:tr w14:paraId="55E11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5" w:hRule="atLeast"/>
        </w:trPr>
        <w:tc>
          <w:tcPr>
            <w:tcW w:w="3790" w:type="dxa"/>
            <w:vMerge w:val="continue"/>
            <w:shd w:val="clear" w:color="auto" w:fill="auto"/>
            <w:vAlign w:val="center"/>
          </w:tcPr>
          <w:p w14:paraId="7208FC83">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c>
          <w:tcPr>
            <w:tcW w:w="5775" w:type="dxa"/>
            <w:shd w:val="clear" w:color="auto" w:fill="auto"/>
            <w:vAlign w:val="center"/>
          </w:tcPr>
          <w:p w14:paraId="5BD99D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t>第十六条  </w:t>
            </w:r>
            <w:r>
              <w:rPr>
                <w:rFonts w:hint="eastAsia" w:ascii="宋体" w:hAnsi="宋体" w:eastAsia="宋体" w:cs="宋体"/>
                <w:i w:val="0"/>
                <w:iCs w:val="0"/>
                <w:caps w:val="0"/>
                <w:color w:val="333333"/>
                <w:spacing w:val="0"/>
                <w:sz w:val="24"/>
                <w:szCs w:val="24"/>
                <w:shd w:val="clear" w:fill="FFFFFF"/>
              </w:rPr>
              <w:t>纳税人采用销售额和增值税税额合并定价方法的，按照下列公式计算销售额：</w:t>
            </w:r>
          </w:p>
          <w:p w14:paraId="166E1D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一般计税方法的销售额＝含税销售额÷（1+税率）</w:t>
            </w:r>
          </w:p>
          <w:p w14:paraId="1FC4222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rPr>
              <w:t>简易计税方法的销售额＝含税销售额÷（1＋征收率）</w:t>
            </w:r>
          </w:p>
          <w:p w14:paraId="5F6B126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shd w:val="clear" w:color="auto" w:fill="auto"/>
              </w:rPr>
              <w:t>【</w:t>
            </w:r>
            <w:r>
              <w:rPr>
                <w:rFonts w:hint="eastAsia" w:ascii="楷体" w:hAnsi="楷体" w:eastAsia="楷体" w:cs="楷体"/>
                <w:i w:val="0"/>
                <w:iCs w:val="0"/>
                <w:caps w:val="0"/>
                <w:color w:val="005C81"/>
                <w:spacing w:val="0"/>
                <w:sz w:val="19"/>
                <w:szCs w:val="19"/>
                <w:u w:val="none"/>
                <w:shd w:val="clear" w:color="auto" w:fill="auto"/>
              </w:rPr>
              <w:fldChar w:fldCharType="begin"/>
            </w:r>
            <w:r>
              <w:rPr>
                <w:rFonts w:hint="eastAsia" w:ascii="楷体" w:hAnsi="楷体" w:eastAsia="楷体" w:cs="楷体"/>
                <w:i w:val="0"/>
                <w:iCs w:val="0"/>
                <w:caps w:val="0"/>
                <w:color w:val="005C81"/>
                <w:spacing w:val="0"/>
                <w:sz w:val="19"/>
                <w:szCs w:val="19"/>
                <w:u w:val="none"/>
                <w:shd w:val="clear" w:color="auto" w:fill="auto"/>
              </w:rPr>
              <w:instrText xml:space="preserve"> HYPERLINK "https://www.ssfb86.com/index/News/detail/newsid/17849.html" </w:instrText>
            </w:r>
            <w:r>
              <w:rPr>
                <w:rFonts w:hint="eastAsia" w:ascii="楷体" w:hAnsi="楷体" w:eastAsia="楷体" w:cs="楷体"/>
                <w:i w:val="0"/>
                <w:iCs w:val="0"/>
                <w:caps w:val="0"/>
                <w:color w:val="005C81"/>
                <w:spacing w:val="0"/>
                <w:sz w:val="19"/>
                <w:szCs w:val="19"/>
                <w:u w:val="none"/>
                <w:shd w:val="clear" w:color="auto" w:fill="auto"/>
              </w:rPr>
              <w:fldChar w:fldCharType="separate"/>
            </w:r>
            <w:r>
              <w:rPr>
                <w:rStyle w:val="10"/>
                <w:rFonts w:hint="eastAsia" w:ascii="楷体" w:hAnsi="楷体" w:eastAsia="楷体" w:cs="楷体"/>
                <w:i w:val="0"/>
                <w:iCs w:val="0"/>
                <w:caps w:val="0"/>
                <w:spacing w:val="0"/>
                <w:sz w:val="19"/>
                <w:szCs w:val="19"/>
                <w:shd w:val="clear" w:color="auto" w:fill="auto"/>
              </w:rPr>
              <w:t>本条相关法规汇编</w:t>
            </w:r>
            <w:r>
              <w:rPr>
                <w:rFonts w:hint="eastAsia" w:ascii="楷体" w:hAnsi="楷体" w:eastAsia="楷体" w:cs="楷体"/>
                <w:i w:val="0"/>
                <w:iCs w:val="0"/>
                <w:caps w:val="0"/>
                <w:color w:val="005C81"/>
                <w:spacing w:val="0"/>
                <w:sz w:val="19"/>
                <w:szCs w:val="19"/>
                <w:u w:val="none"/>
                <w:shd w:val="clear" w:color="auto" w:fill="auto"/>
              </w:rPr>
              <w:fldChar w:fldCharType="end"/>
            </w:r>
            <w:r>
              <w:rPr>
                <w:rFonts w:hint="eastAsia" w:ascii="楷体" w:hAnsi="楷体" w:eastAsia="楷体" w:cs="楷体"/>
                <w:i w:val="0"/>
                <w:iCs w:val="0"/>
                <w:caps w:val="0"/>
                <w:color w:val="0070C0"/>
                <w:spacing w:val="0"/>
                <w:sz w:val="19"/>
                <w:szCs w:val="19"/>
                <w:shd w:val="clear" w:color="auto" w:fill="auto"/>
              </w:rPr>
              <w:t>】</w:t>
            </w:r>
          </w:p>
        </w:tc>
      </w:tr>
      <w:tr w14:paraId="59C3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rPr>
        <w:tc>
          <w:tcPr>
            <w:tcW w:w="3790" w:type="dxa"/>
            <w:shd w:val="clear" w:color="auto" w:fill="auto"/>
            <w:vAlign w:val="center"/>
          </w:tcPr>
          <w:p w14:paraId="10CCEBA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c>
          <w:tcPr>
            <w:tcW w:w="5775" w:type="dxa"/>
            <w:shd w:val="clear" w:color="auto" w:fill="auto"/>
            <w:vAlign w:val="center"/>
          </w:tcPr>
          <w:p w14:paraId="656C978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第十三条   </w:t>
            </w:r>
            <w:r>
              <w:rPr>
                <w:rFonts w:hint="eastAsia" w:ascii="宋体" w:hAnsi="宋体" w:eastAsia="宋体" w:cs="宋体"/>
                <w:i w:val="0"/>
                <w:iCs w:val="0"/>
                <w:caps w:val="0"/>
                <w:color w:val="333333"/>
                <w:spacing w:val="0"/>
                <w:sz w:val="24"/>
                <w:szCs w:val="24"/>
                <w:shd w:val="clear" w:fill="FFFFFF"/>
              </w:rPr>
              <w:t>纳税人按照一般计税方法计算缴纳增值税的，因销售折让、中止或者退回而退还给购买方的增值税税额，应当从当期的销项税额中扣减；因销售折让、中止或者退回而收回的增值税税额，应当从当期的进项税额中扣减。</w:t>
            </w:r>
          </w:p>
          <w:p w14:paraId="72163BA6">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ascii="楷体" w:hAnsi="楷体" w:eastAsia="楷体" w:cs="楷体"/>
                <w:i w:val="0"/>
                <w:iCs w:val="0"/>
                <w:caps w:val="0"/>
                <w:color w:val="0070C0"/>
                <w:spacing w:val="0"/>
                <w:sz w:val="19"/>
                <w:szCs w:val="19"/>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t>本条相关法规汇编</w:t>
            </w:r>
            <w:r>
              <w:rPr>
                <w:rFonts w:hint="eastAsia" w:ascii="楷体" w:hAnsi="楷体" w:eastAsia="楷体" w:cs="楷体"/>
                <w:i w:val="0"/>
                <w:iCs w:val="0"/>
                <w:caps w:val="0"/>
                <w:color w:val="0070C0"/>
                <w:spacing w:val="0"/>
                <w:sz w:val="19"/>
                <w:szCs w:val="19"/>
              </w:rPr>
              <w:t>】</w:t>
            </w:r>
          </w:p>
        </w:tc>
      </w:tr>
      <w:tr w14:paraId="7F534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5" w:hRule="atLeast"/>
        </w:trPr>
        <w:tc>
          <w:tcPr>
            <w:tcW w:w="3790" w:type="dxa"/>
            <w:shd w:val="clear" w:color="auto" w:fill="auto"/>
            <w:vAlign w:val="center"/>
          </w:tcPr>
          <w:p w14:paraId="649B3107">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c>
          <w:tcPr>
            <w:tcW w:w="5775" w:type="dxa"/>
            <w:shd w:val="clear" w:color="auto" w:fill="auto"/>
            <w:vAlign w:val="center"/>
          </w:tcPr>
          <w:p w14:paraId="17B83626">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第十四条   </w:t>
            </w:r>
            <w:r>
              <w:rPr>
                <w:rFonts w:hint="eastAsia" w:ascii="宋体" w:hAnsi="宋体" w:eastAsia="宋体" w:cs="宋体"/>
                <w:i w:val="0"/>
                <w:iCs w:val="0"/>
                <w:caps w:val="0"/>
                <w:color w:val="333333"/>
                <w:spacing w:val="0"/>
                <w:sz w:val="24"/>
                <w:szCs w:val="24"/>
                <w:shd w:val="clear" w:fill="FFFFFF"/>
              </w:rPr>
              <w:t>纳税人按照简易计税方法计算缴纳增值税的，因销售折让、中止或者退回而退还给购买方的销售额，应当从当期销售额中扣减。扣减当期销售额后仍有多缴税款的，可以从以后的应纳税额中扣减或者按规定申请退还。</w:t>
            </w:r>
          </w:p>
          <w:p w14:paraId="621DFC22">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ascii="楷体" w:hAnsi="楷体" w:eastAsia="楷体" w:cs="楷体"/>
                <w:i w:val="0"/>
                <w:iCs w:val="0"/>
                <w:caps w:val="0"/>
                <w:color w:val="0070C0"/>
                <w:spacing w:val="0"/>
                <w:sz w:val="19"/>
                <w:szCs w:val="19"/>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"https://www.ssfb86.com/index/News/detail/newsid/17849.html" </w:instrText>
            </w:r>
            <w:r>
              <w:rPr>
                <w:rFonts w:hint="eastAsia" w:ascii="楷体" w:hAnsi="楷体" w:eastAsia="楷体" w:cs="楷体"/>
                <w:i w:val="0"/>
                <w:iCs w:val="0"/>
                <w:caps w:val="0"/>
                <w:color w:val="005C81"/>
                <w:spacing w:val="0"/>
                <w:sz w:val="19"/>
                <w:szCs w:val="19"/>
                <w:u w:val="none"/>
              </w:rPr>
              <w:fldChar w:fldCharType="separate"/>
            </w:r>
            <w:r>
              <w:rPr>
                <w:rStyle w:val="10"/>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0DFB9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70" w:hRule="atLeast"/>
        </w:trPr>
        <w:tc>
          <w:tcPr>
            <w:tcW w:w="3790" w:type="dxa"/>
            <w:shd w:val="clear" w:color="auto" w:fill="auto"/>
            <w:vAlign w:val="top"/>
          </w:tcPr>
          <w:p w14:paraId="69C19A2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第十八条 销售额以人民币计算。纳税人以人民币以外的货币结算销售额的，应当折合成人民币计算。</w:t>
            </w:r>
          </w:p>
          <w:p w14:paraId="780C9566">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"https://www.ssfb86.com/index/News/detail/newsid/17849.html"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center"/>
          </w:tcPr>
          <w:p w14:paraId="4A4C16B6">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第十七条  </w:t>
            </w:r>
            <w:r>
              <w:rPr>
                <w:rFonts w:hint="eastAsia" w:ascii="宋体" w:hAnsi="宋体" w:eastAsia="宋体" w:cs="宋体"/>
                <w:i w:val="0"/>
                <w:iCs w:val="0"/>
                <w:caps w:val="0"/>
                <w:color w:val="333333"/>
                <w:spacing w:val="0"/>
                <w:sz w:val="24"/>
                <w:szCs w:val="24"/>
                <w:shd w:val="clear" w:fill="FFFFFF"/>
              </w:rPr>
              <w:t>纳税人以人民币以外的货币结算销售额的，在折合成人民币计算时，折合率可以选择销售额发生的当日或者当月1日有效的人民币汇率中间价。纳税人确定折合率后，12个月内不得变更。</w:t>
            </w:r>
          </w:p>
          <w:p w14:paraId="2B3AB006">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"https://www.ssfb86.com/index/News/detail/newsid/17849.html"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r>
      <w:tr w14:paraId="2CA0D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22" w:hRule="atLeast"/>
        </w:trPr>
        <w:tc>
          <w:tcPr>
            <w:tcW w:w="3790" w:type="dxa"/>
            <w:shd w:val="clear" w:color="auto" w:fill="auto"/>
            <w:vAlign w:val="center"/>
          </w:tcPr>
          <w:p w14:paraId="199D1DA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第十九条 发生本法第五条规定的视同应税交易以及销售额为非货币形式的，纳税人应当按照市场价格确定销售额。</w:t>
            </w:r>
          </w:p>
          <w:p w14:paraId="54290676">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"https://www.ssfb86.com/index/News/detail/newsid/17849.html"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center"/>
          </w:tcPr>
          <w:p w14:paraId="17EA94F6">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0608C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34" w:hRule="atLeast"/>
        </w:trPr>
        <w:tc>
          <w:tcPr>
            <w:tcW w:w="3790" w:type="dxa"/>
            <w:vMerge w:val="restart"/>
            <w:shd w:val="clear" w:color="auto" w:fill="auto"/>
            <w:vAlign w:val="top"/>
          </w:tcPr>
          <w:p w14:paraId="4E48112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第二十条 销售额明显偏低或者偏高且无正当理由的，税务机关可以依照《中华人民共和国税收征收管理法》和有关行政法规的规定核定销售额。</w:t>
            </w:r>
          </w:p>
          <w:p w14:paraId="04EF75D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"https://www.ssfb86.com/index/News/detail/newsid/17853.html"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本条法规汇编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center"/>
          </w:tcPr>
          <w:p w14:paraId="4D5A5F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Style w:val="8"/>
                <w:rFonts w:hint="eastAsia" w:ascii="宋体" w:hAnsi="宋体" w:eastAsia="宋体" w:cs="宋体"/>
                <w:i w:val="0"/>
                <w:iCs w:val="0"/>
                <w:caps w:val="0"/>
                <w:color w:val="333333"/>
                <w:spacing w:val="0"/>
                <w:sz w:val="24"/>
                <w:szCs w:val="24"/>
                <w:shd w:val="clear" w:fill="FFFFFF"/>
              </w:rPr>
              <w:t>第五十三条　</w:t>
            </w:r>
            <w:r>
              <w:rPr>
                <w:rFonts w:hint="eastAsia" w:ascii="宋体" w:hAnsi="宋体" w:eastAsia="宋体" w:cs="宋体"/>
                <w:i w:val="0"/>
                <w:iCs w:val="0"/>
                <w:caps w:val="0"/>
                <w:color w:val="333333"/>
                <w:spacing w:val="0"/>
                <w:sz w:val="24"/>
                <w:szCs w:val="24"/>
                <w:shd w:val="clear" w:fill="FFFFFF"/>
              </w:rPr>
              <w:t>纳税人实施不具有合理商业目的的安排而减少、免除、推迟缴纳增值税税款，或者提前退税、多退税款的，税务机关可以依照《中华人民共和国税收征收管理法》和有关行政法规的规定予以调整。</w:t>
            </w:r>
          </w:p>
          <w:p w14:paraId="2E46254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pPr>
          </w:p>
          <w:p w14:paraId="2E3FAA27">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ascii="楷体" w:hAnsi="楷体" w:eastAsia="楷体" w:cs="楷体"/>
                <w:i w:val="0"/>
                <w:iCs w:val="0"/>
                <w:caps w:val="0"/>
                <w:color w:val="0070C0"/>
                <w:spacing w:val="0"/>
                <w:sz w:val="19"/>
                <w:szCs w:val="19"/>
              </w:rPr>
            </w:pPr>
            <w:r>
              <w:rPr>
                <w:rFonts w:ascii="楷体" w:hAnsi="楷体" w:eastAsia="楷体" w:cs="楷体"/>
                <w:i w:val="0"/>
                <w:iCs w:val="0"/>
                <w:caps w:val="0"/>
                <w:color w:val="0070C0"/>
                <w:spacing w:val="0"/>
                <w:sz w:val="19"/>
                <w:szCs w:val="19"/>
                <w:shd w:val="clear" w:color="auto" w:fill="auto"/>
              </w:rPr>
              <w:t>【</w:t>
            </w:r>
            <w:r>
              <w:rPr>
                <w:rFonts w:hint="eastAsia" w:ascii="楷体" w:hAnsi="楷体" w:eastAsia="楷体" w:cs="楷体"/>
                <w:i w:val="0"/>
                <w:iCs w:val="0"/>
                <w:caps w:val="0"/>
                <w:color w:val="005C81"/>
                <w:spacing w:val="0"/>
                <w:sz w:val="19"/>
                <w:szCs w:val="19"/>
                <w:u w:val="none"/>
                <w:shd w:val="clear" w:color="auto" w:fill="auto"/>
              </w:rPr>
              <w:fldChar w:fldCharType="begin"/>
            </w:r>
            <w:r>
              <w:rPr>
                <w:rFonts w:hint="eastAsia" w:ascii="楷体" w:hAnsi="楷体" w:eastAsia="楷体" w:cs="楷体"/>
                <w:i w:val="0"/>
                <w:iCs w:val="0"/>
                <w:caps w:val="0"/>
                <w:color w:val="005C81"/>
                <w:spacing w:val="0"/>
                <w:sz w:val="19"/>
                <w:szCs w:val="19"/>
                <w:u w:val="none"/>
                <w:shd w:val="clear" w:color="auto" w:fill="auto"/>
              </w:rPr>
              <w:instrText xml:space="preserve"> HYPERLINK "https://www.ssfb86.com/index/News/detail/newsid/17955.html" </w:instrText>
            </w:r>
            <w:r>
              <w:rPr>
                <w:rFonts w:hint="eastAsia" w:ascii="楷体" w:hAnsi="楷体" w:eastAsia="楷体" w:cs="楷体"/>
                <w:i w:val="0"/>
                <w:iCs w:val="0"/>
                <w:caps w:val="0"/>
                <w:color w:val="005C81"/>
                <w:spacing w:val="0"/>
                <w:sz w:val="19"/>
                <w:szCs w:val="19"/>
                <w:u w:val="none"/>
                <w:shd w:val="clear" w:color="auto" w:fill="auto"/>
              </w:rPr>
              <w:fldChar w:fldCharType="separate"/>
            </w:r>
            <w:r>
              <w:rPr>
                <w:rStyle w:val="10"/>
                <w:rFonts w:hint="eastAsia" w:ascii="楷体" w:hAnsi="楷体" w:eastAsia="楷体" w:cs="楷体"/>
                <w:i w:val="0"/>
                <w:iCs w:val="0"/>
                <w:caps w:val="0"/>
                <w:spacing w:val="0"/>
                <w:sz w:val="19"/>
                <w:szCs w:val="19"/>
                <w:shd w:val="clear" w:color="auto" w:fill="auto"/>
              </w:rPr>
              <w:t>本条相关法规汇编</w:t>
            </w:r>
            <w:r>
              <w:rPr>
                <w:rFonts w:hint="eastAsia" w:ascii="楷体" w:hAnsi="楷体" w:eastAsia="楷体" w:cs="楷体"/>
                <w:i w:val="0"/>
                <w:iCs w:val="0"/>
                <w:caps w:val="0"/>
                <w:color w:val="005C81"/>
                <w:spacing w:val="0"/>
                <w:sz w:val="19"/>
                <w:szCs w:val="19"/>
                <w:u w:val="none"/>
                <w:shd w:val="clear" w:color="auto" w:fill="auto"/>
              </w:rPr>
              <w:fldChar w:fldCharType="end"/>
            </w:r>
            <w:r>
              <w:rPr>
                <w:rFonts w:hint="eastAsia" w:ascii="楷体" w:hAnsi="楷体" w:eastAsia="楷体" w:cs="楷体"/>
                <w:i w:val="0"/>
                <w:iCs w:val="0"/>
                <w:caps w:val="0"/>
                <w:color w:val="0070C0"/>
                <w:spacing w:val="0"/>
                <w:sz w:val="19"/>
                <w:szCs w:val="19"/>
                <w:shd w:val="clear" w:color="auto" w:fill="auto"/>
              </w:rPr>
              <w:t>】</w:t>
            </w:r>
          </w:p>
        </w:tc>
      </w:tr>
      <w:tr w14:paraId="1C252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40" w:hRule="atLeast"/>
        </w:trPr>
        <w:tc>
          <w:tcPr>
            <w:tcW w:w="3790" w:type="dxa"/>
            <w:vMerge w:val="continue"/>
            <w:shd w:val="clear" w:color="auto" w:fill="auto"/>
            <w:vAlign w:val="top"/>
          </w:tcPr>
          <w:p w14:paraId="4F6AF81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tc>
        <w:tc>
          <w:tcPr>
            <w:tcW w:w="5775" w:type="dxa"/>
            <w:shd w:val="clear" w:color="auto" w:fill="auto"/>
            <w:vAlign w:val="center"/>
          </w:tcPr>
          <w:p w14:paraId="44EEEE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第十八条 </w:t>
            </w:r>
            <w:r>
              <w:rPr>
                <w:rFonts w:hint="eastAsia" w:asciiTheme="minorEastAsia" w:hAnsiTheme="minorEastAsia" w:eastAsiaTheme="minorEastAsia" w:cstheme="minorEastAsia"/>
                <w:b w:val="0"/>
                <w:bCs w:val="0"/>
                <w:color w:val="000000" w:themeColor="text1"/>
                <w:kern w:val="0"/>
                <w:sz w:val="24"/>
                <w:szCs w:val="24"/>
                <w:lang w:eastAsia="zh-CN" w:bidi="ar"/>
                <w14:textFill>
                  <w14:solidFill>
                    <w14:schemeClr w14:val="tx1"/>
                  </w14:solidFill>
                </w14:textFill>
              </w:rPr>
              <w:t xml:space="preserve">  </w:t>
            </w:r>
            <w:r>
              <w:rPr>
                <w:rFonts w:hint="eastAsia" w:ascii="宋体" w:hAnsi="宋体" w:eastAsia="宋体" w:cs="宋体"/>
                <w:i w:val="0"/>
                <w:iCs w:val="0"/>
                <w:caps w:val="0"/>
                <w:color w:val="333333"/>
                <w:spacing w:val="0"/>
                <w:sz w:val="24"/>
                <w:szCs w:val="24"/>
                <w:shd w:val="clear" w:fill="FFFFFF"/>
              </w:rPr>
              <w:t>纳税人发生增值税法第二十条规定情形的，税务机关可以按顺序依照下列方法核定销售额：</w:t>
            </w:r>
          </w:p>
          <w:p w14:paraId="25A9D8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（一）按照纳税人最近时期销售同类货物、服务、无形资产或者不动产的平均价格确定；</w:t>
            </w:r>
          </w:p>
          <w:p w14:paraId="6A01F6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（二）按照其他纳税人最近时期销售同类货物、服务、无形资产或者不动产的平均价格确定；</w:t>
            </w:r>
          </w:p>
          <w:p w14:paraId="2EECF5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（三）按照组成计税价格确定。组成计税价格的公式为：</w:t>
            </w:r>
          </w:p>
          <w:p w14:paraId="25E1A5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组成计税价格=成本×（1+成本利润率）+消费税税额</w:t>
            </w:r>
          </w:p>
          <w:p w14:paraId="4D4F92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rPr>
              <w:t>公式中成本利润率为10%，国务院税务主管部门可以根据行业成本利润</w:t>
            </w:r>
            <w:r>
              <w:rPr>
                <w:rFonts w:hint="eastAsia" w:ascii="宋体" w:hAnsi="宋体" w:eastAsia="宋体" w:cs="宋体"/>
                <w:b/>
                <w:bCs/>
                <w:i w:val="0"/>
                <w:iCs w:val="0"/>
                <w:caps w:val="0"/>
                <w:color w:val="333333"/>
                <w:spacing w:val="0"/>
                <w:sz w:val="24"/>
                <w:szCs w:val="24"/>
                <w:shd w:val="clear" w:fill="FFFFFF"/>
              </w:rPr>
              <w:t>实际情况</w:t>
            </w:r>
            <w:r>
              <w:rPr>
                <w:rFonts w:hint="eastAsia" w:ascii="宋体" w:hAnsi="宋体" w:eastAsia="宋体" w:cs="宋体"/>
                <w:i w:val="0"/>
                <w:iCs w:val="0"/>
                <w:caps w:val="0"/>
                <w:color w:val="333333"/>
                <w:spacing w:val="0"/>
                <w:sz w:val="24"/>
                <w:szCs w:val="24"/>
                <w:shd w:val="clear" w:fill="FFFFFF"/>
              </w:rPr>
              <w:t>调整成本利润率。</w:t>
            </w:r>
          </w:p>
          <w:p w14:paraId="711E384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"https://www.ssfb86.com/index/News/detail/newsid/17853.html" </w:instrText>
            </w:r>
            <w:r>
              <w:rPr>
                <w:rFonts w:hint="eastAsia" w:ascii="楷体" w:hAnsi="楷体" w:eastAsia="楷体" w:cs="楷体"/>
                <w:i w:val="0"/>
                <w:iCs w:val="0"/>
                <w:caps w:val="0"/>
                <w:color w:val="005C81"/>
                <w:spacing w:val="0"/>
                <w:sz w:val="19"/>
                <w:szCs w:val="19"/>
                <w:u w:val="none"/>
              </w:rPr>
              <w:fldChar w:fldCharType="separate"/>
            </w:r>
            <w:r>
              <w:rPr>
                <w:rStyle w:val="10"/>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75E1F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84" w:hRule="atLeast"/>
        </w:trPr>
        <w:tc>
          <w:tcPr>
            <w:tcW w:w="3790" w:type="dxa"/>
            <w:shd w:val="clear" w:color="auto" w:fill="auto"/>
            <w:vAlign w:val="center"/>
          </w:tcPr>
          <w:p w14:paraId="04BCBFB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第二十一条 当期进项税额大于当期销项税额的部分，纳税人可以按照国务院的规定选择结转下期继续抵扣或者申请退还。</w:t>
            </w:r>
          </w:p>
          <w:p w14:paraId="3AAF430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"https://www.ssfb86.com/index/News/detail/newsid/17879.html"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restart"/>
            <w:shd w:val="clear" w:color="auto" w:fill="auto"/>
            <w:vAlign w:val="center"/>
          </w:tcPr>
          <w:p w14:paraId="54AD8C6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60177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5" w:hRule="atLeast"/>
        </w:trPr>
        <w:tc>
          <w:tcPr>
            <w:tcW w:w="3790" w:type="dxa"/>
            <w:shd w:val="clear" w:color="auto" w:fill="auto"/>
            <w:vAlign w:val="center"/>
          </w:tcPr>
          <w:p w14:paraId="36A81903">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第二十二条 纳税人的下列进项税额不得从其销项税额中抵扣：</w:t>
            </w:r>
          </w:p>
        </w:tc>
        <w:tc>
          <w:tcPr>
            <w:tcW w:w="5775" w:type="dxa"/>
            <w:vMerge w:val="continue"/>
            <w:shd w:val="clear" w:color="auto" w:fill="auto"/>
            <w:vAlign w:val="center"/>
          </w:tcPr>
          <w:p w14:paraId="693FAF8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56EAA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3790" w:type="dxa"/>
            <w:shd w:val="clear" w:color="auto" w:fill="auto"/>
            <w:vAlign w:val="center"/>
          </w:tcPr>
          <w:p w14:paraId="39E1E61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（一）适用简易计税方法计税项目对应的进项税额；</w:t>
            </w:r>
          </w:p>
        </w:tc>
        <w:tc>
          <w:tcPr>
            <w:tcW w:w="5775" w:type="dxa"/>
            <w:vMerge w:val="continue"/>
            <w:shd w:val="clear" w:color="auto" w:fill="auto"/>
            <w:vAlign w:val="center"/>
          </w:tcPr>
          <w:p w14:paraId="7A17B473">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14419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3790" w:type="dxa"/>
            <w:shd w:val="clear" w:color="auto" w:fill="auto"/>
            <w:vAlign w:val="center"/>
          </w:tcPr>
          <w:p w14:paraId="718D47A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（二）免征增值税项目对应的进项税额；</w:t>
            </w:r>
          </w:p>
        </w:tc>
        <w:tc>
          <w:tcPr>
            <w:tcW w:w="5775" w:type="dxa"/>
            <w:vMerge w:val="continue"/>
            <w:shd w:val="clear" w:color="auto" w:fill="auto"/>
            <w:vAlign w:val="center"/>
          </w:tcPr>
          <w:p w14:paraId="2058B6D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32107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90" w:hRule="atLeast"/>
        </w:trPr>
        <w:tc>
          <w:tcPr>
            <w:tcW w:w="3790" w:type="dxa"/>
            <w:shd w:val="clear" w:color="auto" w:fill="auto"/>
            <w:vAlign w:val="top"/>
          </w:tcPr>
          <w:p w14:paraId="7672CD03">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（三）非正常损失项目对应的进项税额；</w:t>
            </w:r>
          </w:p>
        </w:tc>
        <w:tc>
          <w:tcPr>
            <w:tcW w:w="5775" w:type="dxa"/>
            <w:shd w:val="clear" w:color="auto" w:fill="auto"/>
            <w:vAlign w:val="center"/>
          </w:tcPr>
          <w:p w14:paraId="4BE385F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第十九条   </w:t>
            </w:r>
            <w:r>
              <w:rPr>
                <w:rFonts w:hint="eastAsia" w:ascii="宋体" w:hAnsi="宋体" w:eastAsia="宋体" w:cs="宋体"/>
                <w:i w:val="0"/>
                <w:iCs w:val="0"/>
                <w:caps w:val="0"/>
                <w:color w:val="333333"/>
                <w:spacing w:val="0"/>
                <w:sz w:val="24"/>
                <w:szCs w:val="24"/>
                <w:shd w:val="clear" w:fill="FFFFFF"/>
              </w:rPr>
              <w:t>增值税法第二十二条第三项所称非正常损失，是指因管理不善造成货物被盗、丢失、霉烂变质，以及因违反法律法规造成货物或者不动产被依法没收、销毁、拆除等情形。</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lang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增值税法第二十二条第三项所称非正常损失项目包括以下情形：</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w:t>
            </w:r>
            <w:r>
              <w:rPr>
                <w:rFonts w:hint="eastAsia" w:asciiTheme="minorEastAsia" w:hAnsiTheme="minorEastAsia" w:eastAsiaTheme="minorEastAsia" w:cstheme="minorEastAsia"/>
                <w:b w:val="0"/>
                <w:bCs w:val="0"/>
                <w:color w:val="000000" w:themeColor="text1"/>
                <w:kern w:val="0"/>
                <w:sz w:val="24"/>
                <w:szCs w:val="24"/>
                <w:lang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（一）</w:t>
            </w:r>
            <w:r>
              <w:rPr>
                <w:rFonts w:hint="eastAsia" w:ascii="宋体" w:hAnsi="宋体" w:eastAsia="宋体" w:cs="宋体"/>
                <w:i w:val="0"/>
                <w:iCs w:val="0"/>
                <w:caps w:val="0"/>
                <w:color w:val="333333"/>
                <w:spacing w:val="0"/>
                <w:sz w:val="24"/>
                <w:szCs w:val="24"/>
                <w:shd w:val="clear" w:fill="FFFFFF"/>
              </w:rPr>
              <w:t>非正常损失的购进货物，以及与之相关的加工修理修配服务和交通运输服务；</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lang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（二）</w:t>
            </w:r>
            <w:r>
              <w:rPr>
                <w:rFonts w:hint="eastAsia" w:ascii="宋体" w:hAnsi="宋体" w:eastAsia="宋体" w:cs="宋体"/>
                <w:i w:val="0"/>
                <w:iCs w:val="0"/>
                <w:caps w:val="0"/>
                <w:color w:val="333333"/>
                <w:spacing w:val="0"/>
                <w:sz w:val="24"/>
                <w:szCs w:val="24"/>
                <w:shd w:val="clear" w:fill="FFFFFF"/>
              </w:rPr>
              <w:t>非正常损失的在产品、产成品所耗用的购进货物（不包括固定资产）、加工修理修配服务和交通运输服务；</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lang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（三）</w:t>
            </w:r>
            <w:r>
              <w:rPr>
                <w:rFonts w:hint="eastAsia" w:ascii="宋体" w:hAnsi="宋体" w:eastAsia="宋体" w:cs="宋体"/>
                <w:i w:val="0"/>
                <w:iCs w:val="0"/>
                <w:caps w:val="0"/>
                <w:color w:val="333333"/>
                <w:spacing w:val="0"/>
                <w:sz w:val="24"/>
                <w:szCs w:val="24"/>
                <w:shd w:val="clear" w:fill="FFFFFF"/>
              </w:rPr>
              <w:t>非正常损失的不动产，以及该不动产所耗用的购进货物和建筑服务；</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lang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（四）</w:t>
            </w:r>
            <w:r>
              <w:rPr>
                <w:rFonts w:hint="eastAsia" w:ascii="宋体" w:hAnsi="宋体" w:eastAsia="宋体" w:cs="宋体"/>
                <w:i w:val="0"/>
                <w:iCs w:val="0"/>
                <w:caps w:val="0"/>
                <w:color w:val="333333"/>
                <w:spacing w:val="0"/>
                <w:sz w:val="24"/>
                <w:szCs w:val="24"/>
                <w:shd w:val="clear" w:fill="FFFFFF"/>
              </w:rPr>
              <w:t>非正常损失的不动产在建工程所耗用的购进货物和建筑服务。不动产在建工程包括纳税人新建、改建、扩建、修缮、装饰不动产。</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w:t>
            </w:r>
            <w:r>
              <w:rPr>
                <w:rFonts w:hint="eastAsia" w:asciiTheme="minorEastAsia" w:hAnsiTheme="minorEastAsia" w:eastAsiaTheme="minorEastAsia" w:cstheme="minorEastAsia"/>
                <w:b w:val="0"/>
                <w:bCs w:val="0"/>
                <w:color w:val="000000" w:themeColor="text1"/>
                <w:kern w:val="0"/>
                <w:sz w:val="24"/>
                <w:szCs w:val="24"/>
                <w:lang w:eastAsia="zh-CN" w:bidi="ar"/>
                <w14:textFill>
                  <w14:solidFill>
                    <w14:schemeClr w14:val="tx1"/>
                  </w14:solidFill>
                </w14:textFill>
              </w:rPr>
              <w:t xml:space="preserve">   </w:t>
            </w:r>
            <w:r>
              <w:rPr>
                <w:rFonts w:hint="eastAsia" w:ascii="宋体" w:hAnsi="宋体" w:eastAsia="宋体" w:cs="宋体"/>
                <w:i w:val="0"/>
                <w:iCs w:val="0"/>
                <w:caps w:val="0"/>
                <w:color w:val="333333"/>
                <w:spacing w:val="0"/>
                <w:sz w:val="24"/>
                <w:szCs w:val="24"/>
                <w:shd w:val="clear" w:fill="FFFFFF"/>
              </w:rPr>
              <w:t>本条第二款第三项、第四项所称货物，是指构成不动产实体的材料和设备，包括建筑装饰材料和给排水、采暖、卫生、通风、照明、通讯、</w:t>
            </w:r>
            <w:r>
              <w:rPr>
                <w:rFonts w:hint="eastAsia" w:ascii="宋体" w:hAnsi="宋体" w:eastAsia="宋体" w:cs="宋体"/>
                <w:b/>
                <w:bCs/>
                <w:i w:val="0"/>
                <w:iCs w:val="0"/>
                <w:caps w:val="0"/>
                <w:color w:val="333333"/>
                <w:spacing w:val="0"/>
                <w:sz w:val="24"/>
                <w:szCs w:val="24"/>
                <w:shd w:val="clear" w:fill="FFFFFF"/>
              </w:rPr>
              <w:t>燃气</w:t>
            </w:r>
            <w:r>
              <w:rPr>
                <w:rFonts w:hint="eastAsia" w:ascii="宋体" w:hAnsi="宋体" w:eastAsia="宋体" w:cs="宋体"/>
                <w:i w:val="0"/>
                <w:iCs w:val="0"/>
                <w:caps w:val="0"/>
                <w:color w:val="333333"/>
                <w:spacing w:val="0"/>
                <w:sz w:val="24"/>
                <w:szCs w:val="24"/>
                <w:shd w:val="clear" w:fill="FFFFFF"/>
              </w:rPr>
              <w:t>、消防、中央空调、电梯、电气、</w:t>
            </w:r>
            <w:r>
              <w:rPr>
                <w:rFonts w:hint="eastAsia" w:ascii="宋体" w:hAnsi="宋体" w:eastAsia="宋体" w:cs="宋体"/>
                <w:b/>
                <w:bCs/>
                <w:i w:val="0"/>
                <w:iCs w:val="0"/>
                <w:caps w:val="0"/>
                <w:color w:val="333333"/>
                <w:spacing w:val="0"/>
                <w:sz w:val="24"/>
                <w:szCs w:val="24"/>
                <w:highlight w:val="yellow"/>
                <w:shd w:val="clear" w:fill="FFFFFF"/>
              </w:rPr>
              <w:t>光伏发电</w:t>
            </w:r>
            <w:r>
              <w:rPr>
                <w:rFonts w:hint="eastAsia" w:ascii="宋体" w:hAnsi="宋体" w:eastAsia="宋体" w:cs="宋体"/>
                <w:b/>
                <w:bCs/>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rPr>
              <w:t>智能化楼宇设备及配套设施等。</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w:t>
            </w:r>
            <w:r>
              <w:rPr>
                <w:rFonts w:hint="eastAsia" w:asciiTheme="minorEastAsia" w:hAnsiTheme="minorEastAsia" w:eastAsiaTheme="minorEastAsia" w:cstheme="minorEastAsia"/>
                <w:b w:val="0"/>
                <w:bCs w:val="0"/>
                <w:color w:val="000000" w:themeColor="text1"/>
                <w:kern w:val="0"/>
                <w:sz w:val="24"/>
                <w:szCs w:val="24"/>
                <w:lang w:eastAsia="zh-CN" w:bidi="ar"/>
                <w14:textFill>
                  <w14:solidFill>
                    <w14:schemeClr w14:val="tx1"/>
                  </w14:solidFill>
                </w14:textFill>
              </w:rPr>
              <w:t xml:space="preserve">   </w:t>
            </w:r>
            <w:r>
              <w:rPr>
                <w:rFonts w:hint="eastAsia" w:ascii="宋体" w:hAnsi="宋体" w:eastAsia="宋体" w:cs="宋体"/>
                <w:i w:val="0"/>
                <w:iCs w:val="0"/>
                <w:caps w:val="0"/>
                <w:color w:val="333333"/>
                <w:spacing w:val="0"/>
                <w:sz w:val="24"/>
                <w:szCs w:val="24"/>
                <w:shd w:val="clear" w:fill="FFFFFF"/>
              </w:rPr>
              <w:t>本条例所称固定资产，是指使用期限超过12个月的机器、机械、运输工具以及其他与生产经营相关的设备、工具、器具等。</w:t>
            </w:r>
          </w:p>
          <w:p w14:paraId="1E9E1EA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"https://www.ssfb86.com/index/News/detail/newsid/17868.html" </w:instrText>
            </w:r>
            <w:r>
              <w:rPr>
                <w:rFonts w:hint="eastAsia" w:ascii="楷体" w:hAnsi="楷体" w:eastAsia="楷体" w:cs="楷体"/>
                <w:i w:val="0"/>
                <w:iCs w:val="0"/>
                <w:caps w:val="0"/>
                <w:color w:val="005C81"/>
                <w:spacing w:val="0"/>
                <w:sz w:val="19"/>
                <w:szCs w:val="19"/>
                <w:u w:val="none"/>
              </w:rPr>
              <w:fldChar w:fldCharType="separate"/>
            </w:r>
            <w:r>
              <w:rPr>
                <w:rStyle w:val="10"/>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0B6AA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5" w:hRule="atLeast"/>
        </w:trPr>
        <w:tc>
          <w:tcPr>
            <w:tcW w:w="3790" w:type="dxa"/>
            <w:shd w:val="clear" w:color="auto" w:fill="auto"/>
            <w:vAlign w:val="top"/>
          </w:tcPr>
          <w:p w14:paraId="18ECD7D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（四）购进并用于集体福利或者个人消费的货物、服务、无形资产、不动产对应的进项税额；</w:t>
            </w:r>
          </w:p>
        </w:tc>
        <w:tc>
          <w:tcPr>
            <w:tcW w:w="5775" w:type="dxa"/>
            <w:shd w:val="clear" w:color="auto" w:fill="auto"/>
            <w:vAlign w:val="top"/>
          </w:tcPr>
          <w:p w14:paraId="5BE75D0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Style w:val="8"/>
                <w:rFonts w:hint="eastAsia" w:ascii="宋体" w:hAnsi="宋体" w:eastAsia="宋体" w:cs="宋体"/>
                <w:i w:val="0"/>
                <w:iCs w:val="0"/>
                <w:caps w:val="0"/>
                <w:color w:val="333333"/>
                <w:spacing w:val="0"/>
                <w:sz w:val="24"/>
                <w:szCs w:val="24"/>
                <w:shd w:val="clear" w:fill="FFFFFF"/>
              </w:rPr>
              <w:t>第二十条　</w:t>
            </w:r>
            <w:r>
              <w:rPr>
                <w:rFonts w:hint="eastAsia" w:ascii="宋体" w:hAnsi="宋体" w:eastAsia="宋体" w:cs="宋体"/>
                <w:i w:val="0"/>
                <w:iCs w:val="0"/>
                <w:caps w:val="0"/>
                <w:color w:val="333333"/>
                <w:spacing w:val="0"/>
                <w:sz w:val="24"/>
                <w:szCs w:val="24"/>
                <w:shd w:val="clear" w:fill="FFFFFF"/>
              </w:rPr>
              <w:t>纳税人的交际应酬消费属于增值税法所称个人消费。</w:t>
            </w:r>
          </w:p>
          <w:p w14:paraId="6F43195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"https://www.ssfb86.com/index/News/detail/newsid/17868.html" </w:instrText>
            </w:r>
            <w:r>
              <w:rPr>
                <w:rFonts w:hint="eastAsia" w:ascii="楷体" w:hAnsi="楷体" w:eastAsia="楷体" w:cs="楷体"/>
                <w:i w:val="0"/>
                <w:iCs w:val="0"/>
                <w:caps w:val="0"/>
                <w:color w:val="005C81"/>
                <w:spacing w:val="0"/>
                <w:sz w:val="19"/>
                <w:szCs w:val="19"/>
                <w:u w:val="none"/>
              </w:rPr>
              <w:fldChar w:fldCharType="separate"/>
            </w:r>
            <w:r>
              <w:rPr>
                <w:rStyle w:val="10"/>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2CCA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5" w:hRule="atLeast"/>
        </w:trPr>
        <w:tc>
          <w:tcPr>
            <w:tcW w:w="3790" w:type="dxa"/>
            <w:shd w:val="clear" w:color="auto" w:fill="auto"/>
            <w:vAlign w:val="top"/>
          </w:tcPr>
          <w:p w14:paraId="72470DF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（五）购进并直接用于消费的餐饮服务、居民日常服务和娱乐服务对应的进项税额；</w:t>
            </w:r>
          </w:p>
        </w:tc>
        <w:tc>
          <w:tcPr>
            <w:tcW w:w="5775" w:type="dxa"/>
            <w:shd w:val="clear" w:color="auto" w:fill="auto"/>
            <w:vAlign w:val="top"/>
          </w:tcPr>
          <w:p w14:paraId="3060A26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1E1F3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9" w:hRule="atLeast"/>
        </w:trPr>
        <w:tc>
          <w:tcPr>
            <w:tcW w:w="3790" w:type="dxa"/>
            <w:shd w:val="clear" w:color="auto" w:fill="auto"/>
            <w:vAlign w:val="top"/>
          </w:tcPr>
          <w:p w14:paraId="342DB4F7">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（六）国务院规定的其他进项税额。</w:t>
            </w:r>
          </w:p>
          <w:p w14:paraId="25B8411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"https://www.ssfb86.com/index/News/detail/newsid/17868.html"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1C629C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第二十</w:t>
            </w:r>
            <w:r>
              <w:rPr>
                <w:rFonts w:hint="eastAsia" w:asciiTheme="minorEastAsia" w:hAnsiTheme="minorEastAsia" w:cstheme="minorEastAsia"/>
                <w:b w:val="0"/>
                <w:bCs w:val="0"/>
                <w:color w:val="000000" w:themeColor="text1"/>
                <w:kern w:val="0"/>
                <w:sz w:val="24"/>
                <w:szCs w:val="24"/>
                <w:lang w:val="en-US" w:eastAsia="zh-CN" w:bidi="ar"/>
                <w14:textFill>
                  <w14:solidFill>
                    <w14:schemeClr w14:val="tx1"/>
                  </w14:solidFill>
                </w14:textFill>
              </w:rPr>
              <w:t>一</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条  </w:t>
            </w:r>
            <w:r>
              <w:rPr>
                <w:rFonts w:hint="eastAsia" w:ascii="宋体" w:hAnsi="宋体" w:eastAsia="宋体" w:cs="宋体"/>
                <w:i w:val="0"/>
                <w:iCs w:val="0"/>
                <w:caps w:val="0"/>
                <w:color w:val="333333"/>
                <w:spacing w:val="0"/>
                <w:sz w:val="24"/>
                <w:szCs w:val="24"/>
                <w:shd w:val="clear" w:fill="FFFFFF"/>
              </w:rPr>
              <w:t>纳税人购进贷款服务的利息支出，及其向贷款方支付的与该贷款服务直接相关的投融资顾问费、手续费、咨询费等费用支出，对应的进项税额暂不得从销项税额中抵扣。</w:t>
            </w:r>
          </w:p>
          <w:p w14:paraId="71082E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rPr>
              <w:t>国务院财政、税务主管部门应当适时研究和评估购进贷款服务利息及相关费用支出对应的进项税额不得从销项税额中抵扣政策执行效果。</w:t>
            </w:r>
          </w:p>
          <w:p w14:paraId="40D234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"https://www.ssfb86.com/index/News/detail/newsid/17868.html" </w:instrText>
            </w:r>
            <w:r>
              <w:rPr>
                <w:rFonts w:hint="eastAsia" w:ascii="楷体" w:hAnsi="楷体" w:eastAsia="楷体" w:cs="楷体"/>
                <w:i w:val="0"/>
                <w:iCs w:val="0"/>
                <w:caps w:val="0"/>
                <w:color w:val="005C81"/>
                <w:spacing w:val="0"/>
                <w:sz w:val="19"/>
                <w:szCs w:val="19"/>
                <w:u w:val="none"/>
              </w:rPr>
              <w:fldChar w:fldCharType="separate"/>
            </w:r>
            <w:r>
              <w:rPr>
                <w:rStyle w:val="10"/>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default" w:asciiTheme="minorEastAsia" w:hAnsiTheme="minorEastAsia" w:cstheme="minorEastAsia"/>
                <w:b w:val="0"/>
                <w:bCs w:val="0"/>
                <w:color w:val="000000" w:themeColor="text1"/>
                <w:kern w:val="0"/>
                <w:sz w:val="24"/>
                <w:szCs w:val="24"/>
                <w:lang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第二十二条   </w:t>
            </w:r>
            <w:r>
              <w:rPr>
                <w:rFonts w:hint="eastAsia" w:ascii="宋体" w:hAnsi="宋体" w:eastAsia="宋体" w:cs="宋体"/>
                <w:i w:val="0"/>
                <w:iCs w:val="0"/>
                <w:caps w:val="0"/>
                <w:color w:val="333333"/>
                <w:spacing w:val="0"/>
                <w:sz w:val="24"/>
                <w:szCs w:val="24"/>
                <w:shd w:val="clear" w:fill="FFFFFF"/>
              </w:rPr>
              <w:t>纳税人购进货物、服务、无形资产、不动产，用于</w:t>
            </w:r>
            <w:r>
              <w:rPr>
                <w:rFonts w:hint="eastAsia" w:ascii="宋体" w:hAnsi="宋体" w:eastAsia="宋体" w:cs="宋体"/>
                <w:b/>
                <w:bCs/>
                <w:i w:val="0"/>
                <w:iCs w:val="0"/>
                <w:caps w:val="0"/>
                <w:color w:val="333333"/>
                <w:spacing w:val="0"/>
                <w:sz w:val="24"/>
                <w:szCs w:val="24"/>
                <w:highlight w:val="yellow"/>
                <w:shd w:val="clear" w:fill="FFFFFF"/>
              </w:rPr>
              <w:t>同时符合下列情形的非应税交易（以下统称不得抵扣非应税交易）</w:t>
            </w:r>
            <w:r>
              <w:rPr>
                <w:rFonts w:hint="eastAsia" w:ascii="宋体" w:hAnsi="宋体" w:eastAsia="宋体" w:cs="宋体"/>
                <w:i w:val="0"/>
                <w:iCs w:val="0"/>
                <w:caps w:val="0"/>
                <w:color w:val="333333"/>
                <w:spacing w:val="0"/>
                <w:sz w:val="24"/>
                <w:szCs w:val="24"/>
                <w:shd w:val="clear" w:fill="FFFFFF"/>
              </w:rPr>
              <w:t>，对应的进项税额不得从销项税额中抵扣：</w:t>
            </w:r>
          </w:p>
          <w:p w14:paraId="041843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highlight w:val="yellow"/>
                <w:shd w:val="clear" w:fill="FFFFFF"/>
              </w:rPr>
              <w:t>（一）发生增值税法第三条至第五条以外的经营活动，并取得与之相关的货币或者非货币形式的经济利益</w:t>
            </w:r>
            <w:r>
              <w:rPr>
                <w:rFonts w:hint="eastAsia" w:ascii="宋体" w:hAnsi="宋体" w:eastAsia="宋体" w:cs="宋体"/>
                <w:i w:val="0"/>
                <w:iCs w:val="0"/>
                <w:caps w:val="0"/>
                <w:color w:val="333333"/>
                <w:spacing w:val="0"/>
                <w:sz w:val="24"/>
                <w:szCs w:val="24"/>
                <w:shd w:val="clear" w:fill="FFFFFF"/>
              </w:rPr>
              <w:t>；</w:t>
            </w:r>
          </w:p>
          <w:p w14:paraId="5714338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rPr>
              <w:t>（二）不属于增值税法第六条规定的情形。</w:t>
            </w:r>
          </w:p>
          <w:p w14:paraId="0F982C5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spacing w:val="7"/>
                <w:kern w:val="0"/>
                <w:sz w:val="24"/>
                <w:szCs w:val="24"/>
                <w:shd w:val="clear" w:color="auto" w:fill="auto"/>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"https://www.ssfb86.com/index/News/detail/newsid/17868.html" </w:instrText>
            </w:r>
            <w:r>
              <w:rPr>
                <w:rFonts w:hint="eastAsia" w:ascii="楷体" w:hAnsi="楷体" w:eastAsia="楷体" w:cs="楷体"/>
                <w:i w:val="0"/>
                <w:iCs w:val="0"/>
                <w:caps w:val="0"/>
                <w:color w:val="005C81"/>
                <w:spacing w:val="0"/>
                <w:sz w:val="19"/>
                <w:szCs w:val="19"/>
                <w:u w:val="none"/>
              </w:rPr>
              <w:fldChar w:fldCharType="separate"/>
            </w:r>
            <w:r>
              <w:rPr>
                <w:rStyle w:val="10"/>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r>
              <w:rPr>
                <w:rFonts w:hint="eastAsia" w:asciiTheme="minorEastAsia" w:hAnsiTheme="minorEastAsia" w:eastAsiaTheme="minorEastAsia" w:cstheme="minorEastAsia"/>
                <w:b w:val="0"/>
                <w:bCs w:val="0"/>
                <w:color w:val="000000" w:themeColor="text1"/>
                <w:spacing w:val="7"/>
                <w:kern w:val="0"/>
                <w:sz w:val="24"/>
                <w:szCs w:val="24"/>
                <w:lang w:val="en-US" w:eastAsia="zh-CN" w:bidi="ar"/>
                <w14:textFill>
                  <w14:solidFill>
                    <w14:schemeClr w14:val="tx1"/>
                  </w14:solidFill>
                </w14:textFill>
              </w:rPr>
              <w:br w:type="textWrapping"/>
            </w:r>
            <w:r>
              <w:rPr>
                <w:rFonts w:hint="default" w:asciiTheme="minorEastAsia" w:hAnsiTheme="minorEastAsia" w:cstheme="minorEastAsia"/>
                <w:b w:val="0"/>
                <w:bCs w:val="0"/>
                <w:color w:val="000000" w:themeColor="text1"/>
                <w:spacing w:val="7"/>
                <w:kern w:val="0"/>
                <w:sz w:val="24"/>
                <w:szCs w:val="24"/>
                <w:lang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7"/>
                <w:kern w:val="0"/>
                <w:sz w:val="24"/>
                <w:szCs w:val="24"/>
                <w:shd w:val="clear" w:color="auto" w:fill="auto"/>
                <w:lang w:val="en-US" w:eastAsia="zh-CN" w:bidi="ar"/>
                <w14:textFill>
                  <w14:solidFill>
                    <w14:schemeClr w14:val="tx1"/>
                  </w14:solidFill>
                </w14:textFill>
              </w:rPr>
              <w:t xml:space="preserve">第二十四条   </w:t>
            </w:r>
            <w:r>
              <w:rPr>
                <w:rFonts w:hint="eastAsia" w:ascii="宋体" w:hAnsi="宋体" w:eastAsia="宋体" w:cs="宋体"/>
                <w:i w:val="0"/>
                <w:iCs w:val="0"/>
                <w:caps w:val="0"/>
                <w:color w:val="333333"/>
                <w:spacing w:val="0"/>
                <w:sz w:val="24"/>
                <w:szCs w:val="24"/>
                <w:shd w:val="clear" w:fill="FFFFFF"/>
              </w:rPr>
              <w:t>已抵扣进项税额的购进货物（不含固定资产）、服务，发生增值税法第二十二条第三项至第五项规定情形的，应当将对应的进项税额从当期进项税额中扣减；无法确定对应的进项税额的，按照当期实际成本计算应扣减的进项税额。</w:t>
            </w:r>
          </w:p>
          <w:p w14:paraId="40DF139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spacing w:val="7"/>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shd w:val="clear" w:color="auto" w:fill="auto"/>
              </w:rPr>
              <w:t>【</w:t>
            </w:r>
            <w:r>
              <w:rPr>
                <w:rFonts w:hint="eastAsia" w:ascii="楷体" w:hAnsi="楷体" w:eastAsia="楷体" w:cs="楷体"/>
                <w:i w:val="0"/>
                <w:iCs w:val="0"/>
                <w:caps w:val="0"/>
                <w:color w:val="005C81"/>
                <w:spacing w:val="0"/>
                <w:sz w:val="19"/>
                <w:szCs w:val="19"/>
                <w:u w:val="none"/>
                <w:shd w:val="clear" w:color="auto" w:fill="auto"/>
              </w:rPr>
              <w:fldChar w:fldCharType="begin"/>
            </w:r>
            <w:r>
              <w:rPr>
                <w:rFonts w:hint="eastAsia" w:ascii="楷体" w:hAnsi="楷体" w:eastAsia="楷体" w:cs="楷体"/>
                <w:i w:val="0"/>
                <w:iCs w:val="0"/>
                <w:caps w:val="0"/>
                <w:color w:val="005C81"/>
                <w:spacing w:val="0"/>
                <w:sz w:val="19"/>
                <w:szCs w:val="19"/>
                <w:u w:val="none"/>
                <w:shd w:val="clear" w:color="auto" w:fill="auto"/>
              </w:rPr>
              <w:instrText xml:space="preserve"> HYPERLINK "https://www.ssfb86.com/index/News/detail/newsid/17871.html" </w:instrText>
            </w:r>
            <w:r>
              <w:rPr>
                <w:rFonts w:hint="eastAsia" w:ascii="楷体" w:hAnsi="楷体" w:eastAsia="楷体" w:cs="楷体"/>
                <w:i w:val="0"/>
                <w:iCs w:val="0"/>
                <w:caps w:val="0"/>
                <w:color w:val="005C81"/>
                <w:spacing w:val="0"/>
                <w:sz w:val="19"/>
                <w:szCs w:val="19"/>
                <w:u w:val="none"/>
                <w:shd w:val="clear" w:color="auto" w:fill="auto"/>
              </w:rPr>
              <w:fldChar w:fldCharType="separate"/>
            </w:r>
            <w:r>
              <w:rPr>
                <w:rStyle w:val="10"/>
                <w:rFonts w:hint="eastAsia" w:ascii="楷体" w:hAnsi="楷体" w:eastAsia="楷体" w:cs="楷体"/>
                <w:i w:val="0"/>
                <w:iCs w:val="0"/>
                <w:caps w:val="0"/>
                <w:spacing w:val="0"/>
                <w:sz w:val="19"/>
                <w:szCs w:val="19"/>
                <w:shd w:val="clear" w:color="auto" w:fill="auto"/>
              </w:rPr>
              <w:t>本条相关法规汇编</w:t>
            </w:r>
            <w:r>
              <w:rPr>
                <w:rFonts w:hint="eastAsia" w:ascii="楷体" w:hAnsi="楷体" w:eastAsia="楷体" w:cs="楷体"/>
                <w:i w:val="0"/>
                <w:iCs w:val="0"/>
                <w:caps w:val="0"/>
                <w:color w:val="005C81"/>
                <w:spacing w:val="0"/>
                <w:sz w:val="19"/>
                <w:szCs w:val="19"/>
                <w:u w:val="none"/>
                <w:shd w:val="clear" w:color="auto" w:fill="auto"/>
              </w:rPr>
              <w:fldChar w:fldCharType="end"/>
            </w:r>
            <w:r>
              <w:rPr>
                <w:rFonts w:hint="eastAsia" w:ascii="楷体" w:hAnsi="楷体" w:eastAsia="楷体" w:cs="楷体"/>
                <w:i w:val="0"/>
                <w:iCs w:val="0"/>
                <w:caps w:val="0"/>
                <w:color w:val="0070C0"/>
                <w:spacing w:val="0"/>
                <w:sz w:val="19"/>
                <w:szCs w:val="19"/>
                <w:shd w:val="clear" w:color="auto" w:fill="auto"/>
              </w:rPr>
              <w:t>】</w:t>
            </w:r>
          </w:p>
        </w:tc>
      </w:tr>
      <w:tr w14:paraId="5628D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790" w:type="dxa"/>
            <w:shd w:val="clear" w:color="auto" w:fill="auto"/>
            <w:vAlign w:val="top"/>
          </w:tcPr>
          <w:p w14:paraId="69D60CC6">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c>
          <w:tcPr>
            <w:tcW w:w="5775" w:type="dxa"/>
            <w:shd w:val="clear" w:color="auto" w:fill="auto"/>
            <w:vAlign w:val="top"/>
          </w:tcPr>
          <w:p w14:paraId="364C5A8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第二十三条   </w:t>
            </w:r>
            <w:r>
              <w:rPr>
                <w:rFonts w:hint="eastAsia" w:ascii="宋体" w:hAnsi="宋体" w:eastAsia="宋体" w:cs="宋体"/>
                <w:i w:val="0"/>
                <w:iCs w:val="0"/>
                <w:caps w:val="0"/>
                <w:color w:val="333333"/>
                <w:spacing w:val="0"/>
                <w:sz w:val="24"/>
                <w:szCs w:val="24"/>
                <w:shd w:val="clear" w:fill="FFFFFF"/>
              </w:rPr>
              <w:t>一般纳税人购进货物（不含固定资产）、服务，用于简易计税方法计税项目、免征增值税项目</w:t>
            </w:r>
            <w:r>
              <w:rPr>
                <w:rFonts w:hint="eastAsia" w:ascii="宋体" w:hAnsi="宋体" w:eastAsia="宋体" w:cs="宋体"/>
                <w:b/>
                <w:bCs/>
                <w:i w:val="0"/>
                <w:iCs w:val="0"/>
                <w:caps w:val="0"/>
                <w:color w:val="333333"/>
                <w:spacing w:val="0"/>
                <w:sz w:val="24"/>
                <w:szCs w:val="24"/>
                <w:highlight w:val="yellow"/>
                <w:shd w:val="clear" w:fill="FFFFFF"/>
              </w:rPr>
              <w:t>和不得抵扣非应税交易</w:t>
            </w:r>
            <w:r>
              <w:rPr>
                <w:rFonts w:hint="eastAsia" w:ascii="宋体" w:hAnsi="宋体" w:eastAsia="宋体" w:cs="宋体"/>
                <w:i w:val="0"/>
                <w:iCs w:val="0"/>
                <w:caps w:val="0"/>
                <w:color w:val="333333"/>
                <w:spacing w:val="0"/>
                <w:sz w:val="24"/>
                <w:szCs w:val="24"/>
                <w:shd w:val="clear" w:fill="FFFFFF"/>
              </w:rPr>
              <w:t>而</w:t>
            </w:r>
            <w:r>
              <w:rPr>
                <w:rFonts w:hint="eastAsia" w:ascii="宋体" w:hAnsi="宋体" w:eastAsia="宋体" w:cs="宋体"/>
                <w:i w:val="0"/>
                <w:iCs w:val="0"/>
                <w:caps w:val="0"/>
                <w:color w:val="333333"/>
                <w:spacing w:val="0"/>
                <w:sz w:val="24"/>
                <w:szCs w:val="24"/>
                <w:highlight w:val="cyan"/>
                <w:shd w:val="clear" w:fill="FFFFFF"/>
              </w:rPr>
              <w:t>无法划分不得抵扣</w:t>
            </w:r>
            <w:r>
              <w:rPr>
                <w:rFonts w:hint="eastAsia" w:ascii="宋体" w:hAnsi="宋体" w:eastAsia="宋体" w:cs="宋体"/>
                <w:i w:val="0"/>
                <w:iCs w:val="0"/>
                <w:caps w:val="0"/>
                <w:color w:val="333333"/>
                <w:spacing w:val="0"/>
                <w:sz w:val="24"/>
                <w:szCs w:val="24"/>
                <w:shd w:val="clear" w:fill="FFFFFF"/>
              </w:rPr>
              <w:t>的进项税额的，应当按照销售额或者收入占比逐期计算当期不得抵扣的进项税额，并于次年1月的纳税申报期内进行全年汇总清算。</w:t>
            </w:r>
          </w:p>
          <w:p w14:paraId="49D47C10">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"https://www.ssfb86.com/index/News/detail/newsid/17871.html" </w:instrText>
            </w:r>
            <w:r>
              <w:rPr>
                <w:rFonts w:hint="eastAsia" w:ascii="楷体" w:hAnsi="楷体" w:eastAsia="楷体" w:cs="楷体"/>
                <w:i w:val="0"/>
                <w:iCs w:val="0"/>
                <w:caps w:val="0"/>
                <w:color w:val="005C81"/>
                <w:spacing w:val="0"/>
                <w:sz w:val="19"/>
                <w:szCs w:val="19"/>
                <w:u w:val="none"/>
              </w:rPr>
              <w:fldChar w:fldCharType="separate"/>
            </w:r>
            <w:r>
              <w:rPr>
                <w:rStyle w:val="10"/>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0CF31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5" w:hRule="atLeast"/>
        </w:trPr>
        <w:tc>
          <w:tcPr>
            <w:tcW w:w="3790" w:type="dxa"/>
            <w:shd w:val="clear" w:color="auto" w:fill="auto"/>
            <w:vAlign w:val="top"/>
          </w:tcPr>
          <w:p w14:paraId="01D1D2A3">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c>
          <w:tcPr>
            <w:tcW w:w="5775" w:type="dxa"/>
            <w:shd w:val="clear" w:color="auto" w:fill="auto"/>
            <w:vAlign w:val="top"/>
          </w:tcPr>
          <w:p w14:paraId="6419481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tc>
      </w:tr>
      <w:tr w14:paraId="6B708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52" w:hRule="atLeast"/>
        </w:trPr>
        <w:tc>
          <w:tcPr>
            <w:tcW w:w="3790" w:type="dxa"/>
            <w:shd w:val="clear" w:color="auto" w:fill="auto"/>
            <w:vAlign w:val="top"/>
          </w:tcPr>
          <w:p w14:paraId="031F718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c>
          <w:tcPr>
            <w:tcW w:w="5775" w:type="dxa"/>
            <w:shd w:val="clear" w:color="auto" w:fill="auto"/>
            <w:vAlign w:val="top"/>
          </w:tcPr>
          <w:p w14:paraId="54ADE7D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第二十</w:t>
            </w:r>
            <w:r>
              <w:rPr>
                <w:rFonts w:hint="eastAsia" w:asciiTheme="minorEastAsia" w:hAnsiTheme="minorEastAsia" w:cstheme="minorEastAsia"/>
                <w:b w:val="0"/>
                <w:bCs w:val="0"/>
                <w:color w:val="000000" w:themeColor="text1"/>
                <w:kern w:val="0"/>
                <w:sz w:val="24"/>
                <w:szCs w:val="24"/>
                <w:lang w:val="en-US" w:eastAsia="zh-CN" w:bidi="ar"/>
                <w14:textFill>
                  <w14:solidFill>
                    <w14:schemeClr w14:val="tx1"/>
                  </w14:solidFill>
                </w14:textFill>
              </w:rPr>
              <w:t>五</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条   </w:t>
            </w:r>
            <w:r>
              <w:rPr>
                <w:rFonts w:hint="eastAsia" w:ascii="宋体" w:hAnsi="宋体" w:eastAsia="宋体" w:cs="宋体"/>
                <w:i w:val="0"/>
                <w:iCs w:val="0"/>
                <w:caps w:val="0"/>
                <w:color w:val="333333"/>
                <w:spacing w:val="0"/>
                <w:sz w:val="24"/>
                <w:szCs w:val="24"/>
                <w:shd w:val="clear" w:fill="FFFFFF"/>
              </w:rPr>
              <w:t>一般纳税人取得的固定资产、无形资产或者不动产（以下统称长期资产），既用于一般计税方法计税项目，又用于简易计税方法计税项目、免征增值税项目、不得抵扣非应税交易、集体福利或者个人消费（以下统称五类不允许抵扣项目）的，属于用作混合用途的长期资产，对应的进项税额依照增值税法和下列规定处理：</w:t>
            </w:r>
          </w:p>
          <w:p w14:paraId="57F09C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（一）原值不超过500万元的单项长期资产，对应的进项税额可以全额从销项税额中抵扣；</w:t>
            </w:r>
          </w:p>
          <w:p w14:paraId="0EB288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（二）原值超过500万元的单项长期资产，购进时先全额抵扣进项税额，此后在用于混合用途期间，根据调整年限计算五类不允许抵扣项目对应的不得从销项税额中抵扣的进项税额，逐年调整。</w:t>
            </w:r>
          </w:p>
          <w:p w14:paraId="4597E2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rPr>
              <w:t>长期资产进项税额抵扣的具体操作办法，由国务院财政、税务主管部门制定。</w:t>
            </w:r>
          </w:p>
          <w:p w14:paraId="62D34CE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"https://www.ssfb86.com/index/News/detail/newsid/17855.html" </w:instrText>
            </w:r>
            <w:r>
              <w:rPr>
                <w:rFonts w:hint="eastAsia" w:ascii="楷体" w:hAnsi="楷体" w:eastAsia="楷体" w:cs="楷体"/>
                <w:i w:val="0"/>
                <w:iCs w:val="0"/>
                <w:caps w:val="0"/>
                <w:color w:val="005C81"/>
                <w:spacing w:val="0"/>
                <w:sz w:val="19"/>
                <w:szCs w:val="19"/>
                <w:u w:val="none"/>
              </w:rPr>
              <w:fldChar w:fldCharType="separate"/>
            </w:r>
            <w:r>
              <w:rPr>
                <w:rStyle w:val="10"/>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2B0CF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790" w:type="dxa"/>
            <w:shd w:val="clear" w:color="auto" w:fill="auto"/>
            <w:vAlign w:val="top"/>
          </w:tcPr>
          <w:p w14:paraId="26DCDFDF">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color w:val="1D41D5"/>
                <w:kern w:val="0"/>
                <w:sz w:val="24"/>
                <w:szCs w:val="24"/>
                <w:lang w:val="en-US" w:eastAsia="zh-CN" w:bidi="ar"/>
              </w:rPr>
            </w:pPr>
            <w:r>
              <w:rPr>
                <w:rFonts w:hint="eastAsia" w:asciiTheme="minorEastAsia" w:hAnsiTheme="minorEastAsia" w:eastAsiaTheme="minorEastAsia" w:cstheme="minorEastAsia"/>
                <w:b/>
                <w:bCs/>
                <w:color w:val="1D41D5"/>
                <w:kern w:val="0"/>
                <w:sz w:val="24"/>
                <w:szCs w:val="24"/>
                <w:lang w:val="en-US" w:eastAsia="zh-CN" w:bidi="ar"/>
              </w:rPr>
              <w:t>第四章 税收优惠</w:t>
            </w:r>
          </w:p>
        </w:tc>
        <w:tc>
          <w:tcPr>
            <w:tcW w:w="5775" w:type="dxa"/>
            <w:shd w:val="clear" w:color="auto" w:fill="auto"/>
            <w:vAlign w:val="top"/>
          </w:tcPr>
          <w:p w14:paraId="174B54F0">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color w:val="1D41D5"/>
                <w:kern w:val="0"/>
                <w:sz w:val="24"/>
                <w:szCs w:val="24"/>
                <w:lang w:val="en-US" w:eastAsia="zh-CN" w:bidi="ar"/>
              </w:rPr>
            </w:pPr>
            <w:r>
              <w:rPr>
                <w:rFonts w:hint="eastAsia" w:asciiTheme="minorEastAsia" w:hAnsiTheme="minorEastAsia" w:eastAsiaTheme="minorEastAsia" w:cstheme="minorEastAsia"/>
                <w:b/>
                <w:bCs/>
                <w:color w:val="1D41D5"/>
                <w:kern w:val="0"/>
                <w:sz w:val="24"/>
                <w:szCs w:val="24"/>
                <w:lang w:val="en-US" w:eastAsia="zh-CN" w:bidi="ar"/>
              </w:rPr>
              <w:t>第四章   税收优惠</w:t>
            </w:r>
          </w:p>
        </w:tc>
      </w:tr>
      <w:tr w14:paraId="3E21B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55" w:hRule="atLeast"/>
        </w:trPr>
        <w:tc>
          <w:tcPr>
            <w:tcW w:w="3790" w:type="dxa"/>
            <w:shd w:val="clear" w:color="auto" w:fill="auto"/>
            <w:vAlign w:val="top"/>
          </w:tcPr>
          <w:p w14:paraId="1F111387">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第二十三条 小规模纳税人发生应税交易，销售额未达到起征点的，免征增值税；达到起征点的，依照本法规定全额计算缴纳增值税。</w:t>
            </w:r>
          </w:p>
        </w:tc>
        <w:tc>
          <w:tcPr>
            <w:tcW w:w="5775" w:type="dxa"/>
            <w:vMerge w:val="restart"/>
            <w:shd w:val="clear" w:color="auto" w:fill="auto"/>
            <w:vAlign w:val="top"/>
          </w:tcPr>
          <w:p w14:paraId="5AC238B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588EB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35" w:hRule="atLeast"/>
        </w:trPr>
        <w:tc>
          <w:tcPr>
            <w:tcW w:w="3790" w:type="dxa"/>
            <w:shd w:val="clear" w:color="auto" w:fill="auto"/>
            <w:vAlign w:val="top"/>
          </w:tcPr>
          <w:p w14:paraId="05F5C52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前款规定的起征点标准由国务院规定，报全国人民代表大会常务委员会备案。</w:t>
            </w:r>
          </w:p>
          <w:p w14:paraId="6B574A2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"https://www.ssfb86.com/index/News/detail/newsid/17884.html"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continue"/>
            <w:shd w:val="clear" w:color="auto" w:fill="auto"/>
            <w:vAlign w:val="top"/>
          </w:tcPr>
          <w:p w14:paraId="5527F53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3E4A6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3790" w:type="dxa"/>
            <w:shd w:val="clear" w:color="auto" w:fill="auto"/>
            <w:vAlign w:val="top"/>
          </w:tcPr>
          <w:p w14:paraId="46532712">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第二十四条 下列项目免征增值税：</w:t>
            </w:r>
          </w:p>
        </w:tc>
        <w:tc>
          <w:tcPr>
            <w:tcW w:w="5775" w:type="dxa"/>
            <w:vMerge w:val="continue"/>
            <w:shd w:val="clear" w:color="auto" w:fill="auto"/>
            <w:vAlign w:val="top"/>
          </w:tcPr>
          <w:p w14:paraId="5D857227">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1EBA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790" w:type="dxa"/>
            <w:shd w:val="clear" w:color="auto" w:fill="auto"/>
            <w:vAlign w:val="top"/>
          </w:tcPr>
          <w:p w14:paraId="7583EB9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（一）农业生产者销售的自产农产品，农业机耕、排灌、病虫害防治、植物保护、农牧保险以及相关技术培训业务，家禽、牲畜、水生动物的配种和疾病防治；</w:t>
            </w:r>
          </w:p>
          <w:p w14:paraId="5DFEBF63">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"https://www.ssfb86.com/index/News/detail/newsid/17885.html"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本项相关法规汇编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4E5EB6B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第二十</w:t>
            </w:r>
            <w:r>
              <w:rPr>
                <w:rFonts w:hint="eastAsia" w:asciiTheme="minorEastAsia" w:hAnsiTheme="minorEastAsia" w:cstheme="minorEastAsia"/>
                <w:b w:val="0"/>
                <w:bCs w:val="0"/>
                <w:color w:val="000000" w:themeColor="text1"/>
                <w:kern w:val="0"/>
                <w:sz w:val="24"/>
                <w:szCs w:val="24"/>
                <w:lang w:val="en-US" w:eastAsia="zh-CN" w:bidi="ar"/>
                <w14:textFill>
                  <w14:solidFill>
                    <w14:schemeClr w14:val="tx1"/>
                  </w14:solidFill>
                </w14:textFill>
              </w:rPr>
              <w:t>六</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条   </w:t>
            </w:r>
            <w:r>
              <w:rPr>
                <w:rFonts w:hint="eastAsia" w:ascii="宋体" w:hAnsi="宋体" w:eastAsia="宋体" w:cs="宋体"/>
                <w:i w:val="0"/>
                <w:iCs w:val="0"/>
                <w:caps w:val="0"/>
                <w:color w:val="333333"/>
                <w:spacing w:val="0"/>
                <w:sz w:val="24"/>
                <w:szCs w:val="24"/>
                <w:shd w:val="clear" w:fill="FFFFFF"/>
              </w:rPr>
              <w:t>增值税法第二十四条第一款第一项所称农业生产者，是指从事农业生产的单位和个人；农产品，是指初级农产品。</w:t>
            </w:r>
          </w:p>
          <w:p w14:paraId="6AC2782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"https://www.ssfb86.com/index/News/detail/newsid/17885.html"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w:t>
            </w:r>
            <w:r>
              <w:rPr>
                <w:rStyle w:val="10"/>
                <w:rFonts w:hint="eastAsia" w:ascii="楷体" w:hAnsi="楷体" w:eastAsia="楷体" w:cs="楷体"/>
                <w:i w:val="0"/>
                <w:iCs w:val="0"/>
                <w:caps w:val="0"/>
                <w:color w:val="005C81"/>
                <w:spacing w:val="0"/>
                <w:sz w:val="19"/>
                <w:szCs w:val="19"/>
                <w:u w:val="single"/>
                <w:lang w:val="en-US" w:eastAsia="zh-CN"/>
              </w:rPr>
              <w:t>条</w:t>
            </w:r>
            <w:r>
              <w:rPr>
                <w:rStyle w:val="10"/>
                <w:rFonts w:hint="eastAsia" w:ascii="楷体" w:hAnsi="楷体" w:eastAsia="楷体" w:cs="楷体"/>
                <w:i w:val="0"/>
                <w:iCs w:val="0"/>
                <w:caps w:val="0"/>
                <w:color w:val="005C81"/>
                <w:spacing w:val="0"/>
                <w:sz w:val="19"/>
                <w:szCs w:val="19"/>
                <w:u w:val="single"/>
              </w:rPr>
              <w:t>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r>
      <w:tr w14:paraId="41D5A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74" w:hRule="atLeast"/>
        </w:trPr>
        <w:tc>
          <w:tcPr>
            <w:tcW w:w="3790" w:type="dxa"/>
            <w:shd w:val="clear" w:color="auto" w:fill="auto"/>
            <w:vAlign w:val="top"/>
          </w:tcPr>
          <w:p w14:paraId="14763739">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（二）医疗机构提供的医疗服务；</w:t>
            </w:r>
          </w:p>
          <w:p w14:paraId="4034677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"https://www.ssfb86.com/index/News/detail/newsid/17886.html"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本项相关法规汇编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459E403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第二十</w:t>
            </w:r>
            <w:r>
              <w:rPr>
                <w:rFonts w:hint="eastAsia" w:asciiTheme="minorEastAsia" w:hAnsiTheme="minorEastAsia" w:cstheme="minorEastAsia"/>
                <w:b w:val="0"/>
                <w:bCs w:val="0"/>
                <w:color w:val="000000" w:themeColor="text1"/>
                <w:kern w:val="0"/>
                <w:sz w:val="24"/>
                <w:szCs w:val="24"/>
                <w:lang w:val="en-US" w:eastAsia="zh-CN" w:bidi="ar"/>
                <w14:textFill>
                  <w14:solidFill>
                    <w14:schemeClr w14:val="tx1"/>
                  </w14:solidFill>
                </w14:textFill>
              </w:rPr>
              <w:t>七</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条   </w:t>
            </w:r>
            <w:r>
              <w:rPr>
                <w:rFonts w:hint="eastAsia" w:ascii="宋体" w:hAnsi="宋体" w:eastAsia="宋体" w:cs="宋体"/>
                <w:i w:val="0"/>
                <w:iCs w:val="0"/>
                <w:caps w:val="0"/>
                <w:color w:val="333333"/>
                <w:spacing w:val="0"/>
                <w:sz w:val="24"/>
                <w:szCs w:val="24"/>
                <w:shd w:val="clear" w:fill="FFFFFF"/>
              </w:rPr>
              <w:t>增值税法第二十四条第一款第二项所称医疗机构，是指依据有关规定设立的具有医疗机构执业资格的机构，包括军队、武警部队各级各类医疗机构，不包括</w:t>
            </w:r>
            <w:r>
              <w:rPr>
                <w:rFonts w:hint="eastAsia" w:ascii="宋体" w:hAnsi="宋体" w:eastAsia="宋体" w:cs="宋体"/>
                <w:b/>
                <w:bCs/>
                <w:i w:val="0"/>
                <w:iCs w:val="0"/>
                <w:caps w:val="0"/>
                <w:color w:val="333333"/>
                <w:spacing w:val="0"/>
                <w:sz w:val="24"/>
                <w:szCs w:val="24"/>
                <w:highlight w:val="yellow"/>
                <w:shd w:val="clear" w:fill="FFFFFF"/>
              </w:rPr>
              <w:t>营利性</w:t>
            </w:r>
            <w:r>
              <w:rPr>
                <w:rFonts w:hint="eastAsia" w:ascii="宋体" w:hAnsi="宋体" w:eastAsia="宋体" w:cs="宋体"/>
                <w:i w:val="0"/>
                <w:iCs w:val="0"/>
                <w:caps w:val="0"/>
                <w:color w:val="333333"/>
                <w:spacing w:val="0"/>
                <w:sz w:val="24"/>
                <w:szCs w:val="24"/>
                <w:shd w:val="clear" w:fill="FFFFFF"/>
              </w:rPr>
              <w:t>美容医疗机构。</w:t>
            </w:r>
          </w:p>
          <w:p w14:paraId="767C6719">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"https://www.ssfb86.com/index/News/detail/newsid/17886.html"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本项相关法规汇编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r>
      <w:tr w14:paraId="6B0D0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790" w:type="dxa"/>
            <w:shd w:val="clear" w:color="auto" w:fill="auto"/>
            <w:vAlign w:val="top"/>
          </w:tcPr>
          <w:p w14:paraId="5BEDD98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（三）古旧图书，自然人销售的自己使用过的物品；</w:t>
            </w:r>
          </w:p>
          <w:p w14:paraId="46993387">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"https://www.ssfb86.com/index/News/detail/newsid/17887.html"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本项相关法规汇编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3BED931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第二十</w:t>
            </w:r>
            <w:r>
              <w:rPr>
                <w:rFonts w:hint="eastAsia" w:asciiTheme="minorEastAsia" w:hAnsiTheme="minorEastAsia" w:cstheme="minorEastAsia"/>
                <w:b w:val="0"/>
                <w:bCs w:val="0"/>
                <w:color w:val="000000" w:themeColor="text1"/>
                <w:kern w:val="0"/>
                <w:sz w:val="24"/>
                <w:szCs w:val="24"/>
                <w:lang w:val="en-US" w:eastAsia="zh-CN" w:bidi="ar"/>
                <w14:textFill>
                  <w14:solidFill>
                    <w14:schemeClr w14:val="tx1"/>
                  </w14:solidFill>
                </w14:textFill>
              </w:rPr>
              <w:t>八</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条   </w:t>
            </w:r>
            <w:r>
              <w:rPr>
                <w:rFonts w:hint="eastAsia" w:ascii="宋体" w:hAnsi="宋体" w:eastAsia="宋体" w:cs="宋体"/>
                <w:i w:val="0"/>
                <w:iCs w:val="0"/>
                <w:caps w:val="0"/>
                <w:color w:val="333333"/>
                <w:spacing w:val="0"/>
                <w:sz w:val="24"/>
                <w:szCs w:val="24"/>
                <w:shd w:val="clear" w:fill="FFFFFF"/>
              </w:rPr>
              <w:t>增值税法第二十四条第一款第三项所称古旧图书，是指向社会收购的古书和旧书。</w:t>
            </w:r>
          </w:p>
          <w:p w14:paraId="488F959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"https://www.ssfb86.com/index/News/detail/newsid/17887.html"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w:t>
            </w:r>
            <w:r>
              <w:rPr>
                <w:rStyle w:val="10"/>
                <w:rFonts w:hint="eastAsia" w:ascii="楷体" w:hAnsi="楷体" w:eastAsia="楷体" w:cs="楷体"/>
                <w:i w:val="0"/>
                <w:iCs w:val="0"/>
                <w:caps w:val="0"/>
                <w:color w:val="005C81"/>
                <w:spacing w:val="0"/>
                <w:sz w:val="19"/>
                <w:szCs w:val="19"/>
                <w:u w:val="single"/>
                <w:lang w:val="en-US" w:eastAsia="zh-CN"/>
              </w:rPr>
              <w:t>条</w:t>
            </w:r>
            <w:r>
              <w:rPr>
                <w:rStyle w:val="10"/>
                <w:rFonts w:hint="eastAsia" w:ascii="楷体" w:hAnsi="楷体" w:eastAsia="楷体" w:cs="楷体"/>
                <w:i w:val="0"/>
                <w:iCs w:val="0"/>
                <w:caps w:val="0"/>
                <w:color w:val="005C81"/>
                <w:spacing w:val="0"/>
                <w:sz w:val="19"/>
                <w:szCs w:val="19"/>
                <w:u w:val="single"/>
              </w:rPr>
              <w:t>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r>
      <w:tr w14:paraId="1872F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1" w:hRule="atLeast"/>
        </w:trPr>
        <w:tc>
          <w:tcPr>
            <w:tcW w:w="3790" w:type="dxa"/>
            <w:shd w:val="clear" w:color="auto" w:fill="auto"/>
            <w:vAlign w:val="top"/>
          </w:tcPr>
          <w:p w14:paraId="39E17149">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（四）直接用于科学研究、科学试验和教学的进口仪器、设备；</w:t>
            </w:r>
          </w:p>
          <w:p w14:paraId="6E743D9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"https://www.ssfb86.com/index/News/detail/newsid/17888.html"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本项相关法规汇编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restart"/>
            <w:shd w:val="clear" w:color="auto" w:fill="auto"/>
            <w:vAlign w:val="top"/>
          </w:tcPr>
          <w:p w14:paraId="6DBFC552">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67230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trPr>
        <w:tc>
          <w:tcPr>
            <w:tcW w:w="3790" w:type="dxa"/>
            <w:shd w:val="clear" w:color="auto" w:fill="auto"/>
            <w:vAlign w:val="top"/>
          </w:tcPr>
          <w:p w14:paraId="76F3A28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（五）外国政府、国际组织无偿援助的进口物资和设备；</w:t>
            </w:r>
          </w:p>
          <w:p w14:paraId="20AAC3F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"https://www.ssfb86.com/index/News/detail/newsid/17889.html"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本项相关法规汇编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continue"/>
            <w:shd w:val="clear" w:color="auto" w:fill="auto"/>
            <w:vAlign w:val="top"/>
          </w:tcPr>
          <w:p w14:paraId="1A37BF2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67533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80" w:hRule="atLeast"/>
        </w:trPr>
        <w:tc>
          <w:tcPr>
            <w:tcW w:w="3790" w:type="dxa"/>
            <w:shd w:val="clear" w:color="auto" w:fill="auto"/>
            <w:vAlign w:val="top"/>
          </w:tcPr>
          <w:p w14:paraId="7083AB27">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（六）由残疾人的组织直接进口供残疾人专用的物品，残疾人个人提供的服务；</w:t>
            </w:r>
          </w:p>
          <w:p w14:paraId="74CB030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4788D7"/>
                <w:spacing w:val="0"/>
                <w:sz w:val="19"/>
                <w:szCs w:val="19"/>
                <w:u w:val="single"/>
              </w:rPr>
              <w:fldChar w:fldCharType="begin"/>
            </w:r>
            <w:r>
              <w:rPr>
                <w:rFonts w:hint="eastAsia" w:ascii="宋体" w:hAnsi="宋体" w:eastAsia="宋体" w:cs="宋体"/>
                <w:i w:val="0"/>
                <w:iCs w:val="0"/>
                <w:caps w:val="0"/>
                <w:color w:val="4788D7"/>
                <w:spacing w:val="0"/>
                <w:sz w:val="19"/>
                <w:szCs w:val="19"/>
                <w:u w:val="single"/>
              </w:rPr>
              <w:instrText xml:space="preserve"> HYPERLINK "https://www.ssfb86.com/index/News/detail/newsid/17890.html" </w:instrText>
            </w:r>
            <w:r>
              <w:rPr>
                <w:rFonts w:hint="eastAsia" w:ascii="宋体" w:hAnsi="宋体" w:eastAsia="宋体" w:cs="宋体"/>
                <w:i w:val="0"/>
                <w:iCs w:val="0"/>
                <w:caps w:val="0"/>
                <w:color w:val="4788D7"/>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本项相关法规汇编</w:t>
            </w:r>
            <w:r>
              <w:rPr>
                <w:rFonts w:hint="eastAsia" w:ascii="宋体" w:hAnsi="宋体" w:eastAsia="宋体" w:cs="宋体"/>
                <w:i w:val="0"/>
                <w:iCs w:val="0"/>
                <w:caps w:val="0"/>
                <w:color w:val="4788D7"/>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7C6EB50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tc>
      </w:tr>
      <w:tr w14:paraId="23EC1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2" w:hRule="atLeast"/>
        </w:trPr>
        <w:tc>
          <w:tcPr>
            <w:tcW w:w="3790" w:type="dxa"/>
            <w:shd w:val="clear" w:color="auto" w:fill="auto"/>
            <w:vAlign w:val="top"/>
          </w:tcPr>
          <w:p w14:paraId="34CD87C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（七）托儿所、幼儿园、养老机构、残疾人服务机构提供的育养服务，婚姻介绍服务，殡葬服务；</w:t>
            </w:r>
          </w:p>
          <w:p w14:paraId="40EE7CA6">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4788D7"/>
                <w:spacing w:val="0"/>
                <w:sz w:val="19"/>
                <w:szCs w:val="19"/>
                <w:u w:val="single"/>
              </w:rPr>
              <w:fldChar w:fldCharType="begin"/>
            </w:r>
            <w:r>
              <w:rPr>
                <w:rFonts w:hint="eastAsia" w:ascii="宋体" w:hAnsi="宋体" w:eastAsia="宋体" w:cs="宋体"/>
                <w:i w:val="0"/>
                <w:iCs w:val="0"/>
                <w:caps w:val="0"/>
                <w:color w:val="4788D7"/>
                <w:spacing w:val="0"/>
                <w:sz w:val="19"/>
                <w:szCs w:val="19"/>
                <w:u w:val="single"/>
              </w:rPr>
              <w:instrText xml:space="preserve"> HYPERLINK "https://www.ssfb86.com/index/News/detail/newsid/17891.html" </w:instrText>
            </w:r>
            <w:r>
              <w:rPr>
                <w:rFonts w:hint="eastAsia" w:ascii="宋体" w:hAnsi="宋体" w:eastAsia="宋体" w:cs="宋体"/>
                <w:i w:val="0"/>
                <w:iCs w:val="0"/>
                <w:caps w:val="0"/>
                <w:color w:val="4788D7"/>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本项相关法规汇编</w:t>
            </w:r>
            <w:r>
              <w:rPr>
                <w:rFonts w:hint="eastAsia" w:ascii="宋体" w:hAnsi="宋体" w:eastAsia="宋体" w:cs="宋体"/>
                <w:i w:val="0"/>
                <w:iCs w:val="0"/>
                <w:caps w:val="0"/>
                <w:color w:val="4788D7"/>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3A3A466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w:t>
            </w:r>
            <w:r>
              <w:rPr>
                <w:rFonts w:hint="eastAsia" w:asciiTheme="minorEastAsia" w:hAnsiTheme="minorEastAsia" w:cstheme="minorEastAsia"/>
                <w:b w:val="0"/>
                <w:bCs w:val="0"/>
                <w:color w:val="000000" w:themeColor="text1"/>
                <w:kern w:val="0"/>
                <w:sz w:val="24"/>
                <w:szCs w:val="24"/>
                <w:lang w:val="en-US" w:eastAsia="zh-CN" w:bidi="ar"/>
                <w14:textFill>
                  <w14:solidFill>
                    <w14:schemeClr w14:val="tx1"/>
                  </w14:solidFill>
                </w14:textFill>
              </w:rPr>
              <w:t>二</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十</w:t>
            </w:r>
            <w:r>
              <w:rPr>
                <w:rFonts w:hint="eastAsia" w:asciiTheme="minorEastAsia" w:hAnsiTheme="minorEastAsia" w:cstheme="minorEastAsia"/>
                <w:b w:val="0"/>
                <w:bCs w:val="0"/>
                <w:color w:val="000000" w:themeColor="text1"/>
                <w:kern w:val="0"/>
                <w:sz w:val="24"/>
                <w:szCs w:val="24"/>
                <w:lang w:val="en-US" w:eastAsia="zh-CN" w:bidi="ar"/>
                <w14:textFill>
                  <w14:solidFill>
                    <w14:schemeClr w14:val="tx1"/>
                  </w14:solidFill>
                </w14:textFill>
              </w:rPr>
              <w:t>九</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条   </w:t>
            </w:r>
            <w:r>
              <w:rPr>
                <w:rFonts w:hint="eastAsia" w:ascii="宋体" w:hAnsi="宋体" w:eastAsia="宋体" w:cs="宋体"/>
                <w:i w:val="0"/>
                <w:iCs w:val="0"/>
                <w:caps w:val="0"/>
                <w:color w:val="333333"/>
                <w:spacing w:val="0"/>
                <w:sz w:val="24"/>
                <w:szCs w:val="24"/>
                <w:shd w:val="clear" w:fill="FFFFFF"/>
              </w:rPr>
              <w:t>增值税法第二十四条第一款第七项所称托儿所、幼儿园，是指依据有关规定设立的取得托育或者学前教育资格的机构，其免征增值税的收入是指有关收费标准规定以内的保育费、保育教育费；养老机构，是指依据有关规定设立的为老年人提供集中住宿和照料护理服务的各类养老机构；残疾人服务机构，是指依据有关规定设立的</w:t>
            </w:r>
            <w:r>
              <w:rPr>
                <w:rFonts w:hint="eastAsia" w:ascii="宋体" w:hAnsi="宋体" w:eastAsia="宋体" w:cs="宋体"/>
                <w:i w:val="0"/>
                <w:iCs w:val="0"/>
                <w:caps w:val="0"/>
                <w:color w:val="333333"/>
                <w:spacing w:val="0"/>
                <w:sz w:val="24"/>
                <w:szCs w:val="24"/>
                <w:highlight w:val="cyan"/>
                <w:shd w:val="clear" w:fill="FFFFFF"/>
              </w:rPr>
              <w:t>专门为</w:t>
            </w:r>
            <w:r>
              <w:rPr>
                <w:rFonts w:hint="eastAsia" w:ascii="宋体" w:hAnsi="宋体" w:eastAsia="宋体" w:cs="宋体"/>
                <w:i w:val="0"/>
                <w:iCs w:val="0"/>
                <w:caps w:val="0"/>
                <w:color w:val="333333"/>
                <w:spacing w:val="0"/>
                <w:sz w:val="24"/>
                <w:szCs w:val="24"/>
                <w:shd w:val="clear" w:fill="FFFFFF"/>
              </w:rPr>
              <w:t>残疾人提供相关服务的机构。</w:t>
            </w:r>
          </w:p>
          <w:p w14:paraId="0865C699">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4788D7"/>
                <w:spacing w:val="0"/>
                <w:sz w:val="19"/>
                <w:szCs w:val="19"/>
                <w:u w:val="single"/>
              </w:rPr>
              <w:fldChar w:fldCharType="begin"/>
            </w:r>
            <w:r>
              <w:rPr>
                <w:rFonts w:hint="eastAsia" w:ascii="宋体" w:hAnsi="宋体" w:eastAsia="宋体" w:cs="宋体"/>
                <w:i w:val="0"/>
                <w:iCs w:val="0"/>
                <w:caps w:val="0"/>
                <w:color w:val="4788D7"/>
                <w:spacing w:val="0"/>
                <w:sz w:val="19"/>
                <w:szCs w:val="19"/>
                <w:u w:val="single"/>
              </w:rPr>
              <w:instrText xml:space="preserve"> HYPERLINK "https://www.ssfb86.com/index/News/detail/newsid/17891.html" </w:instrText>
            </w:r>
            <w:r>
              <w:rPr>
                <w:rFonts w:hint="eastAsia" w:ascii="宋体" w:hAnsi="宋体" w:eastAsia="宋体" w:cs="宋体"/>
                <w:i w:val="0"/>
                <w:iCs w:val="0"/>
                <w:caps w:val="0"/>
                <w:color w:val="4788D7"/>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w:t>
            </w:r>
            <w:r>
              <w:rPr>
                <w:rStyle w:val="10"/>
                <w:rFonts w:hint="eastAsia" w:ascii="楷体" w:hAnsi="楷体" w:eastAsia="楷体" w:cs="楷体"/>
                <w:i w:val="0"/>
                <w:iCs w:val="0"/>
                <w:caps w:val="0"/>
                <w:color w:val="005C81"/>
                <w:spacing w:val="0"/>
                <w:sz w:val="19"/>
                <w:szCs w:val="19"/>
                <w:u w:val="single"/>
                <w:lang w:val="en-US" w:eastAsia="zh-CN"/>
              </w:rPr>
              <w:t>条</w:t>
            </w:r>
            <w:r>
              <w:rPr>
                <w:rStyle w:val="10"/>
                <w:rFonts w:hint="eastAsia" w:ascii="楷体" w:hAnsi="楷体" w:eastAsia="楷体" w:cs="楷体"/>
                <w:i w:val="0"/>
                <w:iCs w:val="0"/>
                <w:caps w:val="0"/>
                <w:color w:val="005C81"/>
                <w:spacing w:val="0"/>
                <w:sz w:val="19"/>
                <w:szCs w:val="19"/>
                <w:u w:val="single"/>
              </w:rPr>
              <w:t>相关法规汇编</w:t>
            </w:r>
            <w:r>
              <w:rPr>
                <w:rFonts w:hint="eastAsia" w:ascii="宋体" w:hAnsi="宋体" w:eastAsia="宋体" w:cs="宋体"/>
                <w:i w:val="0"/>
                <w:iCs w:val="0"/>
                <w:caps w:val="0"/>
                <w:color w:val="4788D7"/>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r>
      <w:tr w14:paraId="4E648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82" w:hRule="atLeast"/>
        </w:trPr>
        <w:tc>
          <w:tcPr>
            <w:tcW w:w="3790" w:type="dxa"/>
            <w:shd w:val="clear" w:color="auto" w:fill="auto"/>
            <w:vAlign w:val="top"/>
          </w:tcPr>
          <w:p w14:paraId="5E0C3D4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（八）学校提供的学历教育服务，学生勤工俭学提供的服务；</w:t>
            </w:r>
          </w:p>
          <w:p w14:paraId="0E0DE73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"https://www.ssfb86.com/index/News/detail/newsid/17892.html"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本项相关法规汇编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2C4F1F3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第三十条   </w:t>
            </w:r>
            <w:r>
              <w:rPr>
                <w:rFonts w:hint="eastAsia" w:ascii="宋体" w:hAnsi="宋体" w:eastAsia="宋体" w:cs="宋体"/>
                <w:i w:val="0"/>
                <w:iCs w:val="0"/>
                <w:caps w:val="0"/>
                <w:color w:val="333333"/>
                <w:spacing w:val="0"/>
                <w:sz w:val="24"/>
                <w:szCs w:val="24"/>
                <w:shd w:val="clear" w:fill="FFFFFF"/>
              </w:rPr>
              <w:t>增值税法第二十四条第一款第八项所称学校，是指依据有关规定设立的提供学历教育的机构，以及技工学校、高级技工学校、技师学院。</w:t>
            </w:r>
          </w:p>
          <w:p w14:paraId="7F44E29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"https://www.ssfb86.com/index/News/detail/newsid/17892.html"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w:t>
            </w:r>
            <w:r>
              <w:rPr>
                <w:rStyle w:val="10"/>
                <w:rFonts w:hint="eastAsia" w:ascii="楷体" w:hAnsi="楷体" w:eastAsia="楷体" w:cs="楷体"/>
                <w:i w:val="0"/>
                <w:iCs w:val="0"/>
                <w:caps w:val="0"/>
                <w:color w:val="005C81"/>
                <w:spacing w:val="0"/>
                <w:sz w:val="19"/>
                <w:szCs w:val="19"/>
                <w:u w:val="single"/>
                <w:lang w:val="en-US" w:eastAsia="zh-CN"/>
              </w:rPr>
              <w:t>条</w:t>
            </w:r>
            <w:r>
              <w:rPr>
                <w:rStyle w:val="10"/>
                <w:rFonts w:hint="eastAsia" w:ascii="楷体" w:hAnsi="楷体" w:eastAsia="楷体" w:cs="楷体"/>
                <w:i w:val="0"/>
                <w:iCs w:val="0"/>
                <w:caps w:val="0"/>
                <w:color w:val="005C81"/>
                <w:spacing w:val="0"/>
                <w:sz w:val="19"/>
                <w:szCs w:val="19"/>
                <w:u w:val="single"/>
              </w:rPr>
              <w:t>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r>
      <w:tr w14:paraId="12822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7" w:hRule="atLeast"/>
        </w:trPr>
        <w:tc>
          <w:tcPr>
            <w:tcW w:w="3790" w:type="dxa"/>
            <w:shd w:val="clear" w:color="auto" w:fill="auto"/>
            <w:vAlign w:val="top"/>
          </w:tcPr>
          <w:p w14:paraId="5F794D06">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（九）纪念馆、博物馆、文化馆、文物保护单位管理机构、美术馆、展览馆、书画院、图书馆举办文化活动的门票收入，宗教场所举办文化、宗教活动的门票收入。</w:t>
            </w:r>
          </w:p>
          <w:p w14:paraId="4AA46EE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"https://www.ssfb86.com/index/News/detail/newsid/17893.html"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本项相关法规汇编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5BA3BA09">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第三十</w:t>
            </w:r>
            <w:r>
              <w:rPr>
                <w:rFonts w:hint="eastAsia" w:asciiTheme="minorEastAsia" w:hAnsiTheme="minorEastAsia" w:cstheme="minorEastAsia"/>
                <w:b w:val="0"/>
                <w:bCs w:val="0"/>
                <w:color w:val="000000" w:themeColor="text1"/>
                <w:kern w:val="0"/>
                <w:sz w:val="24"/>
                <w:szCs w:val="24"/>
                <w:lang w:val="en-US" w:eastAsia="zh-CN" w:bidi="ar"/>
                <w14:textFill>
                  <w14:solidFill>
                    <w14:schemeClr w14:val="tx1"/>
                  </w14:solidFill>
                </w14:textFill>
              </w:rPr>
              <w:t>一</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条   </w:t>
            </w:r>
            <w:r>
              <w:rPr>
                <w:rFonts w:hint="eastAsia" w:ascii="宋体" w:hAnsi="宋体" w:eastAsia="宋体" w:cs="宋体"/>
                <w:i w:val="0"/>
                <w:iCs w:val="0"/>
                <w:caps w:val="0"/>
                <w:color w:val="333333"/>
                <w:spacing w:val="0"/>
                <w:sz w:val="24"/>
                <w:szCs w:val="24"/>
                <w:shd w:val="clear" w:fill="FFFFFF"/>
              </w:rPr>
              <w:t>增值税法第二十四条第一款第九项所称门票收入，是指第一道门票收入。</w:t>
            </w:r>
          </w:p>
          <w:p w14:paraId="1BC7DF8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"https://www.ssfb86.com/index/News/detail/newsid/17893.html"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本项相关法规汇编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r>
      <w:tr w14:paraId="6E78D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3790" w:type="dxa"/>
            <w:shd w:val="clear" w:color="auto" w:fill="auto"/>
            <w:vAlign w:val="top"/>
          </w:tcPr>
          <w:p w14:paraId="1D2602C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前款规定的免税项目具体标准由国务院规定。</w:t>
            </w:r>
          </w:p>
        </w:tc>
        <w:tc>
          <w:tcPr>
            <w:tcW w:w="5775" w:type="dxa"/>
            <w:shd w:val="clear" w:color="auto" w:fill="auto"/>
            <w:vAlign w:val="top"/>
          </w:tcPr>
          <w:p w14:paraId="191ADFC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3DAAC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47" w:hRule="atLeast"/>
        </w:trPr>
        <w:tc>
          <w:tcPr>
            <w:tcW w:w="3790" w:type="dxa"/>
            <w:shd w:val="clear" w:color="auto" w:fill="auto"/>
            <w:vAlign w:val="top"/>
          </w:tcPr>
          <w:p w14:paraId="230E5AA0">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第二十五条 根据国民经济和社会发展的需要，国务院对支持小微企业发展、扶持重点产业、鼓励创新创业就业、公益事业捐赠等情形可以制定增值税专项优惠政策，报全国人民代表大会常务委员会备案。</w:t>
            </w:r>
          </w:p>
          <w:p w14:paraId="4DB07FE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国务院应当对增值税优惠政策适时开展评估、调整。</w:t>
            </w:r>
          </w:p>
        </w:tc>
        <w:tc>
          <w:tcPr>
            <w:tcW w:w="5775" w:type="dxa"/>
            <w:shd w:val="clear" w:color="auto" w:fill="auto"/>
            <w:vAlign w:val="top"/>
          </w:tcPr>
          <w:p w14:paraId="3DAB7BB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第三十</w:t>
            </w:r>
            <w:r>
              <w:rPr>
                <w:rFonts w:hint="eastAsia" w:asciiTheme="minorEastAsia" w:hAnsiTheme="minorEastAsia" w:cstheme="minorEastAsia"/>
                <w:b w:val="0"/>
                <w:bCs w:val="0"/>
                <w:color w:val="000000" w:themeColor="text1"/>
                <w:kern w:val="0"/>
                <w:sz w:val="24"/>
                <w:szCs w:val="24"/>
                <w:lang w:val="en-US" w:eastAsia="zh-CN" w:bidi="ar"/>
                <w14:textFill>
                  <w14:solidFill>
                    <w14:schemeClr w14:val="tx1"/>
                  </w14:solidFill>
                </w14:textFill>
              </w:rPr>
              <w:t>二</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条   </w:t>
            </w:r>
            <w:r>
              <w:rPr>
                <w:rFonts w:hint="eastAsia" w:ascii="宋体" w:hAnsi="宋体" w:eastAsia="宋体" w:cs="宋体"/>
                <w:i w:val="0"/>
                <w:iCs w:val="0"/>
                <w:caps w:val="0"/>
                <w:color w:val="333333"/>
                <w:spacing w:val="0"/>
                <w:sz w:val="24"/>
                <w:szCs w:val="24"/>
                <w:shd w:val="clear" w:fill="FFFFFF"/>
              </w:rPr>
              <w:t>增值税优惠政策的适用范围、标准、条件等应当依法及时向社会公开。</w:t>
            </w:r>
          </w:p>
          <w:p w14:paraId="608074A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宋体" w:hAnsi="宋体" w:eastAsia="宋体" w:cs="宋体"/>
                <w:i w:val="0"/>
                <w:iCs w:val="0"/>
                <w:caps w:val="0"/>
                <w:color w:val="333333"/>
                <w:spacing w:val="0"/>
                <w:sz w:val="24"/>
                <w:szCs w:val="24"/>
                <w:shd w:val="clear" w:fill="FFFFFF"/>
              </w:rPr>
            </w:pPr>
          </w:p>
          <w:p w14:paraId="501842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 xml:space="preserve">第三十三条   </w:t>
            </w:r>
            <w:r>
              <w:rPr>
                <w:rFonts w:hint="eastAsia" w:ascii="宋体" w:hAnsi="宋体" w:eastAsia="宋体" w:cs="宋体"/>
                <w:i w:val="0"/>
                <w:iCs w:val="0"/>
                <w:caps w:val="0"/>
                <w:color w:val="333333"/>
                <w:spacing w:val="0"/>
                <w:sz w:val="24"/>
                <w:szCs w:val="24"/>
                <w:shd w:val="clear" w:fill="FFFFFF"/>
              </w:rPr>
              <w:t>国务院财政、税务主管部门应当适时研究和评估增值税优惠政策执行效果，对不再适应国民经济和社会发展需要的优惠政策，及时报请国务院予以调整完善。</w:t>
            </w:r>
            <w:r>
              <w:rPr>
                <w:rFonts w:hint="eastAsia" w:ascii="宋体" w:hAnsi="宋体" w:eastAsia="宋体" w:cs="宋体"/>
                <w:i w:val="0"/>
                <w:iCs w:val="0"/>
                <w:caps w:val="0"/>
                <w:color w:val="333333"/>
                <w:spacing w:val="0"/>
                <w:sz w:val="24"/>
                <w:szCs w:val="24"/>
                <w:shd w:val="clear" w:fill="FFFFFF"/>
                <w:lang w:val="en-US" w:eastAsia="zh-CN"/>
              </w:rPr>
              <w:t xml:space="preserve"> </w:t>
            </w:r>
          </w:p>
          <w:p w14:paraId="5418A87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tc>
      </w:tr>
      <w:tr w14:paraId="76CB8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25" w:hRule="atLeast"/>
        </w:trPr>
        <w:tc>
          <w:tcPr>
            <w:tcW w:w="3790" w:type="dxa"/>
            <w:shd w:val="clear" w:color="auto" w:fill="auto"/>
            <w:vAlign w:val="top"/>
          </w:tcPr>
          <w:p w14:paraId="44D600B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第二十六条 纳税人兼营增值税优惠项目的，应当单独核算增值税优惠项目的销售额；未单独核算的项目，不得享受税收优惠。</w:t>
            </w:r>
          </w:p>
          <w:p w14:paraId="753380F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"https://www.ssfb86.com/index/News/detail/newsid/17937.html"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11F6898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tc>
      </w:tr>
      <w:tr w14:paraId="755C3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19" w:hRule="atLeast"/>
        </w:trPr>
        <w:tc>
          <w:tcPr>
            <w:tcW w:w="3790" w:type="dxa"/>
            <w:shd w:val="clear" w:color="auto" w:fill="auto"/>
            <w:vAlign w:val="top"/>
          </w:tcPr>
          <w:p w14:paraId="25C4CA32">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第二十七条 纳税人可以放弃增值税优惠；放弃优惠的，在三十六个月内不得享受该项税收优惠，小规模纳税人除外。</w:t>
            </w:r>
          </w:p>
          <w:p w14:paraId="45537F3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"https://www.ssfb86.com/index/News/detail/newsid/17937.html"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23884AA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7EDAD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5" w:hRule="atLeast"/>
        </w:trPr>
        <w:tc>
          <w:tcPr>
            <w:tcW w:w="3790" w:type="dxa"/>
            <w:shd w:val="clear" w:color="auto" w:fill="auto"/>
            <w:vAlign w:val="center"/>
          </w:tcPr>
          <w:p w14:paraId="6B37AFAA">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color w:val="1D41D5"/>
                <w:kern w:val="0"/>
                <w:sz w:val="24"/>
                <w:szCs w:val="24"/>
                <w:lang w:val="en-US" w:eastAsia="zh-CN" w:bidi="ar"/>
              </w:rPr>
            </w:pPr>
            <w:r>
              <w:rPr>
                <w:rFonts w:hint="eastAsia" w:asciiTheme="minorEastAsia" w:hAnsiTheme="minorEastAsia" w:eastAsiaTheme="minorEastAsia" w:cstheme="minorEastAsia"/>
                <w:b/>
                <w:bCs/>
                <w:color w:val="1D41D5"/>
                <w:kern w:val="0"/>
                <w:sz w:val="24"/>
                <w:szCs w:val="24"/>
                <w:lang w:val="en-US" w:eastAsia="zh-CN" w:bidi="ar"/>
              </w:rPr>
              <w:t>第五章 征收管理</w:t>
            </w:r>
          </w:p>
        </w:tc>
        <w:tc>
          <w:tcPr>
            <w:tcW w:w="5775" w:type="dxa"/>
            <w:shd w:val="clear" w:color="auto" w:fill="auto"/>
            <w:vAlign w:val="center"/>
          </w:tcPr>
          <w:p w14:paraId="1464D947">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color w:val="1D41D5"/>
                <w:kern w:val="0"/>
                <w:sz w:val="24"/>
                <w:szCs w:val="24"/>
                <w:lang w:val="en-US" w:eastAsia="zh-CN" w:bidi="ar"/>
              </w:rPr>
            </w:pPr>
            <w:r>
              <w:rPr>
                <w:rFonts w:hint="eastAsia" w:asciiTheme="minorEastAsia" w:hAnsiTheme="minorEastAsia" w:eastAsiaTheme="minorEastAsia" w:cstheme="minorEastAsia"/>
                <w:b/>
                <w:bCs/>
                <w:color w:val="1D41D5"/>
                <w:kern w:val="0"/>
                <w:sz w:val="24"/>
                <w:szCs w:val="24"/>
                <w:lang w:val="en-US" w:eastAsia="zh-CN" w:bidi="ar"/>
              </w:rPr>
              <w:t>第五章 征收管理</w:t>
            </w:r>
          </w:p>
        </w:tc>
      </w:tr>
      <w:tr w14:paraId="74DEC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66" w:hRule="atLeast"/>
        </w:trPr>
        <w:tc>
          <w:tcPr>
            <w:tcW w:w="3790" w:type="dxa"/>
            <w:shd w:val="clear" w:color="auto" w:fill="auto"/>
            <w:vAlign w:val="top"/>
          </w:tcPr>
          <w:p w14:paraId="0200EC2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c>
          <w:tcPr>
            <w:tcW w:w="5775" w:type="dxa"/>
            <w:shd w:val="clear" w:color="auto" w:fill="auto"/>
            <w:vAlign w:val="top"/>
          </w:tcPr>
          <w:p w14:paraId="75D519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Style w:val="8"/>
                <w:rFonts w:hint="eastAsia" w:ascii="宋体" w:hAnsi="宋体" w:eastAsia="宋体" w:cs="宋体"/>
                <w:i w:val="0"/>
                <w:iCs w:val="0"/>
                <w:caps w:val="0"/>
                <w:color w:val="333333"/>
                <w:spacing w:val="0"/>
                <w:sz w:val="24"/>
                <w:szCs w:val="24"/>
                <w:shd w:val="clear" w:fill="FFFFFF"/>
              </w:rPr>
              <w:t>第三十七条　</w:t>
            </w:r>
            <w:r>
              <w:rPr>
                <w:rFonts w:hint="eastAsia" w:ascii="宋体" w:hAnsi="宋体" w:eastAsia="宋体" w:cs="宋体"/>
                <w:i w:val="0"/>
                <w:iCs w:val="0"/>
                <w:caps w:val="0"/>
                <w:color w:val="333333"/>
                <w:spacing w:val="0"/>
                <w:sz w:val="24"/>
                <w:szCs w:val="24"/>
                <w:shd w:val="clear" w:fill="FFFFFF"/>
              </w:rPr>
              <w:t>纳税人发生应税交易，应当向购买方开具发票。有下列情形之一的，不得开具增值税专用发票：</w:t>
            </w:r>
          </w:p>
          <w:p w14:paraId="26BBF8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（一）应税交易的购买方为自然人；</w:t>
            </w:r>
          </w:p>
          <w:p w14:paraId="0A6EA6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（二）应税交易免征增值税；</w:t>
            </w:r>
          </w:p>
          <w:p w14:paraId="06F9175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rPr>
              <w:t>（三）国务院财政、税务主管部门规定的其他情形。</w:t>
            </w:r>
          </w:p>
          <w:p w14:paraId="12CDF596">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"https://www.ssfb86.com/index/News/detail/newsid/18815.html" </w:instrText>
            </w:r>
            <w:r>
              <w:rPr>
                <w:rFonts w:hint="eastAsia" w:ascii="楷体" w:hAnsi="楷体" w:eastAsia="楷体" w:cs="楷体"/>
                <w:i w:val="0"/>
                <w:iCs w:val="0"/>
                <w:caps w:val="0"/>
                <w:color w:val="005C81"/>
                <w:spacing w:val="0"/>
                <w:sz w:val="19"/>
                <w:szCs w:val="19"/>
                <w:u w:val="none"/>
              </w:rPr>
              <w:fldChar w:fldCharType="separate"/>
            </w:r>
            <w:r>
              <w:rPr>
                <w:rStyle w:val="10"/>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1D8DC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58" w:hRule="atLeast"/>
        </w:trPr>
        <w:tc>
          <w:tcPr>
            <w:tcW w:w="3790" w:type="dxa"/>
            <w:shd w:val="clear" w:color="auto" w:fill="auto"/>
            <w:vAlign w:val="top"/>
          </w:tcPr>
          <w:p w14:paraId="368F0B5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c>
          <w:tcPr>
            <w:tcW w:w="5775" w:type="dxa"/>
            <w:shd w:val="clear" w:color="auto" w:fill="auto"/>
            <w:vAlign w:val="top"/>
          </w:tcPr>
          <w:p w14:paraId="191CB7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Style w:val="8"/>
                <w:rFonts w:hint="eastAsia" w:ascii="宋体" w:hAnsi="宋体" w:eastAsia="宋体" w:cs="宋体"/>
                <w:i w:val="0"/>
                <w:iCs w:val="0"/>
                <w:caps w:val="0"/>
                <w:color w:val="333333"/>
                <w:spacing w:val="0"/>
                <w:sz w:val="24"/>
                <w:szCs w:val="24"/>
                <w:shd w:val="clear" w:fill="FFFFFF"/>
              </w:rPr>
              <w:t>第三十八条　</w:t>
            </w:r>
            <w:r>
              <w:rPr>
                <w:rFonts w:hint="eastAsia" w:ascii="宋体" w:hAnsi="宋体" w:eastAsia="宋体" w:cs="宋体"/>
                <w:i w:val="0"/>
                <w:iCs w:val="0"/>
                <w:caps w:val="0"/>
                <w:color w:val="333333"/>
                <w:spacing w:val="0"/>
                <w:sz w:val="24"/>
                <w:szCs w:val="24"/>
                <w:shd w:val="clear" w:fill="FFFFFF"/>
              </w:rPr>
              <w:t>纳税人发生应税交易，开具增值税专用发票后，发生开票有误或者销售折让、中止、退回等情形的，应当按照国务院税务主管部门的规定进行作废处理或者开具红字增值税专用发票；未按规定进行作废处理或者开具红字增值税专用发票的，不得依照本条例第十三条和第十四条的规定扣减销项税额或者销售额。</w:t>
            </w:r>
          </w:p>
          <w:p w14:paraId="68AEEE6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"https://www.ssfb86.com/index/News/detail/newsid/18816.html" </w:instrText>
            </w:r>
            <w:r>
              <w:rPr>
                <w:rFonts w:hint="eastAsia" w:ascii="楷体" w:hAnsi="楷体" w:eastAsia="楷体" w:cs="楷体"/>
                <w:i w:val="0"/>
                <w:iCs w:val="0"/>
                <w:caps w:val="0"/>
                <w:color w:val="005C81"/>
                <w:spacing w:val="0"/>
                <w:sz w:val="19"/>
                <w:szCs w:val="19"/>
                <w:u w:val="none"/>
              </w:rPr>
              <w:fldChar w:fldCharType="separate"/>
            </w:r>
            <w:r>
              <w:rPr>
                <w:rStyle w:val="10"/>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325D6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1" w:hRule="atLeast"/>
        </w:trPr>
        <w:tc>
          <w:tcPr>
            <w:tcW w:w="3790" w:type="dxa"/>
            <w:shd w:val="clear" w:color="auto" w:fill="auto"/>
            <w:vAlign w:val="top"/>
          </w:tcPr>
          <w:p w14:paraId="6570B6B9">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第二十八条 增值税纳税义务发生时间，按照下列规定确定：</w:t>
            </w:r>
          </w:p>
        </w:tc>
        <w:tc>
          <w:tcPr>
            <w:tcW w:w="5775" w:type="dxa"/>
            <w:shd w:val="clear" w:color="auto" w:fill="auto"/>
            <w:vAlign w:val="top"/>
          </w:tcPr>
          <w:p w14:paraId="319AD1D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68463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3790" w:type="dxa"/>
            <w:shd w:val="clear" w:color="auto" w:fill="auto"/>
            <w:vAlign w:val="top"/>
          </w:tcPr>
          <w:p w14:paraId="53217C69">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（一）发生应税交易，纳税义务发生时间为收讫销售款项或者取得销售款项索取凭据的当日；先开具发票的，为开具发票的当日。</w:t>
            </w:r>
          </w:p>
        </w:tc>
        <w:tc>
          <w:tcPr>
            <w:tcW w:w="5775" w:type="dxa"/>
            <w:shd w:val="clear" w:color="auto" w:fill="auto"/>
            <w:vAlign w:val="top"/>
          </w:tcPr>
          <w:p w14:paraId="00A534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Style w:val="8"/>
                <w:rFonts w:hint="eastAsia" w:ascii="宋体" w:hAnsi="宋体" w:eastAsia="宋体" w:cs="宋体"/>
                <w:i w:val="0"/>
                <w:iCs w:val="0"/>
                <w:caps w:val="0"/>
                <w:color w:val="333333"/>
                <w:spacing w:val="0"/>
                <w:sz w:val="24"/>
                <w:szCs w:val="24"/>
                <w:shd w:val="clear" w:fill="FFFFFF"/>
              </w:rPr>
              <w:t>第三十九条　</w:t>
            </w:r>
            <w:r>
              <w:rPr>
                <w:rFonts w:hint="eastAsia" w:ascii="宋体" w:hAnsi="宋体" w:eastAsia="宋体" w:cs="宋体"/>
                <w:i w:val="0"/>
                <w:iCs w:val="0"/>
                <w:caps w:val="0"/>
                <w:color w:val="333333"/>
                <w:spacing w:val="0"/>
                <w:sz w:val="24"/>
                <w:szCs w:val="24"/>
                <w:shd w:val="clear" w:fill="FFFFFF"/>
              </w:rPr>
              <w:t>增值税法第二十八条第一款第一项所称收讫销售款项，是指纳税人发生应税交易过程中或者完成后收到款项；取得销售款项索取凭据的当日，是指书面合同确定的付款日期，未签订书面合同或者书面合同未确定付款日期的，是指应税交易完成的当日，即</w:t>
            </w:r>
            <w:r>
              <w:rPr>
                <w:rFonts w:hint="eastAsia" w:ascii="宋体" w:hAnsi="宋体" w:eastAsia="宋体" w:cs="宋体"/>
                <w:i w:val="0"/>
                <w:iCs w:val="0"/>
                <w:caps w:val="0"/>
                <w:color w:val="333333"/>
                <w:spacing w:val="0"/>
                <w:sz w:val="24"/>
                <w:szCs w:val="24"/>
                <w:highlight w:val="cyan"/>
                <w:shd w:val="clear" w:fill="FFFFFF"/>
              </w:rPr>
              <w:t>货物发出</w:t>
            </w:r>
            <w:r>
              <w:rPr>
                <w:rFonts w:hint="eastAsia" w:ascii="宋体" w:hAnsi="宋体" w:eastAsia="宋体" w:cs="宋体"/>
                <w:i w:val="0"/>
                <w:iCs w:val="0"/>
                <w:caps w:val="0"/>
                <w:color w:val="333333"/>
                <w:spacing w:val="0"/>
                <w:sz w:val="24"/>
                <w:szCs w:val="24"/>
                <w:shd w:val="clear" w:fill="FFFFFF"/>
              </w:rPr>
              <w:t>、服务完成、金融商</w:t>
            </w:r>
            <w:bookmarkStart w:id="0" w:name="_GoBack"/>
            <w:bookmarkEnd w:id="0"/>
            <w:r>
              <w:rPr>
                <w:rFonts w:hint="eastAsia" w:ascii="宋体" w:hAnsi="宋体" w:eastAsia="宋体" w:cs="宋体"/>
                <w:i w:val="0"/>
                <w:iCs w:val="0"/>
                <w:caps w:val="0"/>
                <w:color w:val="333333"/>
                <w:spacing w:val="0"/>
                <w:sz w:val="24"/>
                <w:szCs w:val="24"/>
                <w:shd w:val="clear" w:fill="FFFFFF"/>
              </w:rPr>
              <w:t>品所有权转移、无形资产转让完成或者不动产转让完成的当日。</w:t>
            </w:r>
          </w:p>
          <w:p w14:paraId="36CB5423">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"https://www.ssfb86.com/index/News/detail/newsid/17938.html" </w:instrText>
            </w:r>
            <w:r>
              <w:rPr>
                <w:rFonts w:hint="eastAsia" w:ascii="楷体" w:hAnsi="楷体" w:eastAsia="楷体" w:cs="楷体"/>
                <w:i w:val="0"/>
                <w:iCs w:val="0"/>
                <w:caps w:val="0"/>
                <w:color w:val="005C81"/>
                <w:spacing w:val="0"/>
                <w:sz w:val="19"/>
                <w:szCs w:val="19"/>
                <w:u w:val="none"/>
              </w:rPr>
              <w:fldChar w:fldCharType="separate"/>
            </w:r>
            <w:r>
              <w:rPr>
                <w:rStyle w:val="10"/>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4C169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25" w:hRule="atLeast"/>
        </w:trPr>
        <w:tc>
          <w:tcPr>
            <w:tcW w:w="3790" w:type="dxa"/>
            <w:shd w:val="clear" w:color="auto" w:fill="auto"/>
            <w:vAlign w:val="top"/>
          </w:tcPr>
          <w:p w14:paraId="5BFC5B23">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（二）发生视同应税交易，纳税义务发生时间为完成视同应税交易的当日。</w:t>
            </w:r>
          </w:p>
        </w:tc>
        <w:tc>
          <w:tcPr>
            <w:tcW w:w="5775" w:type="dxa"/>
            <w:shd w:val="clear" w:color="auto" w:fill="auto"/>
            <w:vAlign w:val="top"/>
          </w:tcPr>
          <w:p w14:paraId="78309A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Style w:val="8"/>
                <w:rFonts w:hint="eastAsia" w:ascii="宋体" w:hAnsi="宋体" w:eastAsia="宋体" w:cs="宋体"/>
                <w:i w:val="0"/>
                <w:iCs w:val="0"/>
                <w:caps w:val="0"/>
                <w:color w:val="333333"/>
                <w:spacing w:val="0"/>
                <w:sz w:val="24"/>
                <w:szCs w:val="24"/>
                <w:shd w:val="clear" w:fill="FFFFFF"/>
              </w:rPr>
              <w:t>第四十条　</w:t>
            </w:r>
            <w:r>
              <w:rPr>
                <w:rFonts w:hint="eastAsia" w:ascii="宋体" w:hAnsi="宋体" w:eastAsia="宋体" w:cs="宋体"/>
                <w:i w:val="0"/>
                <w:iCs w:val="0"/>
                <w:caps w:val="0"/>
                <w:color w:val="333333"/>
                <w:spacing w:val="0"/>
                <w:sz w:val="24"/>
                <w:szCs w:val="24"/>
                <w:shd w:val="clear" w:fill="FFFFFF"/>
              </w:rPr>
              <w:t>增值税法第二十八条第一款第二项所称完成视同应税交易的当日，是指</w:t>
            </w:r>
            <w:r>
              <w:rPr>
                <w:rFonts w:hint="eastAsia" w:ascii="宋体" w:hAnsi="宋体" w:eastAsia="宋体" w:cs="宋体"/>
                <w:i w:val="0"/>
                <w:iCs w:val="0"/>
                <w:caps w:val="0"/>
                <w:color w:val="333333"/>
                <w:spacing w:val="0"/>
                <w:sz w:val="24"/>
                <w:szCs w:val="24"/>
                <w:highlight w:val="cyan"/>
                <w:shd w:val="clear" w:fill="FFFFFF"/>
              </w:rPr>
              <w:t>货物发出</w:t>
            </w:r>
            <w:r>
              <w:rPr>
                <w:rFonts w:hint="eastAsia" w:ascii="宋体" w:hAnsi="宋体" w:eastAsia="宋体" w:cs="宋体"/>
                <w:i w:val="0"/>
                <w:iCs w:val="0"/>
                <w:caps w:val="0"/>
                <w:color w:val="333333"/>
                <w:spacing w:val="0"/>
                <w:sz w:val="24"/>
                <w:szCs w:val="24"/>
                <w:shd w:val="clear" w:fill="FFFFFF"/>
              </w:rPr>
              <w:t>、金融商品所有权转移、无形资产转让完成或者不动产</w:t>
            </w:r>
            <w:r>
              <w:rPr>
                <w:rFonts w:hint="eastAsia" w:ascii="宋体" w:hAnsi="宋体" w:eastAsia="宋体" w:cs="宋体"/>
                <w:b/>
                <w:bCs/>
                <w:i w:val="0"/>
                <w:iCs w:val="0"/>
                <w:caps w:val="0"/>
                <w:color w:val="333333"/>
                <w:spacing w:val="0"/>
                <w:sz w:val="24"/>
                <w:szCs w:val="24"/>
                <w:highlight w:val="yellow"/>
                <w:shd w:val="clear" w:fill="FFFFFF"/>
              </w:rPr>
              <w:t>转让完成</w:t>
            </w:r>
            <w:r>
              <w:rPr>
                <w:rFonts w:hint="eastAsia" w:ascii="宋体" w:hAnsi="宋体" w:eastAsia="宋体" w:cs="宋体"/>
                <w:i w:val="0"/>
                <w:iCs w:val="0"/>
                <w:caps w:val="0"/>
                <w:color w:val="333333"/>
                <w:spacing w:val="0"/>
                <w:sz w:val="24"/>
                <w:szCs w:val="24"/>
                <w:shd w:val="clear" w:fill="FFFFFF"/>
              </w:rPr>
              <w:t>的当日。</w:t>
            </w:r>
          </w:p>
          <w:p w14:paraId="510EF82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"https://www.ssfb86.com/index/News/detail/newsid/17938.html" </w:instrText>
            </w:r>
            <w:r>
              <w:rPr>
                <w:rFonts w:hint="eastAsia" w:ascii="楷体" w:hAnsi="楷体" w:eastAsia="楷体" w:cs="楷体"/>
                <w:i w:val="0"/>
                <w:iCs w:val="0"/>
                <w:caps w:val="0"/>
                <w:color w:val="005C81"/>
                <w:spacing w:val="0"/>
                <w:sz w:val="19"/>
                <w:szCs w:val="19"/>
                <w:u w:val="none"/>
              </w:rPr>
              <w:fldChar w:fldCharType="separate"/>
            </w:r>
            <w:r>
              <w:rPr>
                <w:rStyle w:val="10"/>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p w14:paraId="200E4B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Style w:val="8"/>
                <w:rFonts w:hint="eastAsia" w:ascii="宋体" w:hAnsi="宋体" w:eastAsia="宋体" w:cs="宋体"/>
                <w:i w:val="0"/>
                <w:iCs w:val="0"/>
                <w:caps w:val="0"/>
                <w:color w:val="333333"/>
                <w:spacing w:val="0"/>
                <w:sz w:val="24"/>
                <w:szCs w:val="24"/>
                <w:shd w:val="clear" w:fill="FFFFFF"/>
              </w:rPr>
              <w:t>第四十一条　</w:t>
            </w:r>
            <w:r>
              <w:rPr>
                <w:rFonts w:hint="eastAsia" w:ascii="宋体" w:hAnsi="宋体" w:eastAsia="宋体" w:cs="宋体"/>
                <w:i w:val="0"/>
                <w:iCs w:val="0"/>
                <w:caps w:val="0"/>
                <w:color w:val="333333"/>
                <w:spacing w:val="0"/>
                <w:sz w:val="24"/>
                <w:szCs w:val="24"/>
                <w:shd w:val="clear" w:fill="FFFFFF"/>
              </w:rPr>
              <w:t>纳税人出口货物，报关出口日期早于增值税法第二十八条第一款第一项、第二项规定的纳税义务发生时间的，纳税义务发生时间为货物报关出口的当日。</w:t>
            </w:r>
          </w:p>
          <w:p w14:paraId="31FECE92">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"https://www.ssfb86.com/index/News/detail/newsid/17938.html" </w:instrText>
            </w:r>
            <w:r>
              <w:rPr>
                <w:rFonts w:hint="eastAsia" w:ascii="楷体" w:hAnsi="楷体" w:eastAsia="楷体" w:cs="楷体"/>
                <w:i w:val="0"/>
                <w:iCs w:val="0"/>
                <w:caps w:val="0"/>
                <w:color w:val="005C81"/>
                <w:spacing w:val="0"/>
                <w:sz w:val="19"/>
                <w:szCs w:val="19"/>
                <w:u w:val="none"/>
              </w:rPr>
              <w:fldChar w:fldCharType="separate"/>
            </w:r>
            <w:r>
              <w:rPr>
                <w:rStyle w:val="10"/>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3DC97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5" w:hRule="atLeast"/>
        </w:trPr>
        <w:tc>
          <w:tcPr>
            <w:tcW w:w="3790" w:type="dxa"/>
            <w:shd w:val="clear" w:color="auto" w:fill="auto"/>
            <w:vAlign w:val="top"/>
          </w:tcPr>
          <w:p w14:paraId="508FEE6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（三）进口货物，纳税义务发生时间为货物报关进口的当日。</w:t>
            </w:r>
          </w:p>
          <w:p w14:paraId="39BE1947">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"https://www.ssfb86.com/index/News/detail/newsid/17938.html"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1043949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794E8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5" w:hRule="atLeast"/>
        </w:trPr>
        <w:tc>
          <w:tcPr>
            <w:tcW w:w="3790" w:type="dxa"/>
            <w:shd w:val="clear" w:color="auto" w:fill="auto"/>
            <w:vAlign w:val="top"/>
          </w:tcPr>
          <w:p w14:paraId="711FDD2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增值税扣缴义务发生时间为纳税人增值税纳税义务发生的当日。</w:t>
            </w:r>
          </w:p>
        </w:tc>
        <w:tc>
          <w:tcPr>
            <w:tcW w:w="5775" w:type="dxa"/>
            <w:shd w:val="clear" w:color="auto" w:fill="auto"/>
            <w:vAlign w:val="top"/>
          </w:tcPr>
          <w:p w14:paraId="2274809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tc>
      </w:tr>
      <w:tr w14:paraId="29B74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3790" w:type="dxa"/>
            <w:shd w:val="clear" w:color="auto" w:fill="auto"/>
            <w:vAlign w:val="top"/>
          </w:tcPr>
          <w:p w14:paraId="2CE1018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第二十九条 增值税纳税地点，按照下列规定确定：</w:t>
            </w:r>
          </w:p>
        </w:tc>
        <w:tc>
          <w:tcPr>
            <w:tcW w:w="5775" w:type="dxa"/>
            <w:shd w:val="clear" w:color="auto" w:fill="auto"/>
            <w:vAlign w:val="top"/>
          </w:tcPr>
          <w:p w14:paraId="6790302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3C59C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958" w:hRule="atLeast"/>
        </w:trPr>
        <w:tc>
          <w:tcPr>
            <w:tcW w:w="3790" w:type="dxa"/>
            <w:shd w:val="clear" w:color="auto" w:fill="auto"/>
            <w:vAlign w:val="top"/>
          </w:tcPr>
          <w:p w14:paraId="0937C217">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一）有固定生产经营场所的纳税人，应当向其机构所在地或者居住地主管税务机关申报纳税。总机构和分支机构不在同一县（市）的，应当分别向各自所在地的主管税务机关申报纳税；经省级以上财政、税务主管部门批准，可以由总机构汇总向总机构所在地的主管税务机关申报纳税。</w:t>
            </w:r>
          </w:p>
        </w:tc>
        <w:tc>
          <w:tcPr>
            <w:tcW w:w="5775" w:type="dxa"/>
            <w:shd w:val="clear" w:color="auto" w:fill="auto"/>
            <w:vAlign w:val="top"/>
          </w:tcPr>
          <w:p w14:paraId="3F33F5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Style w:val="8"/>
                <w:rFonts w:hint="eastAsia" w:ascii="宋体" w:hAnsi="宋体" w:eastAsia="宋体" w:cs="宋体"/>
                <w:i w:val="0"/>
                <w:iCs w:val="0"/>
                <w:caps w:val="0"/>
                <w:color w:val="333333"/>
                <w:spacing w:val="0"/>
                <w:sz w:val="24"/>
                <w:szCs w:val="24"/>
                <w:shd w:val="clear" w:fill="FFFFFF"/>
              </w:rPr>
              <w:t>第四十二条　</w:t>
            </w:r>
            <w:r>
              <w:rPr>
                <w:rFonts w:hint="eastAsia" w:ascii="宋体" w:hAnsi="宋体" w:eastAsia="宋体" w:cs="宋体"/>
                <w:i w:val="0"/>
                <w:iCs w:val="0"/>
                <w:caps w:val="0"/>
                <w:color w:val="333333"/>
                <w:spacing w:val="0"/>
                <w:sz w:val="24"/>
                <w:szCs w:val="24"/>
                <w:shd w:val="clear" w:fill="FFFFFF"/>
              </w:rPr>
              <w:t>增值税法第二十九条第一项所称经省级以上财政、税务主管部门批准可以由总机构汇总申报纳税，是指有固定生产经营场所的纳税人，总机构和分支机构不在同一省（自治区、直辖市）内的，经国务院财政、税务主管部门批准，可以由总机构汇总向总机构所在地的主管税务机关申报纳税；总机构和分支机构在同一省（自治区、直辖市）内但不在同一县（市、区、旗）内的，经省（自治区、直辖市）财政、税务主管部门批准，可以由总机构汇总向总机构所在地的主管税务机关申报纳税。</w:t>
            </w:r>
          </w:p>
          <w:p w14:paraId="2F721ED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"https://www.ssfb86.com/index/News/detail/newsid/17940.html" </w:instrText>
            </w:r>
            <w:r>
              <w:rPr>
                <w:rFonts w:hint="eastAsia" w:ascii="楷体" w:hAnsi="楷体" w:eastAsia="楷体" w:cs="楷体"/>
                <w:i w:val="0"/>
                <w:iCs w:val="0"/>
                <w:caps w:val="0"/>
                <w:color w:val="005C81"/>
                <w:spacing w:val="0"/>
                <w:sz w:val="19"/>
                <w:szCs w:val="19"/>
                <w:u w:val="none"/>
              </w:rPr>
              <w:fldChar w:fldCharType="separate"/>
            </w:r>
            <w:r>
              <w:rPr>
                <w:rStyle w:val="10"/>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7FF31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87" w:hRule="atLeast"/>
        </w:trPr>
        <w:tc>
          <w:tcPr>
            <w:tcW w:w="3790" w:type="dxa"/>
            <w:shd w:val="clear" w:color="auto" w:fill="auto"/>
            <w:vAlign w:val="top"/>
          </w:tcPr>
          <w:p w14:paraId="49604C5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（二）无固定生产经营场所的纳税人，应当向其应税交易发生地主管税务机关申报纳税；未申报纳税的，由其机构所在地或者居住地主管税务机关补征税款。</w:t>
            </w:r>
          </w:p>
          <w:p w14:paraId="31071C7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（三）自然人销售或者租赁不动产，转让自然资源使用权，提供建筑服务，应当向不动产所在地、自然资源所在地、建筑服务发生地主管税务机关申报纳税。</w:t>
            </w:r>
          </w:p>
          <w:p w14:paraId="40DA018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（四）进口货物的纳税人，应当按照海关规定的地点申报纳税。</w:t>
            </w:r>
          </w:p>
        </w:tc>
        <w:tc>
          <w:tcPr>
            <w:tcW w:w="5775" w:type="dxa"/>
            <w:shd w:val="clear" w:color="auto" w:fill="auto"/>
            <w:vAlign w:val="top"/>
          </w:tcPr>
          <w:p w14:paraId="22D0758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4C359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67" w:hRule="atLeast"/>
        </w:trPr>
        <w:tc>
          <w:tcPr>
            <w:tcW w:w="3790" w:type="dxa"/>
            <w:shd w:val="clear" w:color="auto" w:fill="auto"/>
            <w:vAlign w:val="top"/>
          </w:tcPr>
          <w:p w14:paraId="7E41F3C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（五）扣缴义务人，应当向其机构所在地或者居住地主管税务机关申报缴纳扣缴的税款；机构所在地或者居住地在境外的，应当向应税交易发生地主管税务机关申报缴纳扣缴的税款。</w:t>
            </w:r>
          </w:p>
          <w:p w14:paraId="63D3C3F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 </w:t>
            </w:r>
            <w:r>
              <w:rPr>
                <w:rFonts w:hint="eastAsia"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"https://www.ssfb86.com/index/News/detail/newsid/17940.html"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671C11D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tc>
      </w:tr>
      <w:tr w14:paraId="221B7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69" w:hRule="atLeast"/>
        </w:trPr>
        <w:tc>
          <w:tcPr>
            <w:tcW w:w="3790" w:type="dxa"/>
            <w:shd w:val="clear" w:color="auto" w:fill="auto"/>
            <w:vAlign w:val="top"/>
          </w:tcPr>
          <w:p w14:paraId="15C8E01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第三十条 增值税的计税期间分别为十日、十五日、一个月或者一个季度。纳税人的具体计税期间，由主管税务机关根据纳税人应纳税额的大小分别核定。不经常发生应税交易的纳税人，可以按次纳税。</w:t>
            </w:r>
          </w:p>
        </w:tc>
        <w:tc>
          <w:tcPr>
            <w:tcW w:w="5775" w:type="dxa"/>
            <w:vMerge w:val="restart"/>
            <w:shd w:val="clear" w:color="auto" w:fill="auto"/>
            <w:vAlign w:val="top"/>
          </w:tcPr>
          <w:p w14:paraId="6C28A5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Style w:val="8"/>
                <w:rFonts w:hint="eastAsia" w:ascii="宋体" w:hAnsi="宋体" w:eastAsia="宋体" w:cs="宋体"/>
                <w:i w:val="0"/>
                <w:iCs w:val="0"/>
                <w:caps w:val="0"/>
                <w:color w:val="333333"/>
                <w:spacing w:val="0"/>
                <w:sz w:val="24"/>
                <w:szCs w:val="24"/>
                <w:shd w:val="clear" w:fill="FFFFFF"/>
              </w:rPr>
              <w:t>第四十三条　</w:t>
            </w:r>
            <w:r>
              <w:rPr>
                <w:rFonts w:hint="eastAsia" w:ascii="宋体" w:hAnsi="宋体" w:eastAsia="宋体" w:cs="宋体"/>
                <w:i w:val="0"/>
                <w:iCs w:val="0"/>
                <w:caps w:val="0"/>
                <w:color w:val="333333"/>
                <w:spacing w:val="0"/>
                <w:sz w:val="24"/>
                <w:szCs w:val="24"/>
                <w:shd w:val="clear" w:fill="FFFFFF"/>
              </w:rPr>
              <w:t>下列纳税人可以适用增值税法第三十条规定的以一个季度为一个计税期间：</w:t>
            </w:r>
          </w:p>
          <w:p w14:paraId="2A6906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（一）小规模纳税人；</w:t>
            </w:r>
          </w:p>
          <w:p w14:paraId="5EFC96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（二）一般纳税人中的银行、财务公司、信托公司、信用社；</w:t>
            </w:r>
          </w:p>
          <w:p w14:paraId="3F2F3B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rPr>
              <w:t>（三）国务院税务、财政主管部门确定的其他纳税人。</w:t>
            </w:r>
          </w:p>
          <w:p w14:paraId="58971E2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"https://www.ssfb86.com/index/News/detail/newsid/17941.html" </w:instrText>
            </w:r>
            <w:r>
              <w:rPr>
                <w:rFonts w:hint="eastAsia" w:ascii="楷体" w:hAnsi="楷体" w:eastAsia="楷体" w:cs="楷体"/>
                <w:i w:val="0"/>
                <w:iCs w:val="0"/>
                <w:caps w:val="0"/>
                <w:color w:val="005C81"/>
                <w:spacing w:val="0"/>
                <w:sz w:val="19"/>
                <w:szCs w:val="19"/>
                <w:u w:val="none"/>
              </w:rPr>
              <w:fldChar w:fldCharType="separate"/>
            </w:r>
            <w:r>
              <w:rPr>
                <w:rStyle w:val="10"/>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w:t>
            </w:r>
            <w:r>
              <w:rPr>
                <w:rFonts w:hint="eastAsia" w:asciiTheme="minorEastAsia" w:hAnsiTheme="minorEastAsia" w:eastAsiaTheme="minorEastAsia" w:cstheme="minorEastAsia"/>
                <w:b w:val="0"/>
                <w:bCs w:val="0"/>
                <w:color w:val="000000" w:themeColor="text1"/>
                <w:kern w:val="0"/>
                <w:sz w:val="24"/>
                <w:szCs w:val="24"/>
                <w:lang w:eastAsia="zh-CN" w:bidi="ar"/>
                <w14:textFill>
                  <w14:solidFill>
                    <w14:schemeClr w14:val="tx1"/>
                  </w14:solidFill>
                </w14:textFill>
              </w:rPr>
              <w:t xml:space="preserve">  </w:t>
            </w:r>
            <w:r>
              <w:rPr>
                <w:rStyle w:val="8"/>
                <w:rFonts w:hint="eastAsia" w:ascii="宋体" w:hAnsi="宋体" w:eastAsia="宋体" w:cs="宋体"/>
                <w:i w:val="0"/>
                <w:iCs w:val="0"/>
                <w:caps w:val="0"/>
                <w:color w:val="333333"/>
                <w:spacing w:val="0"/>
                <w:sz w:val="24"/>
                <w:szCs w:val="24"/>
                <w:shd w:val="clear" w:fill="FFFFFF"/>
              </w:rPr>
              <w:t>第四十四条　</w:t>
            </w:r>
            <w:r>
              <w:rPr>
                <w:rFonts w:hint="eastAsia" w:ascii="宋体" w:hAnsi="宋体" w:eastAsia="宋体" w:cs="宋体"/>
                <w:i w:val="0"/>
                <w:iCs w:val="0"/>
                <w:caps w:val="0"/>
                <w:color w:val="333333"/>
                <w:spacing w:val="0"/>
                <w:sz w:val="24"/>
                <w:szCs w:val="24"/>
                <w:shd w:val="clear" w:fill="FFFFFF"/>
              </w:rPr>
              <w:t>按次纳税的纳税人，销售额达到起征点的，应当自纳税义务发生之日起至次年6月30日前申报纳税</w:t>
            </w:r>
          </w:p>
          <w:p w14:paraId="5E5C23C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"https://www.ssfb86.com/index/News/detail/newsid/17941.html" </w:instrText>
            </w:r>
            <w:r>
              <w:rPr>
                <w:rFonts w:hint="eastAsia" w:ascii="楷体" w:hAnsi="楷体" w:eastAsia="楷体" w:cs="楷体"/>
                <w:i w:val="0"/>
                <w:iCs w:val="0"/>
                <w:caps w:val="0"/>
                <w:color w:val="005C81"/>
                <w:spacing w:val="0"/>
                <w:sz w:val="19"/>
                <w:szCs w:val="19"/>
                <w:u w:val="none"/>
              </w:rPr>
              <w:fldChar w:fldCharType="separate"/>
            </w:r>
            <w:r>
              <w:rPr>
                <w:rStyle w:val="10"/>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2B43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6" w:hRule="atLeast"/>
        </w:trPr>
        <w:tc>
          <w:tcPr>
            <w:tcW w:w="3790" w:type="dxa"/>
            <w:shd w:val="clear" w:color="auto" w:fill="auto"/>
            <w:vAlign w:val="top"/>
          </w:tcPr>
          <w:p w14:paraId="3015F7E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纳税人以一个月或者一个季度为一个计税期间的，自期满之日起十五日内申报纳税；以十日或者十五日为一个计税期间的，自次月一日起十五日内申报纳税。</w:t>
            </w:r>
          </w:p>
        </w:tc>
        <w:tc>
          <w:tcPr>
            <w:tcW w:w="5775" w:type="dxa"/>
            <w:vMerge w:val="continue"/>
            <w:shd w:val="clear" w:color="auto" w:fill="auto"/>
            <w:vAlign w:val="top"/>
          </w:tcPr>
          <w:p w14:paraId="3F0C66C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29D4E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3790" w:type="dxa"/>
            <w:shd w:val="clear" w:color="auto" w:fill="auto"/>
            <w:vAlign w:val="top"/>
          </w:tcPr>
          <w:p w14:paraId="5C07261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扣缴义务人解缴税款的计税期间和申报纳税期限，依照前两款规定执行。</w:t>
            </w:r>
          </w:p>
        </w:tc>
        <w:tc>
          <w:tcPr>
            <w:tcW w:w="5775" w:type="dxa"/>
            <w:vMerge w:val="continue"/>
            <w:shd w:val="clear" w:color="auto" w:fill="auto"/>
            <w:vAlign w:val="top"/>
          </w:tcPr>
          <w:p w14:paraId="484F84C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5D204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1" w:hRule="atLeast"/>
        </w:trPr>
        <w:tc>
          <w:tcPr>
            <w:tcW w:w="3790" w:type="dxa"/>
            <w:shd w:val="clear" w:color="auto" w:fill="auto"/>
            <w:vAlign w:val="top"/>
          </w:tcPr>
          <w:p w14:paraId="12B02F6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纳税人进口货物，应当按照海关规定的期限申报并缴纳税款。</w:t>
            </w:r>
          </w:p>
          <w:p w14:paraId="321BF86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"https://www.ssfb86.com/index/News/detail/newsid/17941.html"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continue"/>
            <w:shd w:val="clear" w:color="auto" w:fill="auto"/>
            <w:vAlign w:val="top"/>
          </w:tcPr>
          <w:p w14:paraId="0E005ED6">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2CD51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80" w:hRule="atLeast"/>
        </w:trPr>
        <w:tc>
          <w:tcPr>
            <w:tcW w:w="3790" w:type="dxa"/>
            <w:vMerge w:val="restart"/>
            <w:shd w:val="clear" w:color="auto" w:fill="auto"/>
            <w:vAlign w:val="top"/>
          </w:tcPr>
          <w:p w14:paraId="5F614C0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第三十一条 纳税人以十日或者十五日为一个计税期间的，应当自期满之日起五日内预缴税款。法律、行政法规对纳税人预缴税款另有规定的，从其规定。</w:t>
            </w:r>
          </w:p>
          <w:p w14:paraId="4C7F70A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"https://www.ssfb86.com/index/News/detail/newsid/17942.html"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restart"/>
            <w:shd w:val="clear" w:color="auto" w:fill="auto"/>
            <w:vAlign w:val="top"/>
          </w:tcPr>
          <w:p w14:paraId="424D632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2" w:firstLineChars="200"/>
              <w:jc w:val="both"/>
              <w:textAlignment w:val="auto"/>
              <w:rPr>
                <w:rFonts w:hint="eastAsia" w:ascii="宋体" w:hAnsi="宋体" w:eastAsia="宋体" w:cs="宋体"/>
                <w:i w:val="0"/>
                <w:iCs w:val="0"/>
                <w:caps w:val="0"/>
                <w:color w:val="333333"/>
                <w:spacing w:val="0"/>
                <w:sz w:val="24"/>
                <w:szCs w:val="24"/>
              </w:rPr>
            </w:pPr>
            <w:r>
              <w:rPr>
                <w:rStyle w:val="8"/>
                <w:rFonts w:hint="eastAsia" w:ascii="宋体" w:hAnsi="宋体" w:eastAsia="宋体" w:cs="宋体"/>
                <w:i w:val="0"/>
                <w:iCs w:val="0"/>
                <w:caps w:val="0"/>
                <w:color w:val="333333"/>
                <w:spacing w:val="0"/>
                <w:sz w:val="24"/>
                <w:szCs w:val="24"/>
                <w:shd w:val="clear" w:fill="FFFFFF"/>
              </w:rPr>
              <w:t>第四十五条　</w:t>
            </w:r>
            <w:r>
              <w:rPr>
                <w:rFonts w:hint="eastAsia" w:ascii="宋体" w:hAnsi="宋体" w:eastAsia="宋体" w:cs="宋体"/>
                <w:i w:val="0"/>
                <w:iCs w:val="0"/>
                <w:caps w:val="0"/>
                <w:color w:val="333333"/>
                <w:spacing w:val="0"/>
                <w:sz w:val="24"/>
                <w:szCs w:val="24"/>
                <w:shd w:val="clear" w:fill="FFFFFF"/>
              </w:rPr>
              <w:t>下列情形应当按规定预缴税款：</w:t>
            </w:r>
          </w:p>
          <w:p w14:paraId="30E0F8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（一）跨地级行政区（</w:t>
            </w:r>
            <w:r>
              <w:rPr>
                <w:rFonts w:hint="eastAsia" w:ascii="宋体" w:hAnsi="宋体" w:eastAsia="宋体" w:cs="宋体"/>
                <w:b/>
                <w:bCs/>
                <w:i w:val="0"/>
                <w:iCs w:val="0"/>
                <w:caps w:val="0"/>
                <w:color w:val="333333"/>
                <w:spacing w:val="0"/>
                <w:sz w:val="24"/>
                <w:szCs w:val="24"/>
                <w:highlight w:val="yellow"/>
                <w:shd w:val="clear" w:fill="FFFFFF"/>
              </w:rPr>
              <w:t>直辖市下辖县区</w:t>
            </w:r>
            <w:r>
              <w:rPr>
                <w:rFonts w:hint="eastAsia" w:ascii="宋体" w:hAnsi="宋体" w:eastAsia="宋体" w:cs="宋体"/>
                <w:i w:val="0"/>
                <w:iCs w:val="0"/>
                <w:caps w:val="0"/>
                <w:color w:val="333333"/>
                <w:spacing w:val="0"/>
                <w:sz w:val="24"/>
                <w:szCs w:val="24"/>
                <w:shd w:val="clear" w:fill="FFFFFF"/>
              </w:rPr>
              <w:t>）提供建筑服务；</w:t>
            </w:r>
          </w:p>
          <w:p w14:paraId="0BF1A2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（二）采取预收款方式提供建筑服务；</w:t>
            </w:r>
          </w:p>
          <w:p w14:paraId="69DB3B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（三）采取预售方式销售房地产项目；</w:t>
            </w:r>
          </w:p>
          <w:p w14:paraId="7B24B5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（四）转让或者出租与纳税人机构所在地不在同一县（市、区、旗）内的不动产；</w:t>
            </w:r>
          </w:p>
          <w:p w14:paraId="1C750B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（五）油气田企业跨省、自治区、直辖市销售与生产原油、天然气相关的服务。</w:t>
            </w:r>
          </w:p>
          <w:p w14:paraId="1C3156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本条第一款规定的预缴税款的具体操作办法，由国务院财政、税务主管部门制定。</w:t>
            </w:r>
          </w:p>
          <w:p w14:paraId="0E86339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p w14:paraId="5319CAC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p w14:paraId="01330E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"https://www.ssfb86.com/index/News/detail/newsid/17942.html" </w:instrText>
            </w:r>
            <w:r>
              <w:rPr>
                <w:rFonts w:hint="eastAsia" w:ascii="楷体" w:hAnsi="楷体" w:eastAsia="楷体" w:cs="楷体"/>
                <w:i w:val="0"/>
                <w:iCs w:val="0"/>
                <w:caps w:val="0"/>
                <w:color w:val="005C81"/>
                <w:spacing w:val="0"/>
                <w:sz w:val="19"/>
                <w:szCs w:val="19"/>
                <w:u w:val="none"/>
              </w:rPr>
              <w:fldChar w:fldCharType="separate"/>
            </w:r>
            <w:r>
              <w:rPr>
                <w:rStyle w:val="10"/>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lang w:eastAsia="zh-CN" w:bidi="ar"/>
                <w14:textFill>
                  <w14:solidFill>
                    <w14:schemeClr w14:val="tx1"/>
                  </w14:solidFill>
                </w14:textFill>
              </w:rPr>
              <w:t xml:space="preserve">    </w:t>
            </w:r>
            <w:r>
              <w:rPr>
                <w:rStyle w:val="8"/>
                <w:rFonts w:hint="eastAsia" w:ascii="宋体" w:hAnsi="宋体" w:eastAsia="宋体" w:cs="宋体"/>
                <w:i w:val="0"/>
                <w:iCs w:val="0"/>
                <w:caps w:val="0"/>
                <w:color w:val="333333"/>
                <w:spacing w:val="0"/>
                <w:sz w:val="24"/>
                <w:szCs w:val="24"/>
                <w:shd w:val="clear" w:fill="FFFFFF"/>
              </w:rPr>
              <w:t>第四十六条　</w:t>
            </w:r>
            <w:r>
              <w:rPr>
                <w:rFonts w:hint="eastAsia" w:ascii="宋体" w:hAnsi="宋体" w:eastAsia="宋体" w:cs="宋体"/>
                <w:i w:val="0"/>
                <w:iCs w:val="0"/>
                <w:caps w:val="0"/>
                <w:color w:val="333333"/>
                <w:spacing w:val="0"/>
                <w:sz w:val="24"/>
                <w:szCs w:val="24"/>
                <w:shd w:val="clear" w:fill="FFFFFF"/>
              </w:rPr>
              <w:t>经省级以上财政、税务主管部门批准由总机构汇总申报纳税的，批准部门可以规定由分支机构预缴税款。</w:t>
            </w:r>
          </w:p>
          <w:p w14:paraId="4E4D44A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"https://www.ssfb86.com/index/News/detail/newsid/17942.html" </w:instrText>
            </w:r>
            <w:r>
              <w:rPr>
                <w:rFonts w:hint="eastAsia" w:ascii="楷体" w:hAnsi="楷体" w:eastAsia="楷体" w:cs="楷体"/>
                <w:i w:val="0"/>
                <w:iCs w:val="0"/>
                <w:caps w:val="0"/>
                <w:color w:val="005C81"/>
                <w:spacing w:val="0"/>
                <w:sz w:val="19"/>
                <w:szCs w:val="19"/>
                <w:u w:val="none"/>
              </w:rPr>
              <w:fldChar w:fldCharType="separate"/>
            </w:r>
            <w:r>
              <w:rPr>
                <w:rStyle w:val="10"/>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69F82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07" w:hRule="atLeast"/>
        </w:trPr>
        <w:tc>
          <w:tcPr>
            <w:tcW w:w="3790" w:type="dxa"/>
            <w:vMerge w:val="continue"/>
            <w:shd w:val="clear" w:color="auto" w:fill="auto"/>
            <w:vAlign w:val="top"/>
          </w:tcPr>
          <w:p w14:paraId="180B64C4">
            <w:pPr>
              <w:keepNext w:val="0"/>
              <w:keepLines w:val="0"/>
              <w:pageBreakBefore w:val="0"/>
              <w:kinsoku/>
              <w:wordWrap/>
              <w:overflowPunct/>
              <w:topLinePunct w:val="0"/>
              <w:autoSpaceDE/>
              <w:autoSpaceDN/>
              <w:bidi w:val="0"/>
              <w:adjustRightInd w:val="0"/>
              <w:snapToGrid w:val="0"/>
              <w:spacing w:after="0"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c>
          <w:tcPr>
            <w:tcW w:w="5775" w:type="dxa"/>
            <w:vMerge w:val="continue"/>
            <w:shd w:val="clear" w:color="auto" w:fill="auto"/>
            <w:vAlign w:val="top"/>
          </w:tcPr>
          <w:p w14:paraId="7772284A">
            <w:pPr>
              <w:keepNext w:val="0"/>
              <w:keepLines w:val="0"/>
              <w:pageBreakBefore w:val="0"/>
              <w:kinsoku/>
              <w:wordWrap/>
              <w:overflowPunct/>
              <w:topLinePunct w:val="0"/>
              <w:autoSpaceDE/>
              <w:autoSpaceDN/>
              <w:bidi w:val="0"/>
              <w:adjustRightInd w:val="0"/>
              <w:snapToGrid w:val="0"/>
              <w:spacing w:after="0"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113FA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3790" w:type="dxa"/>
            <w:shd w:val="clear" w:color="auto" w:fill="auto"/>
            <w:vAlign w:val="top"/>
          </w:tcPr>
          <w:p w14:paraId="0186C4F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第三十二条 增值税由税务机关征收，进口货物的增值税由海关代征。</w:t>
            </w:r>
          </w:p>
        </w:tc>
        <w:tc>
          <w:tcPr>
            <w:tcW w:w="5775" w:type="dxa"/>
            <w:vMerge w:val="restart"/>
            <w:shd w:val="clear" w:color="auto" w:fill="auto"/>
            <w:vAlign w:val="top"/>
          </w:tcPr>
          <w:p w14:paraId="18B644C2">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07908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3790" w:type="dxa"/>
            <w:shd w:val="clear" w:color="auto" w:fill="auto"/>
            <w:vAlign w:val="top"/>
          </w:tcPr>
          <w:p w14:paraId="41DCC75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海关应当将代征增值税和货物出口报关的信息提供给税务机关。</w:t>
            </w:r>
          </w:p>
        </w:tc>
        <w:tc>
          <w:tcPr>
            <w:tcW w:w="5775" w:type="dxa"/>
            <w:vMerge w:val="continue"/>
            <w:shd w:val="clear" w:color="auto" w:fill="auto"/>
            <w:vAlign w:val="top"/>
          </w:tcPr>
          <w:p w14:paraId="166BBBD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532B4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3790" w:type="dxa"/>
            <w:shd w:val="clear" w:color="auto" w:fill="auto"/>
            <w:vAlign w:val="top"/>
          </w:tcPr>
          <w:p w14:paraId="106C639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个人携带或者寄递进境物品增值税的计征办法由国务院制定，报全国人民代表大会常务委员会备案。</w:t>
            </w:r>
          </w:p>
          <w:p w14:paraId="704C141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"https://www.ssfb86.com/index/News/detail/newsid/17943.html"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continue"/>
            <w:shd w:val="clear" w:color="auto" w:fill="auto"/>
            <w:vAlign w:val="top"/>
          </w:tcPr>
          <w:p w14:paraId="3D1FA9D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2EB03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790" w:type="dxa"/>
            <w:vMerge w:val="restart"/>
            <w:shd w:val="clear" w:color="auto" w:fill="auto"/>
            <w:vAlign w:val="top"/>
          </w:tcPr>
          <w:p w14:paraId="4F60016E">
            <w:pPr>
              <w:keepNext w:val="0"/>
              <w:keepLines w:val="0"/>
              <w:pageBreakBefore w:val="0"/>
              <w:widowControl/>
              <w:suppressLineNumbers w:val="0"/>
              <w:kinsoku/>
              <w:wordWrap/>
              <w:overflowPunct/>
              <w:topLinePunct w:val="0"/>
              <w:autoSpaceDE/>
              <w:autoSpaceDN/>
              <w:bidi w:val="0"/>
              <w:adjustRightInd w:val="0"/>
              <w:snapToGrid w:val="0"/>
              <w:spacing w:afterAutospacing="0"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第三十三条 纳税人出口货物或者跨境销售服务、无形资产，适用零税率的，应当向主管税务机关申报办理退（免）税。出口退（免）税的具体办法，由国务院制定。</w:t>
            </w:r>
          </w:p>
          <w:p w14:paraId="27A99249">
            <w:pPr>
              <w:keepNext w:val="0"/>
              <w:keepLines w:val="0"/>
              <w:pageBreakBefore w:val="0"/>
              <w:widowControl/>
              <w:suppressLineNumbers w:val="0"/>
              <w:kinsoku/>
              <w:wordWrap/>
              <w:overflowPunct/>
              <w:topLinePunct w:val="0"/>
              <w:autoSpaceDE/>
              <w:autoSpaceDN/>
              <w:bidi w:val="0"/>
              <w:adjustRightInd w:val="0"/>
              <w:snapToGrid w:val="0"/>
              <w:spacing w:afterAutospacing="0"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"https://ssfb86.com/index/News/detail/newsid/7541.html"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p>
        </w:tc>
        <w:tc>
          <w:tcPr>
            <w:tcW w:w="5775" w:type="dxa"/>
            <w:shd w:val="clear" w:color="auto" w:fill="auto"/>
            <w:vAlign w:val="top"/>
          </w:tcPr>
          <w:p w14:paraId="183D25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Style w:val="8"/>
                <w:rFonts w:hint="eastAsia" w:ascii="宋体" w:hAnsi="宋体" w:eastAsia="宋体" w:cs="宋体"/>
                <w:i w:val="0"/>
                <w:iCs w:val="0"/>
                <w:caps w:val="0"/>
                <w:color w:val="333333"/>
                <w:spacing w:val="0"/>
                <w:sz w:val="24"/>
                <w:szCs w:val="24"/>
                <w:shd w:val="clear" w:fill="FFFFFF"/>
              </w:rPr>
              <w:t>第四十七条　</w:t>
            </w:r>
            <w:r>
              <w:rPr>
                <w:rFonts w:hint="eastAsia" w:ascii="宋体" w:hAnsi="宋体" w:eastAsia="宋体" w:cs="宋体"/>
                <w:i w:val="0"/>
                <w:iCs w:val="0"/>
                <w:caps w:val="0"/>
                <w:color w:val="333333"/>
                <w:spacing w:val="0"/>
                <w:sz w:val="24"/>
                <w:szCs w:val="24"/>
                <w:shd w:val="clear" w:fill="FFFFFF"/>
              </w:rPr>
              <w:t>纳税人出口货物或者跨境销售服务、无形资产（以下统称出口业务），依照增值税法第三十三条的规定申报办理退（免）税的，按照国务院规定的出口退税率，通过免抵退税办法或者免退税办法计算退（免）税额，经税务机关审核通过后，办理退（免）税。</w:t>
            </w:r>
          </w:p>
          <w:p w14:paraId="32B1BC3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rPr>
              <w:t>免抵退税办法，是指出口环节免征增值税，对应的进项税额抵减应纳增值税税额，未抵减完的部分予以退还；免退税办法，是指出口环节免征增值税，对应的进项税额予以退还。</w:t>
            </w:r>
          </w:p>
          <w:p w14:paraId="0FD91C99">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"https://www.ssfb86.com/index/News/detail/newsid/17795.html" </w:instrText>
            </w:r>
            <w:r>
              <w:rPr>
                <w:rFonts w:hint="eastAsia" w:ascii="楷体" w:hAnsi="楷体" w:eastAsia="楷体" w:cs="楷体"/>
                <w:i w:val="0"/>
                <w:iCs w:val="0"/>
                <w:caps w:val="0"/>
                <w:color w:val="005C81"/>
                <w:spacing w:val="0"/>
                <w:sz w:val="19"/>
                <w:szCs w:val="19"/>
                <w:u w:val="none"/>
              </w:rPr>
              <w:fldChar w:fldCharType="separate"/>
            </w:r>
            <w:r>
              <w:rPr>
                <w:rStyle w:val="10"/>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4C99A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38" w:hRule="atLeast"/>
        </w:trPr>
        <w:tc>
          <w:tcPr>
            <w:tcW w:w="3790" w:type="dxa"/>
            <w:vMerge w:val="continue"/>
            <w:shd w:val="clear" w:color="auto" w:fill="auto"/>
            <w:vAlign w:val="top"/>
          </w:tcPr>
          <w:p w14:paraId="151C4548">
            <w:pPr>
              <w:keepNext w:val="0"/>
              <w:keepLines w:val="0"/>
              <w:pageBreakBefore w:val="0"/>
              <w:kinsoku/>
              <w:wordWrap/>
              <w:overflowPunct/>
              <w:topLinePunct w:val="0"/>
              <w:autoSpaceDE/>
              <w:autoSpaceDN/>
              <w:bidi w:val="0"/>
              <w:adjustRightInd w:val="0"/>
              <w:snapToGrid w:val="0"/>
              <w:spacing w:after="0"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c>
          <w:tcPr>
            <w:tcW w:w="5775" w:type="dxa"/>
            <w:shd w:val="clear" w:color="auto" w:fill="auto"/>
            <w:vAlign w:val="top"/>
          </w:tcPr>
          <w:p w14:paraId="5D0B80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Style w:val="8"/>
                <w:rFonts w:hint="eastAsia" w:ascii="宋体" w:hAnsi="宋体" w:eastAsia="宋体" w:cs="宋体"/>
                <w:i w:val="0"/>
                <w:iCs w:val="0"/>
                <w:caps w:val="0"/>
                <w:color w:val="333333"/>
                <w:spacing w:val="0"/>
                <w:sz w:val="24"/>
                <w:szCs w:val="24"/>
                <w:shd w:val="clear" w:fill="FFFFFF"/>
              </w:rPr>
              <w:t>第四十八条　</w:t>
            </w:r>
            <w:r>
              <w:rPr>
                <w:rFonts w:hint="eastAsia" w:ascii="宋体" w:hAnsi="宋体" w:eastAsia="宋体" w:cs="宋体"/>
                <w:i w:val="0"/>
                <w:iCs w:val="0"/>
                <w:caps w:val="0"/>
                <w:color w:val="333333"/>
                <w:spacing w:val="0"/>
                <w:sz w:val="24"/>
                <w:szCs w:val="24"/>
                <w:shd w:val="clear" w:fill="FFFFFF"/>
              </w:rPr>
              <w:t>纳税人适用退（免）税、免征增值税的出口业务，应当按照规定期限申报；逾期未申报的，按照视同向境内销售的规定缴纳增值税。</w:t>
            </w:r>
          </w:p>
          <w:p w14:paraId="790BFA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rPr>
              <w:t>纳税人以委托方式出口货物的，应当按照国务院税务主管部门的规定办理委托代理出口手续，由委托方按规定申报办理出口退（免）税、免征增值税或者缴纳增值税；未办理委托代理出口手续的，由出口货物的发货人按规定申报缴纳增值税。</w:t>
            </w:r>
          </w:p>
          <w:p w14:paraId="30AB21E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"https://www.ssfb86.com/index/News/detail/newsid/17795.html" </w:instrText>
            </w:r>
            <w:r>
              <w:rPr>
                <w:rFonts w:hint="eastAsia" w:ascii="楷体" w:hAnsi="楷体" w:eastAsia="楷体" w:cs="楷体"/>
                <w:i w:val="0"/>
                <w:iCs w:val="0"/>
                <w:caps w:val="0"/>
                <w:color w:val="005C81"/>
                <w:spacing w:val="0"/>
                <w:sz w:val="19"/>
                <w:szCs w:val="19"/>
                <w:u w:val="none"/>
              </w:rPr>
              <w:fldChar w:fldCharType="separate"/>
            </w:r>
            <w:r>
              <w:rPr>
                <w:rStyle w:val="10"/>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1365E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3" w:hRule="atLeast"/>
        </w:trPr>
        <w:tc>
          <w:tcPr>
            <w:tcW w:w="3790" w:type="dxa"/>
            <w:vMerge w:val="continue"/>
            <w:shd w:val="clear" w:color="auto" w:fill="auto"/>
            <w:vAlign w:val="top"/>
          </w:tcPr>
          <w:p w14:paraId="0D61499D">
            <w:pPr>
              <w:keepNext w:val="0"/>
              <w:keepLines w:val="0"/>
              <w:pageBreakBefore w:val="0"/>
              <w:kinsoku/>
              <w:wordWrap/>
              <w:overflowPunct/>
              <w:topLinePunct w:val="0"/>
              <w:autoSpaceDE/>
              <w:autoSpaceDN/>
              <w:bidi w:val="0"/>
              <w:adjustRightInd w:val="0"/>
              <w:snapToGrid w:val="0"/>
              <w:spacing w:after="0"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c>
          <w:tcPr>
            <w:tcW w:w="5775" w:type="dxa"/>
            <w:shd w:val="clear" w:color="auto" w:fill="auto"/>
            <w:vAlign w:val="top"/>
          </w:tcPr>
          <w:p w14:paraId="0F7F2549">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tc>
      </w:tr>
      <w:tr w14:paraId="14D80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61" w:hRule="atLeast"/>
        </w:trPr>
        <w:tc>
          <w:tcPr>
            <w:tcW w:w="3790" w:type="dxa"/>
            <w:vMerge w:val="continue"/>
            <w:shd w:val="clear" w:color="auto" w:fill="auto"/>
            <w:vAlign w:val="top"/>
          </w:tcPr>
          <w:p w14:paraId="1404E839">
            <w:pPr>
              <w:keepNext w:val="0"/>
              <w:keepLines w:val="0"/>
              <w:pageBreakBefore w:val="0"/>
              <w:kinsoku/>
              <w:wordWrap/>
              <w:overflowPunct/>
              <w:topLinePunct w:val="0"/>
              <w:autoSpaceDE/>
              <w:autoSpaceDN/>
              <w:bidi w:val="0"/>
              <w:adjustRightInd w:val="0"/>
              <w:snapToGrid w:val="0"/>
              <w:spacing w:after="0"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c>
          <w:tcPr>
            <w:tcW w:w="5775" w:type="dxa"/>
            <w:shd w:val="clear" w:color="auto" w:fill="auto"/>
            <w:vAlign w:val="top"/>
          </w:tcPr>
          <w:p w14:paraId="6BD21A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Style w:val="8"/>
                <w:rFonts w:hint="eastAsia" w:ascii="宋体" w:hAnsi="宋体" w:eastAsia="宋体" w:cs="宋体"/>
                <w:i w:val="0"/>
                <w:iCs w:val="0"/>
                <w:caps w:val="0"/>
                <w:color w:val="333333"/>
                <w:spacing w:val="0"/>
                <w:sz w:val="24"/>
                <w:szCs w:val="24"/>
                <w:shd w:val="clear" w:fill="FFFFFF"/>
              </w:rPr>
              <w:t>第四十九条　</w:t>
            </w:r>
            <w:r>
              <w:rPr>
                <w:rFonts w:hint="eastAsia" w:ascii="宋体" w:hAnsi="宋体" w:eastAsia="宋体" w:cs="宋体"/>
                <w:i w:val="0"/>
                <w:iCs w:val="0"/>
                <w:caps w:val="0"/>
                <w:color w:val="333333"/>
                <w:spacing w:val="0"/>
                <w:sz w:val="24"/>
                <w:szCs w:val="24"/>
                <w:shd w:val="clear" w:fill="FFFFFF"/>
              </w:rPr>
              <w:t>纳税人适用退（免）税的出口业务，可以放弃退（免）税，选择免征增值税或者缴纳增值税，自放弃退（免）税之日次月起，适用退（免）税的出口业务免征增值税或者按规定缴纳增值税。</w:t>
            </w:r>
          </w:p>
          <w:p w14:paraId="35A97D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纳税人适用免征增值税的出口业务，可以放弃免征增值税，选择缴纳增值税，自放弃免征增值税之日次月起，适用免征增值税的出口业务按规定缴纳增值税。</w:t>
            </w:r>
          </w:p>
          <w:p w14:paraId="56879F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rPr>
              <w:t>纳税人放弃退（免）税或者免征增值税的出口业务，在36个月内不得再次适用退（免）税或者免征增值税。</w:t>
            </w:r>
          </w:p>
          <w:p w14:paraId="77EA630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"https://www.ssfb86.com/index/News/detail/newsid/17795.html" </w:instrText>
            </w:r>
            <w:r>
              <w:rPr>
                <w:rFonts w:hint="eastAsia" w:ascii="楷体" w:hAnsi="楷体" w:eastAsia="楷体" w:cs="楷体"/>
                <w:i w:val="0"/>
                <w:iCs w:val="0"/>
                <w:caps w:val="0"/>
                <w:color w:val="005C81"/>
                <w:spacing w:val="0"/>
                <w:sz w:val="19"/>
                <w:szCs w:val="19"/>
                <w:u w:val="none"/>
              </w:rPr>
              <w:fldChar w:fldCharType="separate"/>
            </w:r>
            <w:r>
              <w:rPr>
                <w:rStyle w:val="10"/>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6C69C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790" w:type="dxa"/>
            <w:vMerge w:val="continue"/>
            <w:shd w:val="clear" w:color="auto" w:fill="auto"/>
            <w:vAlign w:val="top"/>
          </w:tcPr>
          <w:p w14:paraId="783DCDFF">
            <w:pPr>
              <w:keepNext w:val="0"/>
              <w:keepLines w:val="0"/>
              <w:pageBreakBefore w:val="0"/>
              <w:kinsoku/>
              <w:wordWrap/>
              <w:overflowPunct/>
              <w:topLinePunct w:val="0"/>
              <w:autoSpaceDE/>
              <w:autoSpaceDN/>
              <w:bidi w:val="0"/>
              <w:adjustRightInd w:val="0"/>
              <w:snapToGrid w:val="0"/>
              <w:spacing w:after="0"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c>
          <w:tcPr>
            <w:tcW w:w="5775" w:type="dxa"/>
            <w:shd w:val="clear" w:color="auto" w:fill="auto"/>
            <w:vAlign w:val="top"/>
          </w:tcPr>
          <w:p w14:paraId="6F8551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Style w:val="8"/>
                <w:rFonts w:hint="eastAsia" w:ascii="宋体" w:hAnsi="宋体" w:eastAsia="宋体" w:cs="宋体"/>
                <w:i w:val="0"/>
                <w:iCs w:val="0"/>
                <w:caps w:val="0"/>
                <w:color w:val="333333"/>
                <w:spacing w:val="0"/>
                <w:sz w:val="24"/>
                <w:szCs w:val="24"/>
                <w:shd w:val="clear" w:fill="FFFFFF"/>
              </w:rPr>
              <w:t>第五十条　</w:t>
            </w:r>
            <w:r>
              <w:rPr>
                <w:rFonts w:hint="eastAsia" w:ascii="宋体" w:hAnsi="宋体" w:eastAsia="宋体" w:cs="宋体"/>
                <w:i w:val="0"/>
                <w:iCs w:val="0"/>
                <w:caps w:val="0"/>
                <w:color w:val="333333"/>
                <w:spacing w:val="0"/>
                <w:sz w:val="24"/>
                <w:szCs w:val="24"/>
                <w:shd w:val="clear" w:fill="FFFFFF"/>
              </w:rPr>
              <w:t>办理退（免）税的出口业务发生销售折让、中止或者退回等情形的，纳税人应当缴回已退（免）税款。</w:t>
            </w:r>
          </w:p>
          <w:p w14:paraId="34A95B8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"https://www.ssfb86.com/index/News/detail/newsid/17795.html" </w:instrText>
            </w:r>
            <w:r>
              <w:rPr>
                <w:rFonts w:hint="eastAsia" w:ascii="楷体" w:hAnsi="楷体" w:eastAsia="楷体" w:cs="楷体"/>
                <w:i w:val="0"/>
                <w:iCs w:val="0"/>
                <w:caps w:val="0"/>
                <w:color w:val="005C81"/>
                <w:spacing w:val="0"/>
                <w:sz w:val="19"/>
                <w:szCs w:val="19"/>
                <w:u w:val="none"/>
              </w:rPr>
              <w:fldChar w:fldCharType="separate"/>
            </w:r>
            <w:r>
              <w:rPr>
                <w:rStyle w:val="10"/>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16C2F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2" w:hRule="atLeast"/>
        </w:trPr>
        <w:tc>
          <w:tcPr>
            <w:tcW w:w="3790" w:type="dxa"/>
            <w:vMerge w:val="continue"/>
            <w:shd w:val="clear" w:color="auto" w:fill="auto"/>
            <w:vAlign w:val="top"/>
          </w:tcPr>
          <w:p w14:paraId="040BC582">
            <w:pPr>
              <w:keepNext w:val="0"/>
              <w:keepLines w:val="0"/>
              <w:pageBreakBefore w:val="0"/>
              <w:kinsoku/>
              <w:wordWrap/>
              <w:overflowPunct/>
              <w:topLinePunct w:val="0"/>
              <w:autoSpaceDE/>
              <w:autoSpaceDN/>
              <w:bidi w:val="0"/>
              <w:adjustRightInd w:val="0"/>
              <w:snapToGrid w:val="0"/>
              <w:spacing w:after="0"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c>
          <w:tcPr>
            <w:tcW w:w="5775" w:type="dxa"/>
            <w:shd w:val="clear" w:color="auto" w:fill="auto"/>
            <w:vAlign w:val="top"/>
          </w:tcPr>
          <w:p w14:paraId="7F5D59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Style w:val="8"/>
                <w:rFonts w:hint="eastAsia" w:ascii="宋体" w:hAnsi="宋体" w:eastAsia="宋体" w:cs="宋体"/>
                <w:i w:val="0"/>
                <w:iCs w:val="0"/>
                <w:caps w:val="0"/>
                <w:color w:val="333333"/>
                <w:spacing w:val="0"/>
                <w:sz w:val="24"/>
                <w:szCs w:val="24"/>
                <w:shd w:val="clear" w:fill="FFFFFF"/>
              </w:rPr>
              <w:t>第五十一条　</w:t>
            </w:r>
            <w:r>
              <w:rPr>
                <w:rFonts w:hint="eastAsia" w:ascii="宋体" w:hAnsi="宋体" w:eastAsia="宋体" w:cs="宋体"/>
                <w:i w:val="0"/>
                <w:iCs w:val="0"/>
                <w:caps w:val="0"/>
                <w:color w:val="333333"/>
                <w:spacing w:val="0"/>
                <w:sz w:val="24"/>
                <w:szCs w:val="24"/>
                <w:shd w:val="clear" w:fill="FFFFFF"/>
              </w:rPr>
              <w:t>增值税出口退（免）税的具体操作办法，由国务院财政、税务主管部门制定。</w:t>
            </w:r>
          </w:p>
          <w:p w14:paraId="3C4C965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tc>
      </w:tr>
      <w:tr w14:paraId="7782F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38" w:hRule="atLeast"/>
        </w:trPr>
        <w:tc>
          <w:tcPr>
            <w:tcW w:w="3790" w:type="dxa"/>
            <w:shd w:val="clear" w:color="auto" w:fill="auto"/>
            <w:vAlign w:val="top"/>
          </w:tcPr>
          <w:p w14:paraId="4CE31AF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第三十四条 纳税人应当依法开具和使用增值税发票。增值税发票包括纸质发票和电子发票。电子发票与纸质发票具有同等法律效力。</w:t>
            </w:r>
          </w:p>
          <w:p w14:paraId="2B38E99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国家积极推广使用电子发票。</w:t>
            </w:r>
          </w:p>
          <w:p w14:paraId="7848266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"https://ssfb86.com/index/News/detail/newsid/18836.html"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restart"/>
            <w:shd w:val="clear" w:color="auto" w:fill="auto"/>
            <w:vAlign w:val="top"/>
          </w:tcPr>
          <w:p w14:paraId="18DCD5E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p w14:paraId="10D754B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p w14:paraId="0B57968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p w14:paraId="456A195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p w14:paraId="1DEE1ED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p w14:paraId="030BBCC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p w14:paraId="4BEF979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p w14:paraId="192380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Style w:val="8"/>
                <w:rFonts w:hint="eastAsia" w:ascii="宋体" w:hAnsi="宋体" w:eastAsia="宋体" w:cs="宋体"/>
                <w:i w:val="0"/>
                <w:iCs w:val="0"/>
                <w:caps w:val="0"/>
                <w:color w:val="333333"/>
                <w:spacing w:val="0"/>
                <w:sz w:val="24"/>
                <w:szCs w:val="24"/>
                <w:shd w:val="clear" w:fill="FFFFFF"/>
              </w:rPr>
              <w:t>第五十二条　</w:t>
            </w:r>
            <w:r>
              <w:rPr>
                <w:rFonts w:hint="eastAsia" w:ascii="宋体" w:hAnsi="宋体" w:eastAsia="宋体" w:cs="宋体"/>
                <w:b/>
                <w:bCs/>
                <w:i w:val="0"/>
                <w:iCs w:val="0"/>
                <w:caps w:val="0"/>
                <w:color w:val="333333"/>
                <w:spacing w:val="0"/>
                <w:sz w:val="24"/>
                <w:szCs w:val="24"/>
                <w:highlight w:val="yellow"/>
                <w:shd w:val="clear" w:fill="FFFFFF"/>
              </w:rPr>
              <w:t>税务机关可以依法向有关单位和个人获取与出口税收征收管理相关的物流、报关、货物运输代理、资金结算等信息，有关单位和个人应当予以提供。税务机关及其工作人员应当对相关信息予以保密，不得用于税收征收管理以外的用途。法律、行政法规另有规定的，从其规</w:t>
            </w:r>
            <w:r>
              <w:rPr>
                <w:rFonts w:hint="eastAsia" w:ascii="宋体" w:hAnsi="宋体" w:eastAsia="宋体" w:cs="宋体"/>
                <w:i w:val="0"/>
                <w:iCs w:val="0"/>
                <w:caps w:val="0"/>
                <w:color w:val="333333"/>
                <w:spacing w:val="0"/>
                <w:sz w:val="24"/>
                <w:szCs w:val="24"/>
                <w:shd w:val="clear" w:fill="FFFFFF"/>
              </w:rPr>
              <w:t>定。</w:t>
            </w:r>
          </w:p>
          <w:p w14:paraId="2DFC0C53">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3D065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70" w:hRule="atLeast"/>
        </w:trPr>
        <w:tc>
          <w:tcPr>
            <w:tcW w:w="3790" w:type="dxa"/>
            <w:shd w:val="clear" w:color="auto" w:fill="auto"/>
            <w:vAlign w:val="top"/>
          </w:tcPr>
          <w:p w14:paraId="716DAF2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第三十五条 税务机关与工业和信息化、公安、海关、市场监督管理、人民银行、金融监督管理等部门建立增值税涉税信息共享机制和工作配合机制。</w:t>
            </w:r>
          </w:p>
          <w:p w14:paraId="58B9BA4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有关部门应当依照法律、行政法规，在各自职责范围内，支持、协助税务机关开展增值税征收管理。</w:t>
            </w:r>
          </w:p>
          <w:p w14:paraId="676F9F6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"https://www.ssfb86.com/index/News/detail/newsid/17943.html"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continue"/>
            <w:shd w:val="clear" w:color="auto" w:fill="auto"/>
            <w:vAlign w:val="top"/>
          </w:tcPr>
          <w:p w14:paraId="12ED188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76014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2" w:hRule="atLeast"/>
        </w:trPr>
        <w:tc>
          <w:tcPr>
            <w:tcW w:w="3790" w:type="dxa"/>
            <w:shd w:val="clear" w:color="auto" w:fill="auto"/>
            <w:vAlign w:val="top"/>
          </w:tcPr>
          <w:p w14:paraId="3CC7C680">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第三十六条 增值税的征收管理依照本法和《中华人民共和国税收征收管理法》的规定执行。</w:t>
            </w:r>
          </w:p>
          <w:p w14:paraId="44FE2B3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"https://www.ssfb86.com/index/News/detail/newsid/17955.html"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continue"/>
            <w:shd w:val="clear" w:color="auto" w:fill="auto"/>
            <w:vAlign w:val="top"/>
          </w:tcPr>
          <w:p w14:paraId="2E4F2A1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46A9F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8" w:hRule="atLeast"/>
        </w:trPr>
        <w:tc>
          <w:tcPr>
            <w:tcW w:w="3790" w:type="dxa"/>
            <w:shd w:val="clear" w:color="auto" w:fill="auto"/>
            <w:vAlign w:val="top"/>
          </w:tcPr>
          <w:p w14:paraId="6C13DDF6">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第三十七条 纳税人、扣缴义务人、税务机关及其工作人员违反本法规定的，依照《中华人民共和国税收征收管理法》和有关法律、行政法规的规定追究法律责任。</w:t>
            </w:r>
          </w:p>
          <w:p w14:paraId="6B8C9433">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"https://www.ssfb86.com/index/News/detail/newsid/17955.html"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continue"/>
            <w:shd w:val="clear" w:color="auto" w:fill="auto"/>
            <w:vAlign w:val="top"/>
          </w:tcPr>
          <w:p w14:paraId="0F317042">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7833A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790" w:type="dxa"/>
            <w:shd w:val="clear" w:color="auto" w:fill="auto"/>
            <w:vAlign w:val="center"/>
          </w:tcPr>
          <w:p w14:paraId="6A84D43A">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color w:val="1D41D5"/>
                <w:kern w:val="0"/>
                <w:sz w:val="24"/>
                <w:szCs w:val="24"/>
                <w:lang w:val="en-US" w:eastAsia="zh-CN" w:bidi="ar"/>
              </w:rPr>
            </w:pPr>
            <w:r>
              <w:rPr>
                <w:rFonts w:hint="eastAsia" w:asciiTheme="minorEastAsia" w:hAnsiTheme="minorEastAsia" w:eastAsiaTheme="minorEastAsia" w:cstheme="minorEastAsia"/>
                <w:b/>
                <w:bCs/>
                <w:color w:val="1D41D5"/>
                <w:kern w:val="0"/>
                <w:sz w:val="24"/>
                <w:szCs w:val="24"/>
                <w:lang w:val="en-US" w:eastAsia="zh-CN" w:bidi="ar"/>
              </w:rPr>
              <w:t>第六章 附则</w:t>
            </w:r>
          </w:p>
        </w:tc>
        <w:tc>
          <w:tcPr>
            <w:tcW w:w="5775" w:type="dxa"/>
            <w:shd w:val="clear" w:color="auto" w:fill="auto"/>
            <w:vAlign w:val="center"/>
          </w:tcPr>
          <w:p w14:paraId="28DAB292">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color w:val="1D41D5"/>
                <w:kern w:val="0"/>
                <w:sz w:val="24"/>
                <w:szCs w:val="24"/>
                <w:lang w:val="en-US" w:eastAsia="zh-CN" w:bidi="ar"/>
              </w:rPr>
            </w:pPr>
            <w:r>
              <w:rPr>
                <w:rFonts w:hint="eastAsia" w:asciiTheme="minorEastAsia" w:hAnsiTheme="minorEastAsia" w:eastAsiaTheme="minorEastAsia" w:cstheme="minorEastAsia"/>
                <w:b/>
                <w:bCs/>
                <w:color w:val="1D41D5"/>
                <w:kern w:val="0"/>
                <w:sz w:val="24"/>
                <w:szCs w:val="24"/>
                <w:lang w:val="en-US" w:eastAsia="zh-CN" w:bidi="ar"/>
              </w:rPr>
              <w:t>第六章</w:t>
            </w:r>
            <w:r>
              <w:rPr>
                <w:rFonts w:hint="eastAsia" w:asciiTheme="minorEastAsia" w:hAnsiTheme="minorEastAsia" w:eastAsiaTheme="minorEastAsia" w:cstheme="minorEastAsia"/>
                <w:b/>
                <w:bCs/>
                <w:color w:val="1D41D5"/>
                <w:kern w:val="0"/>
                <w:sz w:val="24"/>
                <w:szCs w:val="24"/>
                <w:lang w:eastAsia="zh-CN" w:bidi="ar"/>
              </w:rPr>
              <w:t xml:space="preserve">  </w:t>
            </w:r>
            <w:r>
              <w:rPr>
                <w:rFonts w:hint="eastAsia" w:asciiTheme="minorEastAsia" w:hAnsiTheme="minorEastAsia" w:eastAsiaTheme="minorEastAsia" w:cstheme="minorEastAsia"/>
                <w:b/>
                <w:bCs/>
                <w:color w:val="1D41D5"/>
                <w:kern w:val="0"/>
                <w:sz w:val="24"/>
                <w:szCs w:val="24"/>
                <w:lang w:val="en-US" w:eastAsia="zh-CN" w:bidi="ar"/>
              </w:rPr>
              <w:t xml:space="preserve"> 附则</w:t>
            </w:r>
          </w:p>
        </w:tc>
      </w:tr>
      <w:tr w14:paraId="51DDD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4" w:hRule="atLeast"/>
        </w:trPr>
        <w:tc>
          <w:tcPr>
            <w:tcW w:w="3790" w:type="dxa"/>
            <w:shd w:val="clear" w:color="auto" w:fill="auto"/>
            <w:vAlign w:val="top"/>
          </w:tcPr>
          <w:p w14:paraId="7CB27C7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第三十八条 本法自2026年1月1日起施行。《中华人民共和国增值税暂行条例》同时废止。</w:t>
            </w:r>
          </w:p>
          <w:p w14:paraId="3CB4096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"https://www.ssfb86.com/index/News/detail/newsid/17956.html"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7242CEC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2"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Style w:val="8"/>
                <w:rFonts w:hint="eastAsia" w:ascii="宋体" w:hAnsi="宋体" w:eastAsia="宋体" w:cs="宋体"/>
                <w:i w:val="0"/>
                <w:iCs w:val="0"/>
                <w:caps w:val="0"/>
                <w:color w:val="333333"/>
                <w:spacing w:val="0"/>
                <w:sz w:val="24"/>
                <w:szCs w:val="24"/>
                <w:shd w:val="clear" w:fill="FFFFFF"/>
              </w:rPr>
              <w:t>第五十四条　</w:t>
            </w:r>
            <w:r>
              <w:rPr>
                <w:rFonts w:hint="eastAsia" w:ascii="宋体" w:hAnsi="宋体" w:eastAsia="宋体" w:cs="宋体"/>
                <w:i w:val="0"/>
                <w:iCs w:val="0"/>
                <w:caps w:val="0"/>
                <w:color w:val="333333"/>
                <w:spacing w:val="0"/>
                <w:sz w:val="24"/>
                <w:szCs w:val="24"/>
                <w:shd w:val="clear" w:fill="FFFFFF"/>
              </w:rPr>
              <w:t>本条例自2026年1月1日起施行。</w:t>
            </w:r>
          </w:p>
          <w:p w14:paraId="0C5DB67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"https://www.ssfb86.com/index/News/detail/newsid/17956.html" </w:instrText>
            </w:r>
            <w:r>
              <w:rPr>
                <w:rFonts w:hint="eastAsia" w:ascii="宋体" w:hAnsi="宋体" w:eastAsia="宋体" w:cs="宋体"/>
                <w:i w:val="0"/>
                <w:iCs w:val="0"/>
                <w:caps w:val="0"/>
                <w:color w:val="6E6E6E"/>
                <w:spacing w:val="0"/>
                <w:sz w:val="19"/>
                <w:szCs w:val="19"/>
                <w:u w:val="single"/>
              </w:rPr>
              <w:fldChar w:fldCharType="separate"/>
            </w:r>
            <w:r>
              <w:rPr>
                <w:rStyle w:val="10"/>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r>
    </w:tbl>
    <w:p w14:paraId="1B2A014F">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DCD3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238189">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E238189">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A5B44"/>
    <w:rsid w:val="14531E16"/>
    <w:rsid w:val="17FD4F95"/>
    <w:rsid w:val="19B93F36"/>
    <w:rsid w:val="1BD17D12"/>
    <w:rsid w:val="1D737E80"/>
    <w:rsid w:val="1D7F6705"/>
    <w:rsid w:val="214159E8"/>
    <w:rsid w:val="235E1A10"/>
    <w:rsid w:val="24205573"/>
    <w:rsid w:val="2AEEFA64"/>
    <w:rsid w:val="2C853A8F"/>
    <w:rsid w:val="32166E03"/>
    <w:rsid w:val="344D6881"/>
    <w:rsid w:val="35E054DE"/>
    <w:rsid w:val="3BC57B5D"/>
    <w:rsid w:val="40B530C4"/>
    <w:rsid w:val="4B6E407C"/>
    <w:rsid w:val="51C768FC"/>
    <w:rsid w:val="53E074B2"/>
    <w:rsid w:val="58DB6AEF"/>
    <w:rsid w:val="5AA63571"/>
    <w:rsid w:val="5C541E99"/>
    <w:rsid w:val="5DE36FBD"/>
    <w:rsid w:val="61FF4EDC"/>
    <w:rsid w:val="65487BFA"/>
    <w:rsid w:val="6AAB6045"/>
    <w:rsid w:val="6CA35F46"/>
    <w:rsid w:val="6EEF5EE8"/>
    <w:rsid w:val="73226CAE"/>
    <w:rsid w:val="76AF3055"/>
    <w:rsid w:val="77381CFA"/>
    <w:rsid w:val="77FDAA8F"/>
    <w:rsid w:val="7C5C6394"/>
    <w:rsid w:val="7DFE75C4"/>
    <w:rsid w:val="7F35E1D0"/>
    <w:rsid w:val="7FCB1472"/>
    <w:rsid w:val="8FDDF8B3"/>
    <w:rsid w:val="9B49BCBB"/>
    <w:rsid w:val="AF7FA3BA"/>
    <w:rsid w:val="BF3D5723"/>
    <w:rsid w:val="BFEFFB3A"/>
    <w:rsid w:val="BFF70790"/>
    <w:rsid w:val="D3FFFD7C"/>
    <w:rsid w:val="DF7ED3D2"/>
    <w:rsid w:val="DFFF7BE3"/>
    <w:rsid w:val="E59E29AE"/>
    <w:rsid w:val="ED75FF44"/>
    <w:rsid w:val="ED95B0C3"/>
    <w:rsid w:val="EFDBEF9E"/>
    <w:rsid w:val="EFE101C8"/>
    <w:rsid w:val="F7EBE71D"/>
    <w:rsid w:val="FFDECAA2"/>
    <w:rsid w:val="FFDF3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800080"/>
      <w:u w:val="single"/>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5369</Words>
  <Characters>5378</Characters>
  <Lines>0</Lines>
  <Paragraphs>0</Paragraphs>
  <TotalTime>122</TotalTime>
  <ScaleCrop>false</ScaleCrop>
  <LinksUpToDate>false</LinksUpToDate>
  <CharactersWithSpaces>5482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2025-10-08T12:09:00Z</dcterms:created>
  <dc:creator>files</dc:creator>
  <cp:lastModifiedBy>默默</cp:lastModifiedBy>
  <dcterms:modified xsi:type="dcterms:W3CDTF">2026-01-02T01:45:47Z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166E945DD7AF4B85B7F86122D00E5F16_13</vt:lpwstr>
  </property>
  <property fmtid="{D5CDD505-2E9C-101B-9397-08002B2CF9AE}" pid="4" name="KSOTemplateDocerSaveRecord">
    <vt:lpwstr>eyJoZGlkIjoiYWI0MTczMTlmZGQwMDlkNjE0Y2E2NDViNmNjNWY1ZmYiLCJ1c2VySWQiOiI3MzkzMzY4MTcifQ==</vt:lpwstr>
  </property>
</Properties>
</file>