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2880" w14:textId="77777777" w:rsidR="00180531" w:rsidRDefault="00000000">
      <w:pPr>
        <w:spacing w:after="854" w:line="265" w:lineRule="auto"/>
        <w:ind w:left="10" w:hanging="10"/>
      </w:pPr>
      <w:r>
        <w:rPr>
          <w:rFonts w:ascii="黑体" w:eastAsia="黑体" w:hAnsi="黑体" w:cs="黑体"/>
          <w:sz w:val="32"/>
        </w:rPr>
        <w:t>附件4</w:t>
      </w:r>
    </w:p>
    <w:p w14:paraId="2A7F8D58" w14:textId="77777777" w:rsidR="00180531" w:rsidRDefault="00000000">
      <w:pPr>
        <w:spacing w:after="721"/>
        <w:jc w:val="right"/>
      </w:pPr>
      <w:r>
        <w:rPr>
          <w:rFonts w:ascii="微软雅黑" w:eastAsia="微软雅黑" w:hAnsi="微软雅黑" w:cs="微软雅黑"/>
          <w:sz w:val="36"/>
        </w:rPr>
        <w:t>离岸服务外包业务的具体范围</w:t>
      </w:r>
    </w:p>
    <w:p w14:paraId="7A5E3072" w14:textId="77777777" w:rsidR="00180531" w:rsidRDefault="00000000">
      <w:pPr>
        <w:spacing w:after="139" w:line="265" w:lineRule="auto"/>
        <w:ind w:left="626" w:hanging="10"/>
      </w:pPr>
      <w:r>
        <w:rPr>
          <w:rFonts w:ascii="黑体" w:eastAsia="黑体" w:hAnsi="黑体" w:cs="黑体"/>
          <w:sz w:val="32"/>
        </w:rPr>
        <w:t>一、信息技术外包服务（ITO）</w:t>
      </w:r>
    </w:p>
    <w:p w14:paraId="0A75908F" w14:textId="77777777" w:rsidR="00180531" w:rsidRDefault="00000000">
      <w:pPr>
        <w:numPr>
          <w:ilvl w:val="0"/>
          <w:numId w:val="1"/>
        </w:numPr>
        <w:spacing w:after="0"/>
        <w:ind w:hanging="948"/>
      </w:pPr>
      <w:r>
        <w:rPr>
          <w:rFonts w:ascii="楷体" w:eastAsia="楷体" w:hAnsi="楷体" w:cs="楷体"/>
          <w:sz w:val="32"/>
        </w:rPr>
        <w:t>软件研发及外包</w:t>
      </w:r>
    </w:p>
    <w:tbl>
      <w:tblPr>
        <w:tblStyle w:val="TableGrid"/>
        <w:tblW w:w="9975" w:type="dxa"/>
        <w:tblInd w:w="-835" w:type="dxa"/>
        <w:tblCellMar>
          <w:top w:w="0" w:type="dxa"/>
          <w:left w:w="107" w:type="dxa"/>
          <w:bottom w:w="161" w:type="dxa"/>
          <w:right w:w="121" w:type="dxa"/>
        </w:tblCellMar>
        <w:tblLook w:val="04A0" w:firstRow="1" w:lastRow="0" w:firstColumn="1" w:lastColumn="0" w:noHBand="0" w:noVBand="1"/>
      </w:tblPr>
      <w:tblGrid>
        <w:gridCol w:w="2211"/>
        <w:gridCol w:w="7764"/>
      </w:tblGrid>
      <w:tr w:rsidR="00180531" w14:paraId="33E26F2F" w14:textId="77777777">
        <w:trPr>
          <w:trHeight w:val="82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77D43" w14:textId="77777777" w:rsidR="00180531" w:rsidRDefault="00000000">
            <w:pPr>
              <w:spacing w:after="0"/>
              <w:ind w:left="500"/>
            </w:pPr>
            <w:r>
              <w:rPr>
                <w:rFonts w:ascii="仿宋" w:eastAsia="仿宋" w:hAnsi="仿宋" w:cs="仿宋"/>
                <w:sz w:val="32"/>
              </w:rPr>
              <w:t>类 别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D5FD5" w14:textId="77777777" w:rsidR="00180531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2"/>
              </w:rPr>
              <w:t>适用范围</w:t>
            </w:r>
          </w:p>
        </w:tc>
      </w:tr>
      <w:tr w:rsidR="00180531" w14:paraId="6975B805" w14:textId="77777777">
        <w:trPr>
          <w:trHeight w:val="2570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1AD8" w14:textId="77777777" w:rsidR="00180531" w:rsidRDefault="00000000">
            <w:pPr>
              <w:spacing w:after="0"/>
              <w:ind w:left="1"/>
            </w:pPr>
            <w:r>
              <w:rPr>
                <w:rFonts w:ascii="仿宋" w:eastAsia="仿宋" w:hAnsi="仿宋" w:cs="仿宋"/>
                <w:sz w:val="30"/>
              </w:rPr>
              <w:t>软件研发及开发服务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8FDC" w14:textId="77777777" w:rsidR="00180531" w:rsidRDefault="00000000">
            <w:pPr>
              <w:spacing w:after="0"/>
            </w:pPr>
            <w:r>
              <w:rPr>
                <w:rFonts w:ascii="仿宋" w:eastAsia="仿宋" w:hAnsi="仿宋" w:cs="仿宋"/>
                <w:sz w:val="30"/>
              </w:rPr>
              <w:t>用于金融、政府、教育、制造业、零售、服务、能源、物流、交通、媒体、电信、公共事业和医疗卫生等部门和企业，为用户的运营／生产／供应链／客户关系／人力资源和财务管理、计算机辅助设计／工程等业务进行软件开发，包括定制软件开发，嵌入式软件、套装软件开发，系统软件开发、软件测试等。</w:t>
            </w:r>
          </w:p>
        </w:tc>
      </w:tr>
      <w:tr w:rsidR="00180531" w14:paraId="073E28F1" w14:textId="77777777">
        <w:trPr>
          <w:trHeight w:val="82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1947F" w14:textId="77777777" w:rsidR="00180531" w:rsidRDefault="00000000">
            <w:pPr>
              <w:spacing w:after="0"/>
              <w:ind w:left="1"/>
              <w:jc w:val="both"/>
            </w:pPr>
            <w:r>
              <w:rPr>
                <w:rFonts w:ascii="仿宋" w:eastAsia="仿宋" w:hAnsi="仿宋" w:cs="仿宋"/>
                <w:sz w:val="32"/>
              </w:rPr>
              <w:t>软件技术服务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AAF90" w14:textId="77777777" w:rsidR="00180531" w:rsidRDefault="00000000">
            <w:pPr>
              <w:spacing w:after="0"/>
            </w:pPr>
            <w:r>
              <w:rPr>
                <w:rFonts w:ascii="仿宋" w:eastAsia="仿宋" w:hAnsi="仿宋" w:cs="仿宋"/>
                <w:sz w:val="32"/>
              </w:rPr>
              <w:t>软件咨询、维护、培训、测试等技术性服务。</w:t>
            </w:r>
          </w:p>
        </w:tc>
      </w:tr>
    </w:tbl>
    <w:p w14:paraId="76B56251" w14:textId="77777777" w:rsidR="00180531" w:rsidRDefault="00000000">
      <w:pPr>
        <w:numPr>
          <w:ilvl w:val="0"/>
          <w:numId w:val="1"/>
        </w:numPr>
        <w:spacing w:after="0"/>
        <w:ind w:hanging="948"/>
      </w:pPr>
      <w:r>
        <w:rPr>
          <w:rFonts w:ascii="楷体" w:eastAsia="楷体" w:hAnsi="楷体" w:cs="楷体"/>
          <w:sz w:val="32"/>
        </w:rPr>
        <w:t>信息技术研发服务外包</w:t>
      </w:r>
    </w:p>
    <w:tbl>
      <w:tblPr>
        <w:tblStyle w:val="TableGrid"/>
        <w:tblW w:w="10050" w:type="dxa"/>
        <w:tblInd w:w="-872" w:type="dxa"/>
        <w:tblCellMar>
          <w:top w:w="0" w:type="dxa"/>
          <w:left w:w="107" w:type="dxa"/>
          <w:bottom w:w="164" w:type="dxa"/>
          <w:right w:w="121" w:type="dxa"/>
        </w:tblCellMar>
        <w:tblLook w:val="04A0" w:firstRow="1" w:lastRow="0" w:firstColumn="1" w:lastColumn="0" w:noHBand="0" w:noVBand="1"/>
      </w:tblPr>
      <w:tblGrid>
        <w:gridCol w:w="2296"/>
        <w:gridCol w:w="7754"/>
      </w:tblGrid>
      <w:tr w:rsidR="00180531" w14:paraId="230709A0" w14:textId="77777777">
        <w:trPr>
          <w:trHeight w:val="82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9A32E" w14:textId="77777777" w:rsidR="00180531" w:rsidRDefault="00000000">
            <w:pPr>
              <w:spacing w:after="0"/>
              <w:ind w:right="1"/>
              <w:jc w:val="center"/>
            </w:pPr>
            <w:r>
              <w:rPr>
                <w:rFonts w:ascii="仿宋" w:eastAsia="仿宋" w:hAnsi="仿宋" w:cs="仿宋"/>
                <w:sz w:val="32"/>
              </w:rPr>
              <w:t>类 别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5E8F6" w14:textId="77777777" w:rsidR="00180531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2"/>
              </w:rPr>
              <w:t>适用范围</w:t>
            </w:r>
          </w:p>
        </w:tc>
      </w:tr>
      <w:tr w:rsidR="00180531" w14:paraId="1BD02BD3" w14:textId="77777777">
        <w:trPr>
          <w:trHeight w:val="1066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F3F3" w14:textId="77777777" w:rsidR="00180531" w:rsidRDefault="00000000">
            <w:pPr>
              <w:spacing w:after="0"/>
              <w:ind w:left="2"/>
            </w:pPr>
            <w:r>
              <w:rPr>
                <w:rFonts w:ascii="仿宋" w:eastAsia="仿宋" w:hAnsi="仿宋" w:cs="仿宋"/>
                <w:sz w:val="32"/>
              </w:rPr>
              <w:t>集成电路和电子电路设计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8D4A" w14:textId="77777777" w:rsidR="00180531" w:rsidRDefault="00000000">
            <w:pPr>
              <w:spacing w:after="0"/>
            </w:pPr>
            <w:r>
              <w:rPr>
                <w:rFonts w:ascii="仿宋" w:eastAsia="仿宋" w:hAnsi="仿宋" w:cs="仿宋"/>
                <w:sz w:val="32"/>
              </w:rPr>
              <w:t>集成电路和电子电路产品设计以及相关技术支持服务等。</w:t>
            </w:r>
          </w:p>
        </w:tc>
      </w:tr>
      <w:tr w:rsidR="00180531" w14:paraId="6DAA59E3" w14:textId="77777777">
        <w:trPr>
          <w:trHeight w:val="1066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EC43" w14:textId="77777777" w:rsidR="00180531" w:rsidRDefault="00000000">
            <w:pPr>
              <w:spacing w:after="0"/>
              <w:ind w:left="2"/>
            </w:pPr>
            <w:r>
              <w:rPr>
                <w:rFonts w:ascii="仿宋" w:eastAsia="仿宋" w:hAnsi="仿宋" w:cs="仿宋"/>
                <w:sz w:val="32"/>
              </w:rPr>
              <w:t>测试平台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7911" w14:textId="77777777" w:rsidR="00180531" w:rsidRDefault="00000000">
            <w:pPr>
              <w:spacing w:after="0"/>
              <w:jc w:val="both"/>
            </w:pPr>
            <w:r>
              <w:rPr>
                <w:rFonts w:ascii="仿宋" w:eastAsia="仿宋" w:hAnsi="仿宋" w:cs="仿宋"/>
                <w:sz w:val="32"/>
              </w:rPr>
              <w:t>为软件、集成电路和电子电路的开发运用提供测试平台。</w:t>
            </w:r>
          </w:p>
        </w:tc>
      </w:tr>
    </w:tbl>
    <w:p w14:paraId="3B475C11" w14:textId="77777777" w:rsidR="00180531" w:rsidRDefault="00000000">
      <w:pPr>
        <w:numPr>
          <w:ilvl w:val="0"/>
          <w:numId w:val="1"/>
        </w:numPr>
        <w:spacing w:after="0"/>
        <w:ind w:hanging="948"/>
      </w:pPr>
      <w:r>
        <w:rPr>
          <w:rFonts w:ascii="楷体" w:eastAsia="楷体" w:hAnsi="楷体" w:cs="楷体"/>
          <w:sz w:val="32"/>
        </w:rPr>
        <w:t>信息系统运营维护外包</w:t>
      </w:r>
    </w:p>
    <w:tbl>
      <w:tblPr>
        <w:tblStyle w:val="TableGrid"/>
        <w:tblW w:w="10050" w:type="dxa"/>
        <w:tblInd w:w="-872" w:type="dxa"/>
        <w:tblCellMar>
          <w:top w:w="0" w:type="dxa"/>
          <w:left w:w="108" w:type="dxa"/>
          <w:bottom w:w="163" w:type="dxa"/>
          <w:right w:w="120" w:type="dxa"/>
        </w:tblCellMar>
        <w:tblLook w:val="04A0" w:firstRow="1" w:lastRow="0" w:firstColumn="1" w:lastColumn="0" w:noHBand="0" w:noVBand="1"/>
      </w:tblPr>
      <w:tblGrid>
        <w:gridCol w:w="2305"/>
        <w:gridCol w:w="7745"/>
      </w:tblGrid>
      <w:tr w:rsidR="00180531" w14:paraId="00610453" w14:textId="77777777">
        <w:trPr>
          <w:trHeight w:val="82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3C2BB" w14:textId="77777777" w:rsidR="00180531" w:rsidRDefault="00000000">
            <w:pPr>
              <w:spacing w:after="0"/>
              <w:ind w:right="1"/>
              <w:jc w:val="center"/>
            </w:pPr>
            <w:r>
              <w:rPr>
                <w:rFonts w:ascii="仿宋" w:eastAsia="仿宋" w:hAnsi="仿宋" w:cs="仿宋"/>
                <w:sz w:val="32"/>
              </w:rPr>
              <w:t>类 别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24F83" w14:textId="77777777" w:rsidR="00180531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2"/>
              </w:rPr>
              <w:t>适用范围</w:t>
            </w:r>
          </w:p>
        </w:tc>
      </w:tr>
      <w:tr w:rsidR="00180531" w14:paraId="737B102D" w14:textId="77777777">
        <w:trPr>
          <w:trHeight w:val="649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8C51" w14:textId="77777777" w:rsidR="00180531" w:rsidRDefault="00000000">
            <w:pPr>
              <w:spacing w:after="0"/>
              <w:ind w:left="1"/>
              <w:jc w:val="both"/>
            </w:pPr>
            <w:r>
              <w:rPr>
                <w:rFonts w:ascii="仿宋" w:eastAsia="仿宋" w:hAnsi="仿宋" w:cs="仿宋"/>
                <w:sz w:val="32"/>
              </w:rPr>
              <w:lastRenderedPageBreak/>
              <w:t>信息系统运营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C0B1" w14:textId="77777777" w:rsidR="00180531" w:rsidRDefault="00000000">
            <w:pPr>
              <w:spacing w:after="0"/>
              <w:jc w:val="both"/>
            </w:pPr>
            <w:r>
              <w:rPr>
                <w:rFonts w:ascii="仿宋" w:eastAsia="仿宋" w:hAnsi="仿宋" w:cs="仿宋"/>
                <w:sz w:val="32"/>
              </w:rPr>
              <w:t>客户内部信息系统集成、网络管理、桌面管理与维护</w:t>
            </w:r>
          </w:p>
        </w:tc>
      </w:tr>
    </w:tbl>
    <w:p w14:paraId="5328924C" w14:textId="77777777" w:rsidR="00180531" w:rsidRDefault="00000000">
      <w:pPr>
        <w:spacing w:after="3"/>
        <w:ind w:left="1847" w:hanging="10"/>
        <w:jc w:val="center"/>
      </w:pPr>
      <w:r>
        <w:rPr>
          <w:rFonts w:ascii="宋体" w:eastAsia="宋体" w:hAnsi="宋体" w:cs="宋体"/>
          <w:sz w:val="18"/>
        </w:rPr>
        <w:t>1</w:t>
      </w:r>
    </w:p>
    <w:tbl>
      <w:tblPr>
        <w:tblStyle w:val="TableGrid"/>
        <w:tblW w:w="10050" w:type="dxa"/>
        <w:tblInd w:w="-872" w:type="dxa"/>
        <w:tblCellMar>
          <w:top w:w="16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5"/>
        <w:gridCol w:w="7745"/>
      </w:tblGrid>
      <w:tr w:rsidR="00180531" w14:paraId="52BB4062" w14:textId="77777777">
        <w:trPr>
          <w:trHeight w:val="1066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4281" w14:textId="77777777" w:rsidR="00180531" w:rsidRDefault="00000000">
            <w:pPr>
              <w:spacing w:after="0"/>
              <w:ind w:left="1"/>
            </w:pPr>
            <w:r>
              <w:rPr>
                <w:rFonts w:ascii="仿宋" w:eastAsia="仿宋" w:hAnsi="仿宋" w:cs="仿宋"/>
                <w:sz w:val="32"/>
              </w:rPr>
              <w:t>和维护服务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20FC" w14:textId="77777777" w:rsidR="00180531" w:rsidRDefault="00000000">
            <w:pPr>
              <w:spacing w:after="0"/>
            </w:pPr>
            <w:r>
              <w:rPr>
                <w:rFonts w:ascii="仿宋" w:eastAsia="仿宋" w:hAnsi="仿宋" w:cs="仿宋"/>
                <w:sz w:val="32"/>
              </w:rPr>
              <w:t>服务；信息工程、地理信息系统、远程维护等信息系统应用服务。</w:t>
            </w:r>
          </w:p>
        </w:tc>
      </w:tr>
      <w:tr w:rsidR="00180531" w14:paraId="7C504EB7" w14:textId="77777777">
        <w:trPr>
          <w:trHeight w:val="148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CB76" w14:textId="77777777" w:rsidR="00180531" w:rsidRDefault="00000000">
            <w:pPr>
              <w:spacing w:after="0"/>
              <w:ind w:left="1"/>
            </w:pPr>
            <w:r>
              <w:rPr>
                <w:rFonts w:ascii="仿宋" w:eastAsia="仿宋" w:hAnsi="仿宋" w:cs="仿宋"/>
                <w:sz w:val="32"/>
              </w:rPr>
              <w:t>基础信息技术服务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623A" w14:textId="77777777" w:rsidR="00180531" w:rsidRDefault="00000000">
            <w:pPr>
              <w:spacing w:after="0"/>
            </w:pPr>
            <w:r>
              <w:rPr>
                <w:rFonts w:ascii="仿宋" w:eastAsia="仿宋" w:hAnsi="仿宋" w:cs="仿宋"/>
                <w:sz w:val="32"/>
              </w:rPr>
              <w:t>基础信息技术管理平台整合、IT基础设施管理、数据中心、托管中心、安全服务、通讯服务等基础信息技术服务。</w:t>
            </w:r>
          </w:p>
        </w:tc>
      </w:tr>
    </w:tbl>
    <w:p w14:paraId="2FE8C83B" w14:textId="77777777" w:rsidR="00180531" w:rsidRDefault="00000000">
      <w:pPr>
        <w:numPr>
          <w:ilvl w:val="0"/>
          <w:numId w:val="2"/>
        </w:numPr>
        <w:spacing w:after="0" w:line="265" w:lineRule="auto"/>
        <w:ind w:hanging="631"/>
      </w:pPr>
      <w:r>
        <w:rPr>
          <w:rFonts w:ascii="黑体" w:eastAsia="黑体" w:hAnsi="黑体" w:cs="黑体"/>
          <w:sz w:val="32"/>
        </w:rPr>
        <w:t>技术性业务流程外包服务（BPO）</w:t>
      </w:r>
    </w:p>
    <w:tbl>
      <w:tblPr>
        <w:tblStyle w:val="TableGrid"/>
        <w:tblW w:w="10069" w:type="dxa"/>
        <w:tblInd w:w="-882" w:type="dxa"/>
        <w:tblCellMar>
          <w:top w:w="0" w:type="dxa"/>
          <w:left w:w="107" w:type="dxa"/>
          <w:bottom w:w="166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7772"/>
      </w:tblGrid>
      <w:tr w:rsidR="00180531" w14:paraId="2A6459EA" w14:textId="77777777">
        <w:trPr>
          <w:trHeight w:val="8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63BC1" w14:textId="77777777" w:rsidR="00180531" w:rsidRDefault="00000000">
            <w:pPr>
              <w:spacing w:after="0"/>
              <w:ind w:right="122"/>
              <w:jc w:val="center"/>
            </w:pPr>
            <w:r>
              <w:rPr>
                <w:rFonts w:ascii="仿宋" w:eastAsia="仿宋" w:hAnsi="仿宋" w:cs="仿宋"/>
                <w:sz w:val="32"/>
              </w:rPr>
              <w:t>类 别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F170E" w14:textId="77777777" w:rsidR="00180531" w:rsidRDefault="00000000">
            <w:pPr>
              <w:spacing w:after="0"/>
              <w:ind w:right="120"/>
              <w:jc w:val="center"/>
            </w:pPr>
            <w:r>
              <w:rPr>
                <w:rFonts w:ascii="仿宋" w:eastAsia="仿宋" w:hAnsi="仿宋" w:cs="仿宋"/>
                <w:sz w:val="32"/>
              </w:rPr>
              <w:t>适用范围</w:t>
            </w:r>
          </w:p>
        </w:tc>
      </w:tr>
      <w:tr w:rsidR="00180531" w14:paraId="6D0D09AB" w14:textId="77777777">
        <w:trPr>
          <w:trHeight w:val="106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3A13" w14:textId="77777777" w:rsidR="00180531" w:rsidRDefault="00000000">
            <w:pPr>
              <w:spacing w:after="0"/>
            </w:pPr>
            <w:r>
              <w:rPr>
                <w:rFonts w:ascii="仿宋" w:eastAsia="仿宋" w:hAnsi="仿宋" w:cs="仿宋"/>
                <w:sz w:val="32"/>
              </w:rPr>
              <w:t>企业业务流程设计服务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E376" w14:textId="77777777" w:rsidR="00180531" w:rsidRDefault="00000000">
            <w:pPr>
              <w:spacing w:after="0"/>
              <w:ind w:left="2"/>
              <w:jc w:val="both"/>
            </w:pPr>
            <w:r>
              <w:rPr>
                <w:rFonts w:ascii="仿宋" w:eastAsia="仿宋" w:hAnsi="仿宋" w:cs="仿宋"/>
                <w:sz w:val="32"/>
              </w:rPr>
              <w:t>为客户企业提供内部管理、业务运作等流程设计服务。</w:t>
            </w:r>
          </w:p>
        </w:tc>
      </w:tr>
      <w:tr w:rsidR="00180531" w14:paraId="140B2CFA" w14:textId="77777777">
        <w:trPr>
          <w:trHeight w:val="189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E33A" w14:textId="77777777" w:rsidR="00180531" w:rsidRDefault="00000000">
            <w:pPr>
              <w:spacing w:after="0"/>
            </w:pPr>
            <w:r>
              <w:rPr>
                <w:rFonts w:ascii="仿宋" w:eastAsia="仿宋" w:hAnsi="仿宋" w:cs="仿宋"/>
                <w:sz w:val="32"/>
              </w:rPr>
              <w:t>企业内部管理服务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F686" w14:textId="77777777" w:rsidR="00180531" w:rsidRDefault="00000000">
            <w:pPr>
              <w:spacing w:after="0"/>
              <w:ind w:left="2" w:right="-46"/>
            </w:pPr>
            <w:r>
              <w:rPr>
                <w:rFonts w:ascii="仿宋" w:eastAsia="仿宋" w:hAnsi="仿宋" w:cs="仿宋"/>
                <w:sz w:val="32"/>
              </w:rPr>
              <w:t>为客户企业提供后台管理、人力资源管理、财务、审计与税务管理、金融支付服务、医疗数据及其他内部管理业务的数据分析、数据挖掘、数据管理、数据使用的服务；承接客户专业数据处理、分析和整合服务。</w:t>
            </w:r>
          </w:p>
        </w:tc>
      </w:tr>
      <w:tr w:rsidR="00180531" w14:paraId="6F4CBCD5" w14:textId="77777777">
        <w:trPr>
          <w:trHeight w:val="272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3270" w14:textId="77777777" w:rsidR="00180531" w:rsidRDefault="00000000">
            <w:pPr>
              <w:spacing w:after="0"/>
              <w:jc w:val="both"/>
            </w:pPr>
            <w:r>
              <w:rPr>
                <w:rFonts w:ascii="仿宋" w:eastAsia="仿宋" w:hAnsi="仿宋" w:cs="仿宋"/>
                <w:sz w:val="32"/>
              </w:rPr>
              <w:t>企业运营服务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AE55" w14:textId="77777777" w:rsidR="00180531" w:rsidRDefault="00000000">
            <w:pPr>
              <w:spacing w:after="0"/>
              <w:ind w:left="2"/>
            </w:pPr>
            <w:r>
              <w:rPr>
                <w:rFonts w:ascii="仿宋" w:eastAsia="仿宋" w:hAnsi="仿宋" w:cs="仿宋"/>
                <w:sz w:val="32"/>
              </w:rPr>
              <w:t>为客户企业提供技术研发服务，为企业经营、销售、产品售后服务提供的应用客户分析、数据库管理等服务。主要包括金融服务业务、政务与教育业务、制造业务和生命科学、零售和批发与运输业务、卫生保健业务、通讯与公共事业业务、呼叫中心、电子商务平台等。</w:t>
            </w:r>
          </w:p>
        </w:tc>
      </w:tr>
      <w:tr w:rsidR="00180531" w14:paraId="23185007" w14:textId="77777777">
        <w:trPr>
          <w:trHeight w:val="106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1BEE" w14:textId="77777777" w:rsidR="00180531" w:rsidRDefault="00000000">
            <w:pPr>
              <w:spacing w:after="0"/>
            </w:pPr>
            <w:r>
              <w:rPr>
                <w:rFonts w:ascii="仿宋" w:eastAsia="仿宋" w:hAnsi="仿宋" w:cs="仿宋"/>
                <w:sz w:val="32"/>
              </w:rPr>
              <w:t>企业供应链管理服务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70AB" w14:textId="77777777" w:rsidR="00180531" w:rsidRDefault="00000000">
            <w:pPr>
              <w:spacing w:after="0"/>
              <w:ind w:left="2"/>
              <w:jc w:val="both"/>
            </w:pPr>
            <w:r>
              <w:rPr>
                <w:rFonts w:ascii="仿宋" w:eastAsia="仿宋" w:hAnsi="仿宋" w:cs="仿宋"/>
                <w:sz w:val="32"/>
              </w:rPr>
              <w:t>为客户提供采购、物流的整体方案设计及数据库服务。</w:t>
            </w:r>
          </w:p>
        </w:tc>
      </w:tr>
    </w:tbl>
    <w:p w14:paraId="76C2D26A" w14:textId="77777777" w:rsidR="00180531" w:rsidRDefault="00000000">
      <w:pPr>
        <w:numPr>
          <w:ilvl w:val="0"/>
          <w:numId w:val="2"/>
        </w:numPr>
        <w:spacing w:after="0" w:line="265" w:lineRule="auto"/>
        <w:ind w:hanging="631"/>
      </w:pPr>
      <w:r>
        <w:rPr>
          <w:rFonts w:ascii="黑体" w:eastAsia="黑体" w:hAnsi="黑体" w:cs="黑体"/>
          <w:sz w:val="32"/>
        </w:rPr>
        <w:t>技术性知识流程外包服务（KPO）</w:t>
      </w:r>
    </w:p>
    <w:tbl>
      <w:tblPr>
        <w:tblStyle w:val="TableGrid"/>
        <w:tblW w:w="10097" w:type="dxa"/>
        <w:tblInd w:w="-896" w:type="dxa"/>
        <w:tblCellMar>
          <w:top w:w="0" w:type="dxa"/>
          <w:left w:w="109" w:type="dxa"/>
          <w:bottom w:w="166" w:type="dxa"/>
          <w:right w:w="115" w:type="dxa"/>
        </w:tblCellMar>
        <w:tblLook w:val="04A0" w:firstRow="1" w:lastRow="0" w:firstColumn="1" w:lastColumn="0" w:noHBand="0" w:noVBand="1"/>
      </w:tblPr>
      <w:tblGrid>
        <w:gridCol w:w="10097"/>
      </w:tblGrid>
      <w:tr w:rsidR="00180531" w14:paraId="7DE5CE72" w14:textId="77777777">
        <w:trPr>
          <w:trHeight w:val="824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F1D5A" w14:textId="77777777" w:rsidR="00180531" w:rsidRDefault="00000000">
            <w:pPr>
              <w:spacing w:after="0"/>
              <w:ind w:right="9"/>
              <w:jc w:val="center"/>
            </w:pPr>
            <w:r>
              <w:rPr>
                <w:rFonts w:ascii="仿宋" w:eastAsia="仿宋" w:hAnsi="仿宋" w:cs="仿宋"/>
                <w:sz w:val="32"/>
              </w:rPr>
              <w:lastRenderedPageBreak/>
              <w:t>适用范围</w:t>
            </w:r>
          </w:p>
        </w:tc>
      </w:tr>
      <w:tr w:rsidR="00180531" w14:paraId="22D9E585" w14:textId="77777777">
        <w:trPr>
          <w:trHeight w:val="1481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F9ED" w14:textId="77777777" w:rsidR="00180531" w:rsidRDefault="00000000">
            <w:pPr>
              <w:spacing w:after="0"/>
            </w:pPr>
            <w:r>
              <w:rPr>
                <w:rFonts w:ascii="仿宋" w:eastAsia="仿宋" w:hAnsi="仿宋" w:cs="仿宋"/>
                <w:sz w:val="32"/>
              </w:rPr>
              <w:t>知识产权研究、医药和生物技术研发和测试、产品技术研发、工业设计、分析学和数据挖掘、</w:t>
            </w:r>
            <w:proofErr w:type="gramStart"/>
            <w:r>
              <w:rPr>
                <w:rFonts w:ascii="仿宋" w:eastAsia="仿宋" w:hAnsi="仿宋" w:cs="仿宋"/>
                <w:sz w:val="32"/>
              </w:rPr>
              <w:t>动漫及网游设计</w:t>
            </w:r>
            <w:proofErr w:type="gramEnd"/>
            <w:r>
              <w:rPr>
                <w:rFonts w:ascii="仿宋" w:eastAsia="仿宋" w:hAnsi="仿宋" w:cs="仿宋"/>
                <w:sz w:val="32"/>
              </w:rPr>
              <w:t>研发、教育课件研发、工程设计等领域。</w:t>
            </w:r>
          </w:p>
        </w:tc>
      </w:tr>
    </w:tbl>
    <w:p w14:paraId="1C46F2DD" w14:textId="77777777" w:rsidR="00180531" w:rsidRDefault="00000000">
      <w:pPr>
        <w:spacing w:after="3"/>
        <w:ind w:left="1847" w:hanging="10"/>
        <w:jc w:val="center"/>
      </w:pPr>
      <w:r>
        <w:rPr>
          <w:rFonts w:ascii="宋体" w:eastAsia="宋体" w:hAnsi="宋体" w:cs="宋体"/>
          <w:sz w:val="18"/>
        </w:rPr>
        <w:t>2</w:t>
      </w:r>
    </w:p>
    <w:sectPr w:rsidR="00180531">
      <w:pgSz w:w="11906" w:h="16838"/>
      <w:pgMar w:top="1445" w:right="3636" w:bottom="10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DDDB" w14:textId="77777777" w:rsidR="00CD23F1" w:rsidRDefault="00CD23F1" w:rsidP="00E46E8E">
      <w:pPr>
        <w:spacing w:after="0" w:line="240" w:lineRule="auto"/>
      </w:pPr>
      <w:r>
        <w:separator/>
      </w:r>
    </w:p>
  </w:endnote>
  <w:endnote w:type="continuationSeparator" w:id="0">
    <w:p w14:paraId="51148184" w14:textId="77777777" w:rsidR="00CD23F1" w:rsidRDefault="00CD23F1" w:rsidP="00E4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8356" w14:textId="77777777" w:rsidR="00CD23F1" w:rsidRDefault="00CD23F1" w:rsidP="00E46E8E">
      <w:pPr>
        <w:spacing w:after="0" w:line="240" w:lineRule="auto"/>
      </w:pPr>
      <w:r>
        <w:separator/>
      </w:r>
    </w:p>
  </w:footnote>
  <w:footnote w:type="continuationSeparator" w:id="0">
    <w:p w14:paraId="7590ABFB" w14:textId="77777777" w:rsidR="00CD23F1" w:rsidRDefault="00CD23F1" w:rsidP="00E4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A3602"/>
    <w:multiLevelType w:val="hybridMultilevel"/>
    <w:tmpl w:val="63C6188C"/>
    <w:lvl w:ilvl="0" w:tplc="1884EBD6">
      <w:start w:val="1"/>
      <w:numFmt w:val="ideographDigital"/>
      <w:lvlText w:val="（%1）"/>
      <w:lvlJc w:val="left"/>
      <w:pPr>
        <w:ind w:left="1564"/>
      </w:pPr>
      <w:rPr>
        <w:rFonts w:ascii="楷体" w:eastAsia="楷体" w:hAnsi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1D21172">
      <w:start w:val="1"/>
      <w:numFmt w:val="lowerLetter"/>
      <w:lvlText w:val="%2"/>
      <w:lvlJc w:val="left"/>
      <w:pPr>
        <w:ind w:left="1711"/>
      </w:pPr>
      <w:rPr>
        <w:rFonts w:ascii="楷体" w:eastAsia="楷体" w:hAnsi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3C4B60">
      <w:start w:val="1"/>
      <w:numFmt w:val="lowerRoman"/>
      <w:lvlText w:val="%3"/>
      <w:lvlJc w:val="left"/>
      <w:pPr>
        <w:ind w:left="2431"/>
      </w:pPr>
      <w:rPr>
        <w:rFonts w:ascii="楷体" w:eastAsia="楷体" w:hAnsi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B4949E">
      <w:start w:val="1"/>
      <w:numFmt w:val="decimal"/>
      <w:lvlText w:val="%4"/>
      <w:lvlJc w:val="left"/>
      <w:pPr>
        <w:ind w:left="3151"/>
      </w:pPr>
      <w:rPr>
        <w:rFonts w:ascii="楷体" w:eastAsia="楷体" w:hAnsi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C02440">
      <w:start w:val="1"/>
      <w:numFmt w:val="lowerLetter"/>
      <w:lvlText w:val="%5"/>
      <w:lvlJc w:val="left"/>
      <w:pPr>
        <w:ind w:left="3871"/>
      </w:pPr>
      <w:rPr>
        <w:rFonts w:ascii="楷体" w:eastAsia="楷体" w:hAnsi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D12ADF0">
      <w:start w:val="1"/>
      <w:numFmt w:val="lowerRoman"/>
      <w:lvlText w:val="%6"/>
      <w:lvlJc w:val="left"/>
      <w:pPr>
        <w:ind w:left="4591"/>
      </w:pPr>
      <w:rPr>
        <w:rFonts w:ascii="楷体" w:eastAsia="楷体" w:hAnsi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C88025A">
      <w:start w:val="1"/>
      <w:numFmt w:val="decimal"/>
      <w:lvlText w:val="%7"/>
      <w:lvlJc w:val="left"/>
      <w:pPr>
        <w:ind w:left="5311"/>
      </w:pPr>
      <w:rPr>
        <w:rFonts w:ascii="楷体" w:eastAsia="楷体" w:hAnsi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9784CA4">
      <w:start w:val="1"/>
      <w:numFmt w:val="lowerLetter"/>
      <w:lvlText w:val="%8"/>
      <w:lvlJc w:val="left"/>
      <w:pPr>
        <w:ind w:left="6031"/>
      </w:pPr>
      <w:rPr>
        <w:rFonts w:ascii="楷体" w:eastAsia="楷体" w:hAnsi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642D4C">
      <w:start w:val="1"/>
      <w:numFmt w:val="lowerRoman"/>
      <w:lvlText w:val="%9"/>
      <w:lvlJc w:val="left"/>
      <w:pPr>
        <w:ind w:left="6751"/>
      </w:pPr>
      <w:rPr>
        <w:rFonts w:ascii="楷体" w:eastAsia="楷体" w:hAnsi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C330AC"/>
    <w:multiLevelType w:val="hybridMultilevel"/>
    <w:tmpl w:val="D7067DE2"/>
    <w:lvl w:ilvl="0" w:tplc="E90ABA08">
      <w:start w:val="2"/>
      <w:numFmt w:val="ideographDigital"/>
      <w:lvlText w:val="%1、"/>
      <w:lvlJc w:val="left"/>
      <w:pPr>
        <w:ind w:left="1247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5A5EFC">
      <w:start w:val="1"/>
      <w:numFmt w:val="lowerLetter"/>
      <w:lvlText w:val="%2"/>
      <w:lvlJc w:val="left"/>
      <w:pPr>
        <w:ind w:left="10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DEAE4E">
      <w:start w:val="1"/>
      <w:numFmt w:val="lowerRoman"/>
      <w:lvlText w:val="%3"/>
      <w:lvlJc w:val="left"/>
      <w:pPr>
        <w:ind w:left="18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ABCD3C6">
      <w:start w:val="1"/>
      <w:numFmt w:val="decimal"/>
      <w:lvlText w:val="%4"/>
      <w:lvlJc w:val="left"/>
      <w:pPr>
        <w:ind w:left="25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708A18C">
      <w:start w:val="1"/>
      <w:numFmt w:val="lowerLetter"/>
      <w:lvlText w:val="%5"/>
      <w:lvlJc w:val="left"/>
      <w:pPr>
        <w:ind w:left="324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CA68EAE">
      <w:start w:val="1"/>
      <w:numFmt w:val="lowerRoman"/>
      <w:lvlText w:val="%6"/>
      <w:lvlJc w:val="left"/>
      <w:pPr>
        <w:ind w:left="396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2064754">
      <w:start w:val="1"/>
      <w:numFmt w:val="decimal"/>
      <w:lvlText w:val="%7"/>
      <w:lvlJc w:val="left"/>
      <w:pPr>
        <w:ind w:left="46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ECA072">
      <w:start w:val="1"/>
      <w:numFmt w:val="lowerLetter"/>
      <w:lvlText w:val="%8"/>
      <w:lvlJc w:val="left"/>
      <w:pPr>
        <w:ind w:left="54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7B0111C">
      <w:start w:val="1"/>
      <w:numFmt w:val="lowerRoman"/>
      <w:lvlText w:val="%9"/>
      <w:lvlJc w:val="left"/>
      <w:pPr>
        <w:ind w:left="61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2253516">
    <w:abstractNumId w:val="0"/>
  </w:num>
  <w:num w:numId="2" w16cid:durableId="1403791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31"/>
    <w:rsid w:val="00180531"/>
    <w:rsid w:val="00716E5D"/>
    <w:rsid w:val="00CD23F1"/>
    <w:rsid w:val="00E4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B5C16B4"/>
  <w15:docId w15:val="{48F7B922-4D51-4AC6-9545-70354776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46E8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6E8E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E8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E8E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558</Characters>
  <Application>Microsoft Office Word</Application>
  <DocSecurity>0</DocSecurity>
  <Lines>93</Lines>
  <Paragraphs>128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yingjie</dc:creator>
  <cp:keywords/>
  <cp:lastModifiedBy>Peng Gao</cp:lastModifiedBy>
  <cp:revision>2</cp:revision>
  <dcterms:created xsi:type="dcterms:W3CDTF">2026-02-01T13:26:00Z</dcterms:created>
  <dcterms:modified xsi:type="dcterms:W3CDTF">2026-02-01T13:26:00Z</dcterms:modified>
</cp:coreProperties>
</file>