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CC32" w14:textId="77777777" w:rsidR="00162D6A" w:rsidRDefault="00000000">
      <w:pPr>
        <w:spacing w:after="742" w:line="259" w:lineRule="auto"/>
        <w:ind w:firstLine="0"/>
        <w:rPr>
          <w:rFonts w:hint="eastAsia"/>
        </w:rPr>
      </w:pPr>
      <w:r>
        <w:rPr>
          <w:rFonts w:ascii="黑体" w:eastAsia="黑体" w:hAnsi="黑体" w:cs="黑体"/>
        </w:rPr>
        <w:t>附件5</w:t>
      </w:r>
    </w:p>
    <w:p w14:paraId="66208E6A" w14:textId="77777777" w:rsidR="00162D6A" w:rsidRDefault="00000000">
      <w:pPr>
        <w:spacing w:after="721" w:line="259" w:lineRule="auto"/>
        <w:ind w:right="165" w:firstLine="0"/>
        <w:jc w:val="center"/>
        <w:rPr>
          <w:rFonts w:hint="eastAsia"/>
        </w:rPr>
      </w:pPr>
      <w:r>
        <w:rPr>
          <w:rFonts w:ascii="微软雅黑" w:eastAsia="微软雅黑" w:hAnsi="微软雅黑" w:cs="微软雅黑"/>
          <w:sz w:val="36"/>
        </w:rPr>
        <w:t>视同自产货物的具体范围</w:t>
      </w:r>
    </w:p>
    <w:p w14:paraId="0A045E6A" w14:textId="77777777" w:rsidR="00162D6A" w:rsidRDefault="00000000">
      <w:pPr>
        <w:ind w:left="-15"/>
        <w:rPr>
          <w:rFonts w:hint="eastAsia"/>
        </w:rPr>
      </w:pPr>
      <w:r>
        <w:t>一、货物出口之日前36个月内未有税务部门认定骗取出口退税、虚开增值税专用发票或者农产品收购发票、接受虚开增值税专用发票（善意取得虚开增值税专用发票除外）行为的情形，且同时符合下列条件的生产企业出口的外购货物，可视同自产货物适用增值税退（免）税政策：</w:t>
      </w:r>
    </w:p>
    <w:p w14:paraId="64A6BD2E" w14:textId="77777777" w:rsidR="00162D6A" w:rsidRDefault="00000000">
      <w:pPr>
        <w:numPr>
          <w:ilvl w:val="0"/>
          <w:numId w:val="1"/>
        </w:numPr>
        <w:spacing w:after="149" w:line="259" w:lineRule="auto"/>
        <w:rPr>
          <w:rFonts w:hint="eastAsia"/>
        </w:rPr>
      </w:pPr>
      <w:r>
        <w:t>增值税一般纳税人；</w:t>
      </w:r>
    </w:p>
    <w:p w14:paraId="6BB48226" w14:textId="77777777" w:rsidR="00162D6A" w:rsidRDefault="00000000">
      <w:pPr>
        <w:numPr>
          <w:ilvl w:val="0"/>
          <w:numId w:val="1"/>
        </w:numPr>
        <w:spacing w:after="147" w:line="259" w:lineRule="auto"/>
        <w:rPr>
          <w:rFonts w:hint="eastAsia"/>
        </w:rPr>
      </w:pPr>
      <w:r>
        <w:t>已持续经营2年及2年以上；</w:t>
      </w:r>
    </w:p>
    <w:p w14:paraId="06F1CFFD" w14:textId="77777777" w:rsidR="00162D6A" w:rsidRDefault="00000000">
      <w:pPr>
        <w:numPr>
          <w:ilvl w:val="0"/>
          <w:numId w:val="1"/>
        </w:numPr>
        <w:spacing w:after="147" w:line="259" w:lineRule="auto"/>
        <w:rPr>
          <w:rFonts w:hint="eastAsia"/>
        </w:rPr>
      </w:pPr>
      <w:r>
        <w:t>纳税缴费信用级别A级；</w:t>
      </w:r>
    </w:p>
    <w:p w14:paraId="05C4CAD8" w14:textId="77777777" w:rsidR="00162D6A" w:rsidRDefault="00000000">
      <w:pPr>
        <w:numPr>
          <w:ilvl w:val="0"/>
          <w:numId w:val="1"/>
        </w:numPr>
        <w:spacing w:after="149" w:line="259" w:lineRule="auto"/>
        <w:rPr>
          <w:rFonts w:hint="eastAsia"/>
        </w:rPr>
      </w:pPr>
      <w:r>
        <w:t>上一年度销售额５亿元以上；</w:t>
      </w:r>
    </w:p>
    <w:p w14:paraId="69A68134" w14:textId="77777777" w:rsidR="00162D6A" w:rsidRDefault="00000000">
      <w:pPr>
        <w:numPr>
          <w:ilvl w:val="0"/>
          <w:numId w:val="1"/>
        </w:numPr>
        <w:rPr>
          <w:rFonts w:hint="eastAsia"/>
        </w:rPr>
      </w:pPr>
      <w:r>
        <w:t>外购出口的货物与本企业自产货物同类型或者具有相关性。</w:t>
      </w:r>
    </w:p>
    <w:p w14:paraId="33B7A5B2" w14:textId="77777777" w:rsidR="00162D6A" w:rsidRDefault="00000000">
      <w:pPr>
        <w:ind w:left="-15"/>
        <w:rPr>
          <w:rFonts w:hint="eastAsia"/>
        </w:rPr>
      </w:pPr>
      <w:r>
        <w:t>二、货物出口之日前36个月内未有税务部门认定骗取出口退税、虚开增值税专用发票或者农产品收购发票、接受虚开增值税专用发票（善意取得虚开增值税专用发票除外）行为的情形，但不能同时符合本附件第一条规定的条件的生产企业，出口的外购货物符合下列条件之一的，可视同自产货物申报适用增值税退（免）税政策：</w:t>
      </w:r>
    </w:p>
    <w:p w14:paraId="275C7688" w14:textId="77777777" w:rsidR="00162D6A" w:rsidRDefault="00000000">
      <w:pPr>
        <w:numPr>
          <w:ilvl w:val="0"/>
          <w:numId w:val="2"/>
        </w:numPr>
        <w:spacing w:after="149" w:line="259" w:lineRule="auto"/>
        <w:rPr>
          <w:rFonts w:hint="eastAsia"/>
        </w:rPr>
      </w:pPr>
      <w:r>
        <w:t>同时符合下列条件的外购货物：</w:t>
      </w:r>
    </w:p>
    <w:p w14:paraId="213C0338" w14:textId="77777777" w:rsidR="00162D6A" w:rsidRDefault="00000000">
      <w:pPr>
        <w:spacing w:line="259" w:lineRule="auto"/>
        <w:ind w:left="665" w:firstLine="0"/>
        <w:rPr>
          <w:rFonts w:hint="eastAsia"/>
        </w:rPr>
      </w:pPr>
      <w:r>
        <w:lastRenderedPageBreak/>
        <w:t>1.与本企业自产的货物名称、性能相同；</w:t>
      </w:r>
    </w:p>
    <w:p w14:paraId="16543D95" w14:textId="77777777" w:rsidR="00162D6A" w:rsidRDefault="00000000">
      <w:pPr>
        <w:ind w:left="-15"/>
        <w:rPr>
          <w:rFonts w:hint="eastAsia"/>
        </w:rPr>
      </w:pPr>
      <w:r>
        <w:t>2.使用本企业注册商标或者境外单位或者个人提供给本企业使用的商标；</w:t>
      </w:r>
    </w:p>
    <w:p w14:paraId="38CB467C" w14:textId="77777777" w:rsidR="00162D6A" w:rsidRDefault="00000000">
      <w:pPr>
        <w:spacing w:after="148" w:line="259" w:lineRule="auto"/>
        <w:ind w:left="10" w:right="158" w:hanging="10"/>
        <w:jc w:val="right"/>
        <w:rPr>
          <w:rFonts w:hint="eastAsia"/>
        </w:rPr>
      </w:pPr>
      <w:r>
        <w:t>3.出口给进口本企业自产货物的境外单位或者个人。</w:t>
      </w:r>
    </w:p>
    <w:p w14:paraId="695BD637" w14:textId="77777777" w:rsidR="00162D6A" w:rsidRDefault="00000000">
      <w:pPr>
        <w:numPr>
          <w:ilvl w:val="0"/>
          <w:numId w:val="2"/>
        </w:numPr>
        <w:rPr>
          <w:rFonts w:hint="eastAsia"/>
        </w:rPr>
      </w:pPr>
      <w:r>
        <w:t>与本企业所自产的货物属于配套出口，且出口给进口本企业自产货物的境外单位或者个人的外购货物，符合下列条件之一的：</w:t>
      </w:r>
    </w:p>
    <w:p w14:paraId="0335EDA7" w14:textId="77777777" w:rsidR="00162D6A" w:rsidRDefault="00000000">
      <w:pPr>
        <w:ind w:left="-15"/>
        <w:rPr>
          <w:rFonts w:hint="eastAsia"/>
        </w:rPr>
      </w:pPr>
      <w:r>
        <w:t>1.用于维修或者安装本企业出口的自产货物的工具、零部件、配件。</w:t>
      </w:r>
    </w:p>
    <w:p w14:paraId="46EAC1D6" w14:textId="77777777" w:rsidR="00162D6A" w:rsidRDefault="00000000">
      <w:pPr>
        <w:ind w:left="-15"/>
        <w:rPr>
          <w:rFonts w:hint="eastAsia"/>
        </w:rPr>
      </w:pPr>
      <w:r>
        <w:t>2.不经过本企业加工或者组装，出口后能直接与本企业自产货物组合成成套产品的货物。</w:t>
      </w:r>
    </w:p>
    <w:p w14:paraId="371B01FE" w14:textId="77777777" w:rsidR="00162D6A" w:rsidRDefault="00000000">
      <w:pPr>
        <w:numPr>
          <w:ilvl w:val="0"/>
          <w:numId w:val="2"/>
        </w:numPr>
        <w:rPr>
          <w:rFonts w:hint="eastAsia"/>
        </w:rPr>
      </w:pPr>
      <w:r>
        <w:t>经集团公司总部所在地的主管税务机关备案的集团公司，其控股（按照《中华人民共和国公司法》第二百六十五条规定的口径执行）的生产企业之间收购的自产货物以及集团公司与其控股的生产企业之间收购的自产货物。</w:t>
      </w:r>
    </w:p>
    <w:p w14:paraId="22283030" w14:textId="77777777" w:rsidR="00162D6A" w:rsidRDefault="00000000">
      <w:pPr>
        <w:numPr>
          <w:ilvl w:val="0"/>
          <w:numId w:val="2"/>
        </w:numPr>
        <w:spacing w:after="149" w:line="259" w:lineRule="auto"/>
        <w:rPr>
          <w:rFonts w:hint="eastAsia"/>
        </w:rPr>
      </w:pPr>
      <w:r>
        <w:t>同时符合下列条件的委托加工货物：</w:t>
      </w:r>
    </w:p>
    <w:p w14:paraId="7ACD5CC7" w14:textId="77777777" w:rsidR="00162D6A" w:rsidRDefault="00000000">
      <w:pPr>
        <w:ind w:left="-15"/>
        <w:rPr>
          <w:rFonts w:hint="eastAsia"/>
        </w:rPr>
      </w:pPr>
      <w:r>
        <w:t>1.与本企业自产的货物名称、性能相同，或者是用本企业自产的货物再委托深加工的货物；</w:t>
      </w:r>
    </w:p>
    <w:p w14:paraId="336D391A" w14:textId="77777777" w:rsidR="00162D6A" w:rsidRDefault="00000000">
      <w:pPr>
        <w:spacing w:after="148" w:line="259" w:lineRule="auto"/>
        <w:ind w:left="10" w:right="158" w:hanging="10"/>
        <w:jc w:val="right"/>
        <w:rPr>
          <w:rFonts w:hint="eastAsia"/>
        </w:rPr>
      </w:pPr>
      <w:r>
        <w:t>2.出口给进口本企业自产货物的境外单位或者个人；</w:t>
      </w:r>
    </w:p>
    <w:p w14:paraId="00346933" w14:textId="77777777" w:rsidR="00162D6A" w:rsidRDefault="00000000">
      <w:pPr>
        <w:ind w:left="-15"/>
        <w:rPr>
          <w:rFonts w:hint="eastAsia"/>
        </w:rPr>
      </w:pPr>
      <w:r>
        <w:t>3.委托方与受托方必须签订委托加工协议，且主要原材料必须由委托方提供，受托方不垫付资金，只收取加工费，开具加工费（含代垫的辅助材料）的增值税专用发票。</w:t>
      </w:r>
    </w:p>
    <w:p w14:paraId="75B47954" w14:textId="77777777" w:rsidR="00162D6A" w:rsidRDefault="00000000">
      <w:pPr>
        <w:numPr>
          <w:ilvl w:val="0"/>
          <w:numId w:val="2"/>
        </w:numPr>
        <w:spacing w:after="148" w:line="259" w:lineRule="auto"/>
        <w:rPr>
          <w:rFonts w:hint="eastAsia"/>
        </w:rPr>
      </w:pPr>
      <w:r>
        <w:lastRenderedPageBreak/>
        <w:t>用于本企业中标机电产品项目下的机电产品。（六）用于对外承包工程项目下的货物。</w:t>
      </w:r>
    </w:p>
    <w:p w14:paraId="279F8760" w14:textId="77777777" w:rsidR="00162D6A" w:rsidRDefault="00000000">
      <w:pPr>
        <w:numPr>
          <w:ilvl w:val="0"/>
          <w:numId w:val="3"/>
        </w:numPr>
        <w:spacing w:after="147" w:line="259" w:lineRule="auto"/>
        <w:rPr>
          <w:rFonts w:hint="eastAsia"/>
        </w:rPr>
      </w:pPr>
      <w:r>
        <w:t>用于境外投资的货物。</w:t>
      </w:r>
    </w:p>
    <w:p w14:paraId="2E19397B" w14:textId="77777777" w:rsidR="00162D6A" w:rsidRDefault="00000000">
      <w:pPr>
        <w:numPr>
          <w:ilvl w:val="0"/>
          <w:numId w:val="3"/>
        </w:numPr>
        <w:rPr>
          <w:rFonts w:hint="eastAsia"/>
        </w:rPr>
      </w:pPr>
      <w:r>
        <w:t>用于对外援助的资金类型为优惠贷款项目的货物。</w:t>
      </w:r>
    </w:p>
    <w:p w14:paraId="18BEE1BA" w14:textId="77777777" w:rsidR="00162D6A" w:rsidRDefault="00000000">
      <w:pPr>
        <w:numPr>
          <w:ilvl w:val="0"/>
          <w:numId w:val="3"/>
        </w:numPr>
        <w:rPr>
          <w:rFonts w:hint="eastAsia"/>
        </w:rPr>
      </w:pPr>
      <w:r>
        <w:t>生产自产货物的外购设备和原材料（农产品除外）。</w:t>
      </w:r>
    </w:p>
    <w:p w14:paraId="6DE65F54" w14:textId="77777777" w:rsidR="00162D6A" w:rsidRDefault="00000000">
      <w:pPr>
        <w:ind w:left="-15"/>
        <w:rPr>
          <w:rFonts w:hint="eastAsia"/>
        </w:rPr>
      </w:pPr>
      <w:r>
        <w:t>三、集成电路设计、软件设计、动漫设计企业及高新技术企业从事下列业务的，可以备案为生产企业，其下列出口货物视同自产货物：</w:t>
      </w:r>
    </w:p>
    <w:p w14:paraId="39E413A6" w14:textId="77777777" w:rsidR="00162D6A" w:rsidRDefault="00000000">
      <w:pPr>
        <w:numPr>
          <w:ilvl w:val="0"/>
          <w:numId w:val="4"/>
        </w:numPr>
        <w:rPr>
          <w:rFonts w:hint="eastAsia"/>
        </w:rPr>
      </w:pPr>
      <w:r>
        <w:t>自主研发、设计由其他企业生产加工后进行收购或者委托国内其他企业生产加工后收回的货物出口。</w:t>
      </w:r>
    </w:p>
    <w:p w14:paraId="7DD2A423" w14:textId="77777777" w:rsidR="00162D6A" w:rsidRDefault="00000000">
      <w:pPr>
        <w:numPr>
          <w:ilvl w:val="0"/>
          <w:numId w:val="4"/>
        </w:numPr>
        <w:rPr>
          <w:rFonts w:hint="eastAsia"/>
        </w:rPr>
      </w:pPr>
      <w:r>
        <w:t>委托境外企业加工后进口再使用本企业品牌的货物出口。</w:t>
      </w:r>
    </w:p>
    <w:p w14:paraId="14EFD4F1" w14:textId="77777777" w:rsidR="00162D6A" w:rsidRDefault="00000000">
      <w:pPr>
        <w:numPr>
          <w:ilvl w:val="0"/>
          <w:numId w:val="4"/>
        </w:numPr>
        <w:rPr>
          <w:rFonts w:hint="eastAsia"/>
        </w:rPr>
      </w:pPr>
      <w:r>
        <w:t>自主研发、设计软件，加载到外购的硬件设备中的货物出口。</w:t>
      </w:r>
    </w:p>
    <w:p w14:paraId="4FC8EFB3" w14:textId="77777777" w:rsidR="00162D6A" w:rsidRDefault="00000000">
      <w:pPr>
        <w:numPr>
          <w:ilvl w:val="0"/>
          <w:numId w:val="4"/>
        </w:numPr>
        <w:spacing w:line="259" w:lineRule="auto"/>
        <w:rPr>
          <w:rFonts w:hint="eastAsia"/>
        </w:rPr>
      </w:pPr>
      <w:r>
        <w:t>税务总局规定的其他情形。</w:t>
      </w:r>
    </w:p>
    <w:sectPr w:rsidR="00162D6A">
      <w:footerReference w:type="even" r:id="rId7"/>
      <w:footerReference w:type="default" r:id="rId8"/>
      <w:footerReference w:type="first" r:id="rId9"/>
      <w:pgSz w:w="11906" w:h="16838"/>
      <w:pgMar w:top="1642" w:right="1646" w:bottom="1763" w:left="1800" w:header="72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790B" w14:textId="77777777" w:rsidR="00ED1A07" w:rsidRDefault="00ED1A07">
      <w:pPr>
        <w:spacing w:after="0" w:line="240" w:lineRule="auto"/>
        <w:rPr>
          <w:rFonts w:hint="eastAsia"/>
        </w:rPr>
      </w:pPr>
      <w:r>
        <w:separator/>
      </w:r>
    </w:p>
  </w:endnote>
  <w:endnote w:type="continuationSeparator" w:id="0">
    <w:p w14:paraId="403DD375" w14:textId="77777777" w:rsidR="00ED1A07" w:rsidRDefault="00ED1A0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9EAD" w14:textId="77777777" w:rsidR="00162D6A" w:rsidRDefault="00000000">
    <w:pPr>
      <w:spacing w:after="0" w:line="259" w:lineRule="auto"/>
      <w:ind w:right="152" w:firstLine="0"/>
      <w:jc w:val="center"/>
      <w:rPr>
        <w:rFonts w:hint="eastAsia"/>
      </w:rPr>
    </w:pPr>
    <w:r>
      <w:fldChar w:fldCharType="begin"/>
    </w:r>
    <w:r>
      <w:instrText xml:space="preserve"> PAGE   \* MERGEFORMAT </w:instrText>
    </w:r>
    <w:r>
      <w:rPr>
        <w:rFonts w:hint="eastAsia"/>
      </w:rPr>
      <w:fldChar w:fldCharType="separate"/>
    </w:r>
    <w:r>
      <w:rPr>
        <w:rFonts w:ascii="宋体" w:eastAsia="宋体" w:hAnsi="宋体" w:cs="宋体"/>
        <w:sz w:val="18"/>
      </w:rPr>
      <w:t>1</w:t>
    </w:r>
    <w:r>
      <w:rPr>
        <w:rFonts w:ascii="宋体" w:eastAsia="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5832" w14:textId="77777777" w:rsidR="00162D6A" w:rsidRDefault="00000000">
    <w:pPr>
      <w:spacing w:after="0" w:line="259" w:lineRule="auto"/>
      <w:ind w:right="152" w:firstLine="0"/>
      <w:jc w:val="center"/>
      <w:rPr>
        <w:rFonts w:hint="eastAsia"/>
      </w:rPr>
    </w:pPr>
    <w:r>
      <w:fldChar w:fldCharType="begin"/>
    </w:r>
    <w:r>
      <w:instrText xml:space="preserve"> PAGE   \* MERGEFORMAT </w:instrText>
    </w:r>
    <w:r>
      <w:rPr>
        <w:rFonts w:hint="eastAsia"/>
      </w:rPr>
      <w:fldChar w:fldCharType="separate"/>
    </w:r>
    <w:r>
      <w:rPr>
        <w:rFonts w:ascii="宋体" w:eastAsia="宋体" w:hAnsi="宋体" w:cs="宋体"/>
        <w:sz w:val="18"/>
      </w:rPr>
      <w:t>1</w:t>
    </w:r>
    <w:r>
      <w:rPr>
        <w:rFonts w:ascii="宋体" w:eastAsia="宋体" w:hAnsi="宋体" w:cs="宋体"/>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FEC8" w14:textId="77777777" w:rsidR="00162D6A" w:rsidRDefault="00000000">
    <w:pPr>
      <w:spacing w:after="0" w:line="259" w:lineRule="auto"/>
      <w:ind w:right="152" w:firstLine="0"/>
      <w:jc w:val="center"/>
      <w:rPr>
        <w:rFonts w:hint="eastAsia"/>
      </w:rPr>
    </w:pPr>
    <w:r>
      <w:fldChar w:fldCharType="begin"/>
    </w:r>
    <w:r>
      <w:instrText xml:space="preserve"> PAGE   \* MERGEFORMAT </w:instrText>
    </w:r>
    <w:r>
      <w:rPr>
        <w:rFonts w:hint="eastAsia"/>
      </w:rPr>
      <w:fldChar w:fldCharType="separate"/>
    </w:r>
    <w:r>
      <w:rPr>
        <w:rFonts w:ascii="宋体" w:eastAsia="宋体" w:hAnsi="宋体" w:cs="宋体"/>
        <w:sz w:val="18"/>
      </w:rPr>
      <w:t>1</w:t>
    </w:r>
    <w:r>
      <w:rPr>
        <w:rFonts w:ascii="宋体" w:eastAsia="宋体" w:hAnsi="宋体" w:cs="宋体"/>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D31F" w14:textId="77777777" w:rsidR="00ED1A07" w:rsidRDefault="00ED1A07">
      <w:pPr>
        <w:spacing w:after="0" w:line="240" w:lineRule="auto"/>
        <w:rPr>
          <w:rFonts w:hint="eastAsia"/>
        </w:rPr>
      </w:pPr>
      <w:r>
        <w:separator/>
      </w:r>
    </w:p>
  </w:footnote>
  <w:footnote w:type="continuationSeparator" w:id="0">
    <w:p w14:paraId="1637E46B" w14:textId="77777777" w:rsidR="00ED1A07" w:rsidRDefault="00ED1A0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65E6"/>
    <w:multiLevelType w:val="hybridMultilevel"/>
    <w:tmpl w:val="E7CC39F6"/>
    <w:lvl w:ilvl="0" w:tplc="F69A2D06">
      <w:start w:val="1"/>
      <w:numFmt w:val="ideographDigit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A4C6C308">
      <w:start w:val="1"/>
      <w:numFmt w:val="lowerLetter"/>
      <w:lvlText w:val="%2"/>
      <w:lvlJc w:val="left"/>
      <w:pPr>
        <w:ind w:left="17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90F23DA4">
      <w:start w:val="1"/>
      <w:numFmt w:val="lowerRoman"/>
      <w:lvlText w:val="%3"/>
      <w:lvlJc w:val="left"/>
      <w:pPr>
        <w:ind w:left="24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3B942894">
      <w:start w:val="1"/>
      <w:numFmt w:val="decimal"/>
      <w:lvlText w:val="%4"/>
      <w:lvlJc w:val="left"/>
      <w:pPr>
        <w:ind w:left="31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0C463EA6">
      <w:start w:val="1"/>
      <w:numFmt w:val="lowerLetter"/>
      <w:lvlText w:val="%5"/>
      <w:lvlJc w:val="left"/>
      <w:pPr>
        <w:ind w:left="390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DF7ACE3A">
      <w:start w:val="1"/>
      <w:numFmt w:val="lowerRoman"/>
      <w:lvlText w:val="%6"/>
      <w:lvlJc w:val="left"/>
      <w:pPr>
        <w:ind w:left="462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40C2B058">
      <w:start w:val="1"/>
      <w:numFmt w:val="decimal"/>
      <w:lvlText w:val="%7"/>
      <w:lvlJc w:val="left"/>
      <w:pPr>
        <w:ind w:left="53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91D86DD6">
      <w:start w:val="1"/>
      <w:numFmt w:val="lowerLetter"/>
      <w:lvlText w:val="%8"/>
      <w:lvlJc w:val="left"/>
      <w:pPr>
        <w:ind w:left="60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1C72839A">
      <w:start w:val="1"/>
      <w:numFmt w:val="lowerRoman"/>
      <w:lvlText w:val="%9"/>
      <w:lvlJc w:val="left"/>
      <w:pPr>
        <w:ind w:left="67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8C65BE6"/>
    <w:multiLevelType w:val="hybridMultilevel"/>
    <w:tmpl w:val="B944EB7E"/>
    <w:lvl w:ilvl="0" w:tplc="C7CEADCE">
      <w:start w:val="7"/>
      <w:numFmt w:val="ideographDigit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29782C0C">
      <w:start w:val="1"/>
      <w:numFmt w:val="lowerLetter"/>
      <w:lvlText w:val="%2"/>
      <w:lvlJc w:val="left"/>
      <w:pPr>
        <w:ind w:left="17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321A968C">
      <w:start w:val="1"/>
      <w:numFmt w:val="lowerRoman"/>
      <w:lvlText w:val="%3"/>
      <w:lvlJc w:val="left"/>
      <w:pPr>
        <w:ind w:left="24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15803A48">
      <w:start w:val="1"/>
      <w:numFmt w:val="decimal"/>
      <w:lvlText w:val="%4"/>
      <w:lvlJc w:val="left"/>
      <w:pPr>
        <w:ind w:left="31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548E4D40">
      <w:start w:val="1"/>
      <w:numFmt w:val="lowerLetter"/>
      <w:lvlText w:val="%5"/>
      <w:lvlJc w:val="left"/>
      <w:pPr>
        <w:ind w:left="390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12708E82">
      <w:start w:val="1"/>
      <w:numFmt w:val="lowerRoman"/>
      <w:lvlText w:val="%6"/>
      <w:lvlJc w:val="left"/>
      <w:pPr>
        <w:ind w:left="462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787CA2B2">
      <w:start w:val="1"/>
      <w:numFmt w:val="decimal"/>
      <w:lvlText w:val="%7"/>
      <w:lvlJc w:val="left"/>
      <w:pPr>
        <w:ind w:left="53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372E6B34">
      <w:start w:val="1"/>
      <w:numFmt w:val="lowerLetter"/>
      <w:lvlText w:val="%8"/>
      <w:lvlJc w:val="left"/>
      <w:pPr>
        <w:ind w:left="60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3BC437AA">
      <w:start w:val="1"/>
      <w:numFmt w:val="lowerRoman"/>
      <w:lvlText w:val="%9"/>
      <w:lvlJc w:val="left"/>
      <w:pPr>
        <w:ind w:left="67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D0839BD"/>
    <w:multiLevelType w:val="hybridMultilevel"/>
    <w:tmpl w:val="A3FC7B50"/>
    <w:lvl w:ilvl="0" w:tplc="243677F4">
      <w:start w:val="1"/>
      <w:numFmt w:val="ideographDigit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35649B30">
      <w:start w:val="1"/>
      <w:numFmt w:val="lowerLetter"/>
      <w:lvlText w:val="%2"/>
      <w:lvlJc w:val="left"/>
      <w:pPr>
        <w:ind w:left="17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063440AE">
      <w:start w:val="1"/>
      <w:numFmt w:val="lowerRoman"/>
      <w:lvlText w:val="%3"/>
      <w:lvlJc w:val="left"/>
      <w:pPr>
        <w:ind w:left="24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CBB8E532">
      <w:start w:val="1"/>
      <w:numFmt w:val="decimal"/>
      <w:lvlText w:val="%4"/>
      <w:lvlJc w:val="left"/>
      <w:pPr>
        <w:ind w:left="31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338011CA">
      <w:start w:val="1"/>
      <w:numFmt w:val="lowerLetter"/>
      <w:lvlText w:val="%5"/>
      <w:lvlJc w:val="left"/>
      <w:pPr>
        <w:ind w:left="390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EC866050">
      <w:start w:val="1"/>
      <w:numFmt w:val="lowerRoman"/>
      <w:lvlText w:val="%6"/>
      <w:lvlJc w:val="left"/>
      <w:pPr>
        <w:ind w:left="462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75664CA2">
      <w:start w:val="1"/>
      <w:numFmt w:val="decimal"/>
      <w:lvlText w:val="%7"/>
      <w:lvlJc w:val="left"/>
      <w:pPr>
        <w:ind w:left="53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771ABE3E">
      <w:start w:val="1"/>
      <w:numFmt w:val="lowerLetter"/>
      <w:lvlText w:val="%8"/>
      <w:lvlJc w:val="left"/>
      <w:pPr>
        <w:ind w:left="60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D7FC6308">
      <w:start w:val="1"/>
      <w:numFmt w:val="lowerRoman"/>
      <w:lvlText w:val="%9"/>
      <w:lvlJc w:val="left"/>
      <w:pPr>
        <w:ind w:left="67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143735D"/>
    <w:multiLevelType w:val="hybridMultilevel"/>
    <w:tmpl w:val="25EC1E06"/>
    <w:lvl w:ilvl="0" w:tplc="15A85612">
      <w:start w:val="1"/>
      <w:numFmt w:val="ideographDigital"/>
      <w:lvlText w:val="（%1）"/>
      <w:lvlJc w:val="left"/>
      <w:pPr>
        <w:ind w:left="6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47562880">
      <w:start w:val="1"/>
      <w:numFmt w:val="lowerLetter"/>
      <w:lvlText w:val="%2"/>
      <w:lvlJc w:val="left"/>
      <w:pPr>
        <w:ind w:left="17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1F8E0476">
      <w:start w:val="1"/>
      <w:numFmt w:val="lowerRoman"/>
      <w:lvlText w:val="%3"/>
      <w:lvlJc w:val="left"/>
      <w:pPr>
        <w:ind w:left="24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942CE074">
      <w:start w:val="1"/>
      <w:numFmt w:val="decimal"/>
      <w:lvlText w:val="%4"/>
      <w:lvlJc w:val="left"/>
      <w:pPr>
        <w:ind w:left="31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7578F9C6">
      <w:start w:val="1"/>
      <w:numFmt w:val="lowerLetter"/>
      <w:lvlText w:val="%5"/>
      <w:lvlJc w:val="left"/>
      <w:pPr>
        <w:ind w:left="390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DFFA308E">
      <w:start w:val="1"/>
      <w:numFmt w:val="lowerRoman"/>
      <w:lvlText w:val="%6"/>
      <w:lvlJc w:val="left"/>
      <w:pPr>
        <w:ind w:left="462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1D6C3D14">
      <w:start w:val="1"/>
      <w:numFmt w:val="decimal"/>
      <w:lvlText w:val="%7"/>
      <w:lvlJc w:val="left"/>
      <w:pPr>
        <w:ind w:left="534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8580DFD8">
      <w:start w:val="1"/>
      <w:numFmt w:val="lowerLetter"/>
      <w:lvlText w:val="%8"/>
      <w:lvlJc w:val="left"/>
      <w:pPr>
        <w:ind w:left="606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032047A6">
      <w:start w:val="1"/>
      <w:numFmt w:val="lowerRoman"/>
      <w:lvlText w:val="%9"/>
      <w:lvlJc w:val="left"/>
      <w:pPr>
        <w:ind w:left="6785"/>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num w:numId="1" w16cid:durableId="2110346812">
    <w:abstractNumId w:val="3"/>
  </w:num>
  <w:num w:numId="2" w16cid:durableId="800926855">
    <w:abstractNumId w:val="0"/>
  </w:num>
  <w:num w:numId="3" w16cid:durableId="1724057423">
    <w:abstractNumId w:val="1"/>
  </w:num>
  <w:num w:numId="4" w16cid:durableId="204729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D6A"/>
    <w:rsid w:val="00162D6A"/>
    <w:rsid w:val="0016794D"/>
    <w:rsid w:val="00716E5D"/>
    <w:rsid w:val="00ED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CE86F5"/>
  <w15:docId w15:val="{48F7B922-4D51-4AC6-9545-7035477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45" w:lineRule="auto"/>
      <w:ind w:firstLine="655"/>
    </w:pPr>
    <w:rPr>
      <w:rFonts w:ascii="仿宋" w:eastAsia="仿宋" w:hAnsi="仿宋" w:cs="仿宋"/>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94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6794D"/>
    <w:rPr>
      <w:rFonts w:ascii="仿宋" w:eastAsia="仿宋" w:hAnsi="仿宋" w:cs="仿宋"/>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691</Characters>
  <Application>Microsoft Office Word</Application>
  <DocSecurity>0</DocSecurity>
  <Lines>115</Lines>
  <Paragraphs>159</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yingjie</dc:creator>
  <cp:keywords/>
  <cp:lastModifiedBy>Peng Gao</cp:lastModifiedBy>
  <cp:revision>2</cp:revision>
  <dcterms:created xsi:type="dcterms:W3CDTF">2026-02-01T13:26:00Z</dcterms:created>
  <dcterms:modified xsi:type="dcterms:W3CDTF">2026-02-01T13:26:00Z</dcterms:modified>
</cp:coreProperties>
</file>